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tab/>
      </w:r>
      <w:r>
        <w:rPr/>
        <w:drawing>
          <wp:inline distT="0" distB="0" distL="0" distR="0">
            <wp:extent cx="1824990" cy="793115"/>
            <wp:effectExtent l="0" t="0" r="0" b="0"/>
            <wp:docPr id="1"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title=""/>
                    <pic:cNvPicPr>
                      <a:picLocks noChangeAspect="1" noChangeArrowheads="1"/>
                    </pic:cNvPicPr>
                  </pic:nvPicPr>
                  <pic:blipFill>
                    <a:blip r:embed="rId2"/>
                    <a:srcRect l="-11" t="-26" r="-11" b="-26"/>
                    <a:stretch>
                      <a:fillRect/>
                    </a:stretch>
                  </pic:blipFill>
                  <pic:spPr bwMode="auto">
                    <a:xfrm>
                      <a:off x="0" y="0"/>
                      <a:ext cx="1824990" cy="793115"/>
                    </a:xfrm>
                    <a:prstGeom prst="rect">
                      <a:avLst/>
                    </a:prstGeom>
                  </pic:spPr>
                </pic:pic>
              </a:graphicData>
            </a:graphic>
          </wp:inline>
        </w:drawing>
      </w:r>
      <w:r>
        <w:rPr/>
        <w:tab/>
        <w:tab/>
        <w:tab/>
        <w:tab/>
      </w:r>
      <w:r>
        <w:rPr/>
        <w:drawing>
          <wp:inline distT="0" distB="0" distL="0" distR="0">
            <wp:extent cx="1420495" cy="581025"/>
            <wp:effectExtent l="0" t="0" r="0" b="0"/>
            <wp:docPr id="2" name="Image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title=""/>
                    <pic:cNvPicPr>
                      <a:picLocks noChangeAspect="1" noChangeArrowheads="1"/>
                    </pic:cNvPicPr>
                  </pic:nvPicPr>
                  <pic:blipFill>
                    <a:blip r:embed="rId3"/>
                    <a:srcRect l="-11" t="-26" r="-11" b="-26"/>
                    <a:stretch>
                      <a:fillRect/>
                    </a:stretch>
                  </pic:blipFill>
                  <pic:spPr bwMode="auto">
                    <a:xfrm>
                      <a:off x="0" y="0"/>
                      <a:ext cx="1420495" cy="581025"/>
                    </a:xfrm>
                    <a:prstGeom prst="rect">
                      <a:avLst/>
                    </a:prstGeom>
                  </pic:spPr>
                </pic:pic>
              </a:graphicData>
            </a:graphic>
          </wp:inline>
        </w:drawing>
      </w:r>
      <w:r>
        <w:rPr/>
        <w:tab/>
      </w:r>
    </w:p>
    <w:p>
      <w:pPr>
        <w:pStyle w:val="UFVNormal"/>
        <w:rPr/>
      </w:pPr>
      <w:r>
        <w:rPr/>
      </w:r>
    </w:p>
    <w:p>
      <w:pPr>
        <w:pStyle w:val="UFVNormal"/>
        <w:rPr/>
      </w:pPr>
      <w:r>
        <w:rPr/>
      </w:r>
    </w:p>
    <w:p>
      <w:pPr>
        <w:pStyle w:val="UFVNormal"/>
        <w:rPr/>
      </w:pPr>
      <w:r>
        <w:rPr/>
      </w:r>
    </w:p>
    <w:p>
      <w:pPr>
        <w:pStyle w:val="UFVTtulo"/>
        <w:rPr/>
      </w:pPr>
      <w:r>
        <w:rPr/>
      </w:r>
    </w:p>
    <w:p>
      <w:pPr>
        <w:pStyle w:val="UFVNormal"/>
        <w:rPr/>
      </w:pPr>
      <w:r>
        <w:rPr/>
      </w:r>
    </w:p>
    <w:p>
      <w:pPr>
        <w:pStyle w:val="UFVTtulo"/>
        <w:rPr/>
      </w:pPr>
      <w:r>
        <w:rPr/>
      </w:r>
    </w:p>
    <w:p>
      <w:pPr>
        <w:pStyle w:val="UFVNormal"/>
        <w:rPr/>
      </w:pPr>
      <w:r>
        <w:rPr/>
      </w:r>
    </w:p>
    <w:p>
      <w:pPr>
        <w:pStyle w:val="UFVTtulo"/>
        <w:rPr/>
      </w:pPr>
      <w:r>
        <w:rPr/>
      </w:r>
    </w:p>
    <w:p>
      <w:pPr>
        <w:pStyle w:val="UFVTtulo"/>
        <w:rPr/>
      </w:pPr>
      <w:r>
        <w:rPr/>
      </w:r>
    </w:p>
    <w:p>
      <w:pPr>
        <w:pStyle w:val="UFVTtulo"/>
        <w:rPr/>
      </w:pPr>
      <w:r>
        <w:rPr/>
        <w:t>Optimización de Carteras de Inversión</w:t>
      </w:r>
    </w:p>
    <w:p>
      <w:pPr>
        <w:pStyle w:val="UFVTtulo"/>
        <w:rPr/>
      </w:pPr>
      <w:r>
        <w:rPr/>
        <w:t>mediante Predicción de Retornos con XGBoost y Señales Macroeconómicas, de Riesgo y de Sentimiento Aplicado a ETFs</w:t>
      </w:r>
    </w:p>
    <w:p>
      <w:pPr>
        <w:pStyle w:val="UFVNormal"/>
        <w:rPr/>
      </w:pPr>
      <w:r>
        <w:rPr/>
      </w:r>
    </w:p>
    <w:p>
      <w:pPr>
        <w:pStyle w:val="UFVNormal"/>
        <w:jc w:val="center"/>
        <w:rPr>
          <w:lang w:val="en-US"/>
        </w:rPr>
      </w:pPr>
      <w:r>
        <w:rPr>
          <w:lang w:val="en-US"/>
        </w:rPr>
      </w:r>
    </w:p>
    <w:p>
      <w:pPr>
        <w:pStyle w:val="UFVNormal"/>
        <w:rPr>
          <w:lang w:val="en-US"/>
        </w:rPr>
      </w:pPr>
      <w:r>
        <w:rPr>
          <w:lang w:val="en-US"/>
        </w:rPr>
      </w:r>
    </w:p>
    <w:p>
      <w:pPr>
        <w:pStyle w:val="UFVNormal"/>
        <w:rPr>
          <w:lang w:val="en-US"/>
        </w:rPr>
      </w:pPr>
      <w:r>
        <w:rPr>
          <w:lang w:val="en-US"/>
        </w:rPr>
      </w:r>
    </w:p>
    <w:p>
      <w:pPr>
        <w:pStyle w:val="UFVNormal"/>
        <w:rPr>
          <w:lang w:val="en-US"/>
        </w:rPr>
      </w:pPr>
      <w:r>
        <w:rPr>
          <w:lang w:val="en-US"/>
        </w:rPr>
      </w:r>
    </w:p>
    <w:p>
      <w:pPr>
        <w:pStyle w:val="UFVNormal"/>
        <w:rPr>
          <w:lang w:val="en-US"/>
        </w:rPr>
      </w:pPr>
      <w:r>
        <w:rPr>
          <w:lang w:val="en-US"/>
        </w:rPr>
      </w:r>
    </w:p>
    <w:p>
      <w:pPr>
        <w:pStyle w:val="UFVNormal"/>
        <w:rPr>
          <w:lang w:val="en-US"/>
        </w:rPr>
      </w:pPr>
      <w:r>
        <w:rPr>
          <w:lang w:val="en-US"/>
        </w:rPr>
      </w:r>
    </w:p>
    <w:p>
      <w:pPr>
        <w:pStyle w:val="UFVAutor"/>
        <w:rPr/>
      </w:pPr>
      <w:r>
        <w:rPr/>
        <w:t>Alumno: Mateo Madrigal Arteaga</w:t>
      </w:r>
    </w:p>
    <w:p>
      <w:pPr>
        <w:pStyle w:val="UFVAutor"/>
        <w:rPr>
          <w:lang w:val="en-GB"/>
        </w:rPr>
      </w:pPr>
      <w:r>
        <w:rPr>
          <w:lang w:val="en-GB"/>
        </w:rPr>
        <w:t>Email: 9200428@alumnos.ufv.es</w:t>
      </w:r>
    </w:p>
    <w:p>
      <w:pPr>
        <w:pStyle w:val="UFVAutor"/>
        <w:rPr/>
      </w:pPr>
      <w:r>
        <w:rPr/>
        <w:t>Grado en Análisis de Negocios / Business Analytics</w:t>
      </w:r>
    </w:p>
    <w:p>
      <w:pPr>
        <w:pStyle w:val="UFVAutor"/>
        <w:rPr/>
      </w:pPr>
      <w:r>
        <w:rPr/>
        <w:t>Curso académico 2025-2026</w:t>
      </w:r>
      <w:r/>
    </w:p>
    <w:p>
      <w:pPr>
        <w:pStyle w:val="Normal"/>
        <w:rPr>
          <w:rFonts w:ascii="Times New Roman" w:hAnsi="Times New Roman" w:cs="Times New Roman"/>
          <w:b/>
          <w:sz w:val="24"/>
          <w:szCs w:val="24"/>
        </w:rPr>
      </w:pPr>
      <w:r>
        <w:rPr>
          <w:rFonts w:cs="Times New Roman" w:ascii="Times New Roman" w:hAnsi="Times New Roman"/>
          <w:b/>
          <w:sz w:val="24"/>
          <w:szCs w:val="24"/>
        </w:rPr>
      </w:r>
    </w:p>
    <w:p>
      <w:pPr>
        <w:pStyle w:val="UFVEpgrafeNivel1"/>
        <w:numPr>
          <w:ilvl w:val="0"/>
          <w:numId w:val="0"/>
        </w:numPr>
        <w:ind w:hanging="0" w:start="0"/>
        <w:rPr>
          <w:rFonts w:ascii="Times New Roman" w:hAnsi="Times New Roman" w:cs="Times New Roman"/>
          <w:b w:val="false"/>
          <w:sz w:val="24"/>
          <w:szCs w:val="24"/>
        </w:rPr>
      </w:pPr>
      <w:r>
        <w:rPr>
          <w:rFonts w:cs="Times New Roman"/>
          <w:b w:val="false"/>
          <w:sz w:val="24"/>
          <w:szCs w:val="24"/>
        </w:rPr>
      </w:r>
      <w:r>
        <w:br w:type="page"/>
      </w:r>
    </w:p>
    <w:p>
      <w:pPr>
        <w:pStyle w:val="UFVNormal"/>
        <w:numPr>
          <w:ilvl w:val="0"/>
          <w:numId w:val="0"/>
        </w:numPr>
        <w:ind w:firstLine="709" w:start="0"/>
        <w:rPr/>
      </w:pPr>
      <w:r>
        <w:rPr/>
      </w:r>
    </w:p>
    <w:p>
      <w:pPr>
        <w:sectPr>
          <w:type w:val="nextPage"/>
          <w:pgSz w:w="11906" w:h="16838"/>
          <w:pgMar w:left="1701" w:right="1418" w:gutter="0" w:header="0" w:top="1418" w:footer="0" w:bottom="1418"/>
          <w:pgNumType w:fmt="decimal"/>
          <w:formProt w:val="false"/>
          <w:textDirection w:val="lrTb"/>
          <w:docGrid w:type="default" w:linePitch="360" w:charSpace="0"/>
        </w:sectPr>
      </w:pPr>
    </w:p>
    <w:p>
      <w:pPr>
        <w:pStyle w:val="UFVNormal"/>
        <w:rPr/>
      </w:pPr>
      <w:r>
        <w:rPr/>
      </w:r>
    </w:p>
    <w:p>
      <w:pPr>
        <w:pStyle w:val="UFVResumen"/>
        <w:rPr/>
      </w:pPr>
      <w:r>
        <w:rPr>
          <w:b/>
        </w:rPr>
        <w:t xml:space="preserve">Resumen </w:t>
      </w:r>
    </w:p>
    <w:p>
      <w:pPr>
        <w:pStyle w:val="UFVResumen"/>
        <w:rPr>
          <w:b/>
        </w:rPr>
      </w:pPr>
      <w:r>
        <w:rPr>
          <w:b/>
        </w:rPr>
      </w:r>
    </w:p>
    <w:p>
      <w:pPr>
        <w:pStyle w:val="UFVResumen"/>
        <w:rPr/>
      </w:pPr>
      <w:r>
        <w:rPr/>
        <w:t>Este trabajo presenta un sistema de optimización dinámica de carteras de inversión que combina predicciones de retornos semanales generadas por modelos de gradient boosting (XGBoost y LightGBM) con la optimización de Markowitz de media-varianza. El sistema se aplica a un universo de 10 ETFs representativos de 5 clases de activos, utilizando 109 variables predictivas agrupadas en 6 dimensiones: mercado, riesgo, macroeconómicas, liquidez, sentimiento y NLP de noticias. La validación se realiza mediante walk-forward expanding window sobre 778 semanas (2011-2026), garantizando la ausencia de data leakage. Los resultados muestran que la cartera XGBoost optimizada alcanza un Sharpe ratio de 1,397 y un retorno total acumulado del 426%, superando significativamente al benchmark 60/40 (Sharpe 0,847) y a la optimización clásica de Markowitz (Sharpe 0,832). El análisis SHAP revela que las condiciones financieras (NFCI) son el principal driver predictivo.</w:t>
      </w:r>
      <w:r>
        <w:rPr>
          <w:i/>
        </w:rPr>
      </w:r>
      <w:r>
        <w:rPr/>
      </w:r>
      <w:r>
        <w:rPr>
          <w:i/>
        </w:rPr>
      </w:r>
      <w:r>
        <w:rPr/>
      </w:r>
      <w:r>
        <w:rPr>
          <w:i/>
        </w:rPr>
      </w:r>
      <w:r>
        <w:rPr/>
      </w:r>
    </w:p>
    <w:p>
      <w:pPr>
        <w:pStyle w:val="UFVResumen"/>
        <w:rPr/>
      </w:pPr>
      <w:r>
        <w:rPr/>
      </w:r>
    </w:p>
    <w:p>
      <w:pPr>
        <w:pStyle w:val="UFVResumen"/>
        <w:rPr/>
      </w:pPr>
      <w:r>
        <w:rPr>
          <w:b/>
        </w:rPr>
        <w:t>Palabras clave: optimización de carteras; machine learning; XGBoost; predicción de retornos; SHAP; ETFs</w:t>
      </w:r>
      <w:r>
        <w:rPr/>
      </w:r>
      <w:r>
        <w:rPr>
          <w:b/>
        </w:rPr>
      </w:r>
    </w:p>
    <w:p>
      <w:pPr>
        <w:pStyle w:val="UFVResumen"/>
        <w:rPr>
          <w:b/>
        </w:rPr>
      </w:pPr>
      <w:r>
        <w:rPr>
          <w:b/>
        </w:rPr>
      </w:r>
    </w:p>
    <w:p>
      <w:pPr>
        <w:pStyle w:val="UFVNormal"/>
        <w:rPr>
          <w:b/>
          <w:lang w:val="en-GB"/>
        </w:rPr>
      </w:pPr>
      <w:r>
        <w:rPr>
          <w:b/>
          <w:lang w:val="en-GB"/>
        </w:rPr>
        <w:t>Abstract</w:t>
      </w:r>
    </w:p>
    <w:p>
      <w:pPr>
        <w:pStyle w:val="UFVResumen"/>
        <w:rPr>
          <w:b/>
          <w:lang w:val="en-GB"/>
        </w:rPr>
      </w:pPr>
      <w:r>
        <w:rPr>
          <w:b/>
          <w:lang w:val="en-GB"/>
        </w:rPr>
      </w:r>
    </w:p>
    <w:p>
      <w:pPr>
        <w:pStyle w:val="UFVResumen"/>
        <w:rPr>
          <w:lang w:val="en-GB"/>
        </w:rPr>
      </w:pPr>
      <w:r>
        <w:rPr>
          <w:lang w:val="en-GB"/>
        </w:rPr>
        <w:t>This thesis presents a dynamic portfolio optimization system that combines weekly return predictions generated by gradient boosting models (XGBoost and LightGBM) with Markowitz mean-variance optimization. The system is applied to a universe of 10 ETFs representing 5 asset classes, using 109 predictive features grouped into 6 dimensions. Validation is performed through walk-forward expanding window over 778 weeks (2011-2026), ensuring no data leakage. Results show that the optimized XGBoost portfolio achieves a Sharpe ratio of 1.397 and a cumulative total return of 426%, significantly outperforming the 60/40 benchmark (Sharpe 0.847) and classic Markowitz optimization (Sharpe 0.832). SHAP analysis reveals that financial conditions (NFCI) are the primary predictive driver.</w:t>
      </w:r>
    </w:p>
    <w:p>
      <w:pPr>
        <w:pStyle w:val="UFVResumen"/>
        <w:rPr>
          <w:lang w:val="en-GB"/>
        </w:rPr>
      </w:pPr>
      <w:r>
        <w:rPr>
          <w:lang w:val="en-GB"/>
        </w:rPr>
      </w:r>
    </w:p>
    <w:p>
      <w:pPr>
        <w:pStyle w:val="UFVResumen"/>
        <w:rPr>
          <w:lang w:val="en-GB"/>
        </w:rPr>
      </w:pPr>
      <w:r>
        <w:rPr>
          <w:b/>
          <w:lang w:val="en-GB"/>
        </w:rPr>
        <w:t>Keywords: portfolio optimization; machine learning; XGBoost; return prediction; SHAP; ETFs</w:t>
      </w:r>
      <w:r>
        <w:rPr>
          <w:lang w:val="en-GB"/>
        </w:rPr>
      </w:r>
    </w:p>
    <w:p>
      <w:pPr>
        <w:sectPr>
          <w:type w:val="continuous"/>
          <w:pgSz w:w="11906" w:h="16838"/>
          <w:pgMar w:left="1701" w:right="1418" w:gutter="0" w:header="0" w:top="1418" w:footer="0" w:bottom="1418"/>
          <w:formProt w:val="false"/>
          <w:textDirection w:val="lrTb"/>
          <w:docGrid w:type="default" w:linePitch="360" w:charSpace="0"/>
        </w:sectPr>
        <w:pStyle w:val="Normal"/>
        <w:rPr>
          <w:rFonts w:ascii="Times New Roman" w:hAnsi="Times New Roman" w:cs="Times New Roman"/>
          <w:b/>
          <w:sz w:val="24"/>
          <w:szCs w:val="24"/>
          <w:lang w:val="en-GB"/>
        </w:rPr>
      </w:pPr>
      <w:r>
        <w:rPr>
          <w:rFonts w:cs="Times New Roman" w:ascii="Times New Roman" w:hAnsi="Times New Roman"/>
          <w:b/>
          <w:sz w:val="24"/>
          <w:szCs w:val="24"/>
          <w:lang w:val="en-GB"/>
        </w:rPr>
      </w:r>
      <w:r>
        <w:br w:type="page"/>
      </w:r>
    </w:p>
    <w:p>
      <w:pPr>
        <w:pStyle w:val="UFVResumen"/>
        <w:rPr/>
      </w:pPr>
      <w:r>
        <w:rPr>
          <w:b/>
        </w:rPr>
        <w:t xml:space="preserve">Agradecimientos (opcional) </w:t>
      </w:r>
    </w:p>
    <w:p>
      <w:pPr>
        <w:pStyle w:val="Normal"/>
        <w:rPr>
          <w:b/>
          <w:lang w:val="en-GB"/>
        </w:rPr>
      </w:pPr>
      <w:r>
        <w:rPr>
          <w:b/>
          <w:lang w:val="en-GB"/>
        </w:rPr>
      </w:r>
    </w:p>
    <w:p>
      <w:pPr>
        <w:pStyle w:val="Normal"/>
        <w:rPr>
          <w:lang w:val="en-GB"/>
        </w:rPr>
      </w:pPr>
      <w:r>
        <w:rPr>
          <w:lang w:val="en-GB"/>
        </w:rPr>
      </w:r>
    </w:p>
    <w:p>
      <w:pPr>
        <w:pStyle w:val="Normal"/>
        <w:rPr>
          <w:lang w:val="en-GB"/>
        </w:rPr>
      </w:pPr>
      <w:r>
        <w:rPr>
          <w:lang w:val="en-GB"/>
        </w:rPr>
      </w:r>
    </w:p>
    <w:p>
      <w:pPr>
        <w:pStyle w:val="UFVNormal"/>
        <w:jc w:val="end"/>
        <w:rPr/>
      </w:pPr>
      <w:r>
        <w:rPr/>
        <w:t>Quiero expresar mi agradecimiento a mi tutor por su orientación y seguimiento durante la elaboración de este trabajo. Agradezco también a la Universidad Francisco de Vitoria y al equipo docente del Grado en Business Analytics por la formación recibida. En la elaboración de este trabajo se ha utilizado Claude (Anthropic, versiones Claude 3.5 Sonnet y Claude Opus 4) como herramienta de asistencia para la generación y revisión de código Python. Todas las decisiones metodológicas, la interpretación de resultados y las conclusiones son responsabilidad exclusiva del autor.</w:t>
      </w:r>
    </w:p>
    <w:p>
      <w:pPr>
        <w:sectPr>
          <w:footerReference w:type="default" r:id="rId4"/>
          <w:type w:val="nextPage"/>
          <w:pgSz w:w="11906" w:h="16838"/>
          <w:pgMar w:left="1701" w:right="1418" w:gutter="0" w:header="0" w:top="1418" w:footer="709" w:bottom="1418"/>
          <w:pgNumType w:fmt="decimal"/>
          <w:formProt w:val="false"/>
          <w:textDirection w:val="lrTb"/>
          <w:docGrid w:type="default" w:linePitch="360" w:charSpace="0"/>
        </w:sectPr>
      </w:pPr>
    </w:p>
    <w:p>
      <w:pPr>
        <w:pStyle w:val="Normal"/>
        <w:rPr>
          <w:rFonts w:ascii="Times New Roman" w:hAnsi="Times New Roman" w:cs="Times New Roman"/>
          <w:b/>
          <w:sz w:val="24"/>
          <w:szCs w:val="24"/>
        </w:rPr>
      </w:pPr>
      <w:r>
        <w:rPr>
          <w:rFonts w:cs="Times New Roman" w:ascii="Times New Roman" w:hAnsi="Times New Roman"/>
          <w:b/>
          <w:sz w:val="24"/>
          <w:szCs w:val="24"/>
        </w:rPr>
      </w:r>
    </w:p>
    <w:p>
      <w:pPr>
        <w:pStyle w:val="UFVAutor"/>
        <w:rPr>
          <w:rFonts w:ascii="Times New Roman" w:hAnsi="Times New Roman" w:cs="Times New Roman"/>
          <w:b w:val="false"/>
          <w:sz w:val="24"/>
          <w:szCs w:val="24"/>
        </w:rPr>
      </w:pPr>
      <w:r>
        <w:rPr>
          <w:rFonts w:cs="Times New Roman"/>
          <w:b w:val="false"/>
          <w:sz w:val="24"/>
          <w:szCs w:val="24"/>
        </w:rPr>
      </w:r>
    </w:p>
    <w:p>
      <w:pPr>
        <w:pStyle w:val="Normal"/>
        <w:jc w:val="center"/>
        <w:rPr>
          <w:rFonts w:ascii="Times New Roman" w:hAnsi="Times New Roman" w:cs="Times New Roman"/>
          <w:b/>
          <w:sz w:val="24"/>
          <w:szCs w:val="24"/>
        </w:rPr>
      </w:pPr>
      <w:r>
        <w:rPr>
          <w:rFonts w:cs="Times New Roman" w:ascii="Times New Roman" w:hAnsi="Times New Roman"/>
          <w:b/>
          <w:sz w:val="24"/>
          <w:szCs w:val="24"/>
        </w:rPr>
        <w:t>ÍNDICE</w:t>
      </w:r>
    </w:p>
    <w:p>
      <w:pPr>
        <w:pStyle w:val="UFVTabladeContenido"/>
        <w:rPr>
          <w:rFonts w:ascii="Times New Roman" w:hAnsi="Times New Roman" w:cs="Times New Roman"/>
          <w:b/>
          <w:sz w:val="24"/>
          <w:szCs w:val="24"/>
        </w:rPr>
      </w:pPr>
      <w:r>
        <w:rPr>
          <w:rFonts w:cs="Times New Roman"/>
          <w:b/>
          <w:sz w:val="24"/>
          <w:szCs w:val="24"/>
        </w:rPr>
      </w:r>
    </w:p>
    <w:sdt>
      <w:sdtPr>
        <w:docPartObj>
          <w:docPartGallery w:val="Table of Contents"/>
          <w:docPartUnique w:val="true"/>
        </w:docPartObj>
      </w:sdtPr>
      <w:sdtContent>
        <w:p>
          <w:pPr>
            <w:pStyle w:val="TOC1"/>
            <w:tabs>
              <w:tab w:val="clear" w:pos="708"/>
              <w:tab w:val="right" w:pos="8777" w:leader="dot"/>
            </w:tabs>
            <w:rPr>
              <w:rFonts w:ascii="Aptos" w:hAnsi="Aptos" w:eastAsia="Times New Roman" w:cs="Aptos"/>
              <w:kern w:val="2"/>
              <w:sz w:val="24"/>
              <w:szCs w:val="24"/>
              <w:lang w:val="en-US" w:eastAsia="en-US"/>
            </w:rPr>
          </w:pPr>
          <w:r>
            <w:fldChar w:fldCharType="begin"/>
          </w:r>
          <w:r>
            <w:rPr>
              <w:rStyle w:val="IndexLink"/>
              <w:lang w:val="en-US" w:eastAsia="en-US"/>
            </w:rPr>
            <w:instrText xml:space="preserve"> TOC \o "1-3" \h \z \u </w:instrText>
          </w:r>
          <w:r>
            <w:rPr>
              <w:rStyle w:val="IndexLink"/>
              <w:lang w:val="en-US" w:eastAsia="en-US"/>
            </w:rPr>
            <w:fldChar w:fldCharType="separate"/>
          </w:r>
          <w:hyperlink w:anchor="__RefHeading___Toc177409321">
            <w:r>
              <w:rPr>
                <w:rStyle w:val="IndexLink"/>
                <w:lang w:val="en-US" w:eastAsia="en-US"/>
              </w:rPr>
              <w:t>Índice de Figuras</w:t>
              <w:tab/>
              <w:t>6</w:t>
            </w:r>
          </w:hyperlink>
        </w:p>
        <w:p>
          <w:pPr>
            <w:pStyle w:val="TOC1"/>
            <w:tabs>
              <w:tab w:val="clear" w:pos="708"/>
              <w:tab w:val="right" w:pos="8777" w:leader="dot"/>
            </w:tabs>
            <w:rPr>
              <w:rFonts w:ascii="Aptos" w:hAnsi="Aptos" w:eastAsia="Times New Roman" w:cs="Aptos"/>
              <w:kern w:val="2"/>
              <w:sz w:val="24"/>
              <w:szCs w:val="24"/>
              <w:lang w:val="en-US" w:eastAsia="en-US"/>
            </w:rPr>
          </w:pPr>
          <w:hyperlink w:anchor="__RefHeading___Toc177409322">
            <w:r>
              <w:rPr>
                <w:rStyle w:val="IndexLink"/>
                <w:lang w:val="en-US" w:eastAsia="en-US"/>
              </w:rPr>
              <w:t>Índice de Tablas</w:t>
              <w:tab/>
              <w:t>6</w:t>
            </w:r>
          </w:hyperlink>
        </w:p>
        <w:p>
          <w:pPr>
            <w:pStyle w:val="TOC1"/>
            <w:tabs>
              <w:tab w:val="clear" w:pos="708"/>
              <w:tab w:val="left" w:pos="440" w:leader="none"/>
              <w:tab w:val="right" w:pos="8777" w:leader="dot"/>
            </w:tabs>
            <w:rPr>
              <w:rFonts w:ascii="Aptos" w:hAnsi="Aptos" w:eastAsia="Times New Roman" w:cs="Aptos"/>
              <w:kern w:val="2"/>
              <w:sz w:val="24"/>
              <w:szCs w:val="24"/>
              <w:lang w:val="en-US" w:eastAsia="en-US"/>
            </w:rPr>
          </w:pPr>
          <w:hyperlink w:anchor="__RefHeading___Toc177409323">
            <w:r>
              <w:rPr>
                <w:rStyle w:val="IndexLink"/>
                <w:lang w:val="en-US" w:eastAsia="en-US"/>
              </w:rPr>
              <w:t>1.</w:t>
            </w:r>
            <w:r>
              <w:rPr>
                <w:rStyle w:val="IndexLink"/>
                <w:rFonts w:eastAsia="Times New Roman" w:cs="Aptos" w:ascii="Aptos" w:hAnsi="Aptos"/>
                <w:kern w:val="2"/>
                <w:sz w:val="24"/>
                <w:szCs w:val="24"/>
                <w:lang w:val="en-US" w:eastAsia="en-US"/>
              </w:rPr>
              <w:tab/>
            </w:r>
            <w:r>
              <w:rPr>
                <w:rStyle w:val="IndexLink"/>
                <w:lang w:val="en-US" w:eastAsia="en-US"/>
              </w:rPr>
              <w:t>OBJETIVOS</w:t>
              <w:tab/>
              <w:t>7</w:t>
            </w:r>
          </w:hyperlink>
        </w:p>
        <w:p>
          <w:pPr>
            <w:pStyle w:val="TOC1"/>
            <w:tabs>
              <w:tab w:val="clear" w:pos="708"/>
              <w:tab w:val="left" w:pos="440" w:leader="none"/>
              <w:tab w:val="right" w:pos="8777" w:leader="dot"/>
            </w:tabs>
            <w:rPr>
              <w:rFonts w:ascii="Aptos" w:hAnsi="Aptos" w:eastAsia="Times New Roman" w:cs="Aptos"/>
              <w:kern w:val="2"/>
              <w:sz w:val="24"/>
              <w:szCs w:val="24"/>
              <w:lang w:val="en-US" w:eastAsia="en-US"/>
            </w:rPr>
          </w:pPr>
          <w:hyperlink w:anchor="__RefHeading___Toc177409324">
            <w:r>
              <w:rPr>
                <w:rStyle w:val="IndexLink"/>
                <w:lang w:val="en-US" w:eastAsia="en-US"/>
              </w:rPr>
              <w:t>2.</w:t>
            </w:r>
            <w:r>
              <w:rPr>
                <w:rStyle w:val="IndexLink"/>
                <w:rFonts w:eastAsia="Times New Roman" w:cs="Aptos" w:ascii="Aptos" w:hAnsi="Aptos"/>
                <w:kern w:val="2"/>
                <w:sz w:val="24"/>
                <w:szCs w:val="24"/>
                <w:lang w:val="en-US" w:eastAsia="en-US"/>
              </w:rPr>
              <w:tab/>
            </w:r>
            <w:r>
              <w:rPr>
                <w:rStyle w:val="IndexLink"/>
                <w:lang w:val="en-US" w:eastAsia="en-US"/>
              </w:rPr>
              <w:t>CUERPO DE LA MEMORIA</w:t>
              <w:tab/>
              <w:t>7</w:t>
            </w:r>
          </w:hyperlink>
        </w:p>
        <w:p>
          <w:pPr>
            <w:pStyle w:val="TOC2"/>
            <w:tabs>
              <w:tab w:val="clear" w:pos="708"/>
              <w:tab w:val="left" w:pos="960" w:leader="none"/>
              <w:tab w:val="right" w:pos="8777" w:leader="dot"/>
            </w:tabs>
            <w:rPr>
              <w:rFonts w:ascii="Aptos" w:hAnsi="Aptos" w:eastAsia="Times New Roman" w:cs="Aptos"/>
              <w:kern w:val="2"/>
              <w:sz w:val="24"/>
              <w:szCs w:val="24"/>
              <w:lang w:val="en-US" w:eastAsia="en-US"/>
            </w:rPr>
          </w:pPr>
          <w:hyperlink w:anchor="__RefHeading___Toc177409325">
            <w:r>
              <w:rPr>
                <w:rStyle w:val="IndexLink"/>
                <w:lang w:val="en-US" w:eastAsia="en-US"/>
              </w:rPr>
              <w:t>2.1.</w:t>
            </w:r>
            <w:r>
              <w:rPr>
                <w:rStyle w:val="IndexLink"/>
                <w:rFonts w:eastAsia="Times New Roman" w:cs="Aptos" w:ascii="Aptos" w:hAnsi="Aptos"/>
                <w:kern w:val="2"/>
                <w:sz w:val="24"/>
                <w:szCs w:val="24"/>
                <w:lang w:val="en-US" w:eastAsia="en-US"/>
              </w:rPr>
              <w:tab/>
            </w:r>
            <w:r>
              <w:rPr>
                <w:rStyle w:val="IndexLink"/>
                <w:lang w:val="en-US" w:eastAsia="en-US"/>
              </w:rPr>
              <w:t>Introducción</w:t>
              <w:tab/>
              <w:t>7</w:t>
            </w:r>
          </w:hyperlink>
        </w:p>
        <w:p>
          <w:pPr>
            <w:pStyle w:val="TOC2"/>
            <w:tabs>
              <w:tab w:val="clear" w:pos="708"/>
              <w:tab w:val="left" w:pos="960" w:leader="none"/>
              <w:tab w:val="right" w:pos="8777" w:leader="dot"/>
            </w:tabs>
            <w:rPr>
              <w:rFonts w:ascii="Aptos" w:hAnsi="Aptos" w:eastAsia="Times New Roman" w:cs="Aptos"/>
              <w:kern w:val="2"/>
              <w:sz w:val="24"/>
              <w:szCs w:val="24"/>
              <w:lang w:val="en-US" w:eastAsia="en-US"/>
            </w:rPr>
          </w:pPr>
          <w:hyperlink w:anchor="__RefHeading___Toc177409326">
            <w:r>
              <w:rPr>
                <w:rStyle w:val="IndexLink"/>
                <w:lang w:val="en-US" w:eastAsia="en-US"/>
              </w:rPr>
              <w:t>2.2.</w:t>
            </w:r>
            <w:r>
              <w:rPr>
                <w:rStyle w:val="IndexLink"/>
                <w:rFonts w:eastAsia="Times New Roman" w:cs="Aptos" w:ascii="Aptos" w:hAnsi="Aptos"/>
                <w:kern w:val="2"/>
                <w:sz w:val="24"/>
                <w:szCs w:val="24"/>
                <w:lang w:val="en-US" w:eastAsia="en-US"/>
              </w:rPr>
              <w:tab/>
            </w:r>
            <w:r>
              <w:rPr>
                <w:rStyle w:val="IndexLink"/>
                <w:lang w:val="en-US" w:eastAsia="en-US"/>
              </w:rPr>
              <w:t>Motivación</w:t>
              <w:tab/>
              <w:t>7</w:t>
            </w:r>
          </w:hyperlink>
        </w:p>
        <w:p>
          <w:pPr>
            <w:pStyle w:val="TOC2"/>
            <w:tabs>
              <w:tab w:val="clear" w:pos="708"/>
              <w:tab w:val="left" w:pos="960" w:leader="none"/>
              <w:tab w:val="right" w:pos="8777" w:leader="dot"/>
            </w:tabs>
            <w:rPr>
              <w:rFonts w:ascii="Aptos" w:hAnsi="Aptos" w:eastAsia="Times New Roman" w:cs="Aptos"/>
              <w:kern w:val="2"/>
              <w:sz w:val="24"/>
              <w:szCs w:val="24"/>
              <w:lang w:val="en-US" w:eastAsia="en-US"/>
            </w:rPr>
          </w:pPr>
          <w:hyperlink w:anchor="__RefHeading___Toc177409327">
            <w:r>
              <w:rPr>
                <w:rStyle w:val="IndexLink"/>
                <w:lang w:val="en-US" w:eastAsia="en-US"/>
              </w:rPr>
              <w:t>2.3.</w:t>
            </w:r>
            <w:r>
              <w:rPr>
                <w:rStyle w:val="IndexLink"/>
                <w:rFonts w:eastAsia="Times New Roman" w:cs="Aptos" w:ascii="Aptos" w:hAnsi="Aptos"/>
                <w:kern w:val="2"/>
                <w:sz w:val="24"/>
                <w:szCs w:val="24"/>
                <w:lang w:val="en-US" w:eastAsia="en-US"/>
              </w:rPr>
              <w:tab/>
            </w:r>
            <w:r>
              <w:rPr>
                <w:rStyle w:val="IndexLink"/>
                <w:lang w:val="en-US" w:eastAsia="en-US"/>
              </w:rPr>
              <w:t>Estado del arte</w:t>
              <w:tab/>
              <w:t>7</w:t>
            </w:r>
          </w:hyperlink>
        </w:p>
        <w:p>
          <w:pPr>
            <w:pStyle w:val="TOC2"/>
            <w:tabs>
              <w:tab w:val="clear" w:pos="708"/>
              <w:tab w:val="left" w:pos="960" w:leader="none"/>
              <w:tab w:val="right" w:pos="8777" w:leader="dot"/>
            </w:tabs>
            <w:rPr>
              <w:rFonts w:ascii="Aptos" w:hAnsi="Aptos" w:eastAsia="Times New Roman" w:cs="Aptos"/>
              <w:kern w:val="2"/>
              <w:sz w:val="24"/>
              <w:szCs w:val="24"/>
              <w:lang w:val="en-US" w:eastAsia="en-US"/>
            </w:rPr>
          </w:pPr>
          <w:hyperlink w:anchor="__RefHeading___Toc177409328">
            <w:r>
              <w:rPr>
                <w:rStyle w:val="IndexLink"/>
                <w:lang w:val="en-US" w:eastAsia="en-US"/>
              </w:rPr>
              <w:t>2.4.</w:t>
            </w:r>
            <w:r>
              <w:rPr>
                <w:rStyle w:val="IndexLink"/>
                <w:rFonts w:eastAsia="Times New Roman" w:cs="Aptos" w:ascii="Aptos" w:hAnsi="Aptos"/>
                <w:kern w:val="2"/>
                <w:sz w:val="24"/>
                <w:szCs w:val="24"/>
                <w:lang w:val="en-US" w:eastAsia="en-US"/>
              </w:rPr>
              <w:tab/>
            </w:r>
            <w:r>
              <w:rPr>
                <w:rStyle w:val="IndexLink"/>
                <w:lang w:val="en-US" w:eastAsia="en-US"/>
              </w:rPr>
              <w:t>Marco teórico</w:t>
              <w:tab/>
              <w:t>7</w:t>
            </w:r>
          </w:hyperlink>
        </w:p>
        <w:p>
          <w:pPr>
            <w:pStyle w:val="TOC1"/>
            <w:tabs>
              <w:tab w:val="clear" w:pos="708"/>
              <w:tab w:val="left" w:pos="440" w:leader="none"/>
              <w:tab w:val="right" w:pos="8777" w:leader="dot"/>
            </w:tabs>
            <w:rPr>
              <w:rFonts w:ascii="Aptos" w:hAnsi="Aptos" w:eastAsia="Times New Roman" w:cs="Aptos"/>
              <w:kern w:val="2"/>
              <w:sz w:val="24"/>
              <w:szCs w:val="24"/>
              <w:lang w:val="en-US" w:eastAsia="en-US"/>
            </w:rPr>
          </w:pPr>
          <w:hyperlink w:anchor="__RefHeading___Toc177409329">
            <w:r>
              <w:rPr>
                <w:rStyle w:val="IndexLink"/>
                <w:lang w:val="en-US" w:eastAsia="en-US"/>
              </w:rPr>
              <w:t>3.</w:t>
            </w:r>
            <w:r>
              <w:rPr>
                <w:rStyle w:val="IndexLink"/>
                <w:rFonts w:eastAsia="Times New Roman" w:cs="Aptos" w:ascii="Aptos" w:hAnsi="Aptos"/>
                <w:kern w:val="2"/>
                <w:sz w:val="24"/>
                <w:szCs w:val="24"/>
                <w:lang w:val="en-US" w:eastAsia="en-US"/>
              </w:rPr>
              <w:tab/>
            </w:r>
            <w:r>
              <w:rPr>
                <w:rStyle w:val="IndexLink"/>
                <w:lang w:val="en-US" w:eastAsia="en-US"/>
              </w:rPr>
              <w:t>TRABAJO TÉCNICO</w:t>
              <w:tab/>
              <w:t>7</w:t>
            </w:r>
          </w:hyperlink>
        </w:p>
        <w:p>
          <w:pPr>
            <w:pStyle w:val="TOC2"/>
            <w:tabs>
              <w:tab w:val="clear" w:pos="708"/>
              <w:tab w:val="left" w:pos="960" w:leader="none"/>
              <w:tab w:val="right" w:pos="8777" w:leader="dot"/>
            </w:tabs>
            <w:rPr>
              <w:rFonts w:ascii="Aptos" w:hAnsi="Aptos" w:eastAsia="Times New Roman" w:cs="Aptos"/>
              <w:kern w:val="2"/>
              <w:sz w:val="24"/>
              <w:szCs w:val="24"/>
              <w:lang w:val="en-US" w:eastAsia="en-US"/>
            </w:rPr>
          </w:pPr>
          <w:hyperlink w:anchor="__RefHeading___Toc177409330">
            <w:r>
              <w:rPr>
                <w:rStyle w:val="IndexLink"/>
                <w:lang w:val="en-US" w:eastAsia="en-US"/>
              </w:rPr>
              <w:t>3.1.</w:t>
            </w:r>
            <w:r>
              <w:rPr>
                <w:rStyle w:val="IndexLink"/>
                <w:rFonts w:eastAsia="Times New Roman" w:cs="Aptos" w:ascii="Aptos" w:hAnsi="Aptos"/>
                <w:kern w:val="2"/>
                <w:sz w:val="24"/>
                <w:szCs w:val="24"/>
                <w:lang w:val="en-US" w:eastAsia="en-US"/>
              </w:rPr>
              <w:tab/>
            </w:r>
            <w:r>
              <w:rPr>
                <w:rStyle w:val="IndexLink"/>
                <w:lang w:val="en-US" w:eastAsia="en-US"/>
              </w:rPr>
              <w:t>Herramientas empleadas</w:t>
              <w:tab/>
              <w:t>7</w:t>
            </w:r>
          </w:hyperlink>
        </w:p>
        <w:p>
          <w:pPr>
            <w:pStyle w:val="TOC2"/>
            <w:tabs>
              <w:tab w:val="clear" w:pos="708"/>
              <w:tab w:val="left" w:pos="960" w:leader="none"/>
              <w:tab w:val="right" w:pos="8777" w:leader="dot"/>
            </w:tabs>
            <w:rPr>
              <w:rFonts w:ascii="Aptos" w:hAnsi="Aptos" w:eastAsia="Times New Roman" w:cs="Aptos"/>
              <w:kern w:val="2"/>
              <w:sz w:val="24"/>
              <w:szCs w:val="24"/>
              <w:lang w:val="en-US" w:eastAsia="en-US"/>
            </w:rPr>
          </w:pPr>
          <w:hyperlink w:anchor="__RefHeading___Toc177409331">
            <w:r>
              <w:rPr>
                <w:rStyle w:val="IndexLink"/>
                <w:lang w:val="en-US" w:eastAsia="en-US"/>
              </w:rPr>
              <w:t>3.2.</w:t>
            </w:r>
            <w:r>
              <w:rPr>
                <w:rStyle w:val="IndexLink"/>
                <w:rFonts w:eastAsia="Times New Roman" w:cs="Aptos" w:ascii="Aptos" w:hAnsi="Aptos"/>
                <w:kern w:val="2"/>
                <w:sz w:val="24"/>
                <w:szCs w:val="24"/>
                <w:lang w:val="en-US" w:eastAsia="en-US"/>
              </w:rPr>
              <w:tab/>
            </w:r>
            <w:r>
              <w:rPr>
                <w:rStyle w:val="IndexLink"/>
                <w:lang w:val="en-US" w:eastAsia="en-US"/>
              </w:rPr>
              <w:t>Ingeniería del dato</w:t>
              <w:tab/>
              <w:t>7</w:t>
            </w:r>
          </w:hyperlink>
        </w:p>
        <w:p>
          <w:pPr>
            <w:pStyle w:val="TOC2"/>
            <w:tabs>
              <w:tab w:val="clear" w:pos="708"/>
              <w:tab w:val="left" w:pos="960" w:leader="none"/>
              <w:tab w:val="right" w:pos="8777" w:leader="dot"/>
            </w:tabs>
            <w:rPr>
              <w:rFonts w:ascii="Aptos" w:hAnsi="Aptos" w:eastAsia="Times New Roman" w:cs="Aptos"/>
              <w:kern w:val="2"/>
              <w:sz w:val="24"/>
              <w:szCs w:val="24"/>
              <w:lang w:val="en-US" w:eastAsia="en-US"/>
            </w:rPr>
          </w:pPr>
          <w:hyperlink w:anchor="__RefHeading___Toc177409332">
            <w:r>
              <w:rPr>
                <w:rStyle w:val="IndexLink"/>
                <w:lang w:val="en-US" w:eastAsia="en-US"/>
              </w:rPr>
              <w:t>3.3.</w:t>
            </w:r>
            <w:r>
              <w:rPr>
                <w:rStyle w:val="IndexLink"/>
                <w:rFonts w:eastAsia="Times New Roman" w:cs="Aptos" w:ascii="Aptos" w:hAnsi="Aptos"/>
                <w:kern w:val="2"/>
                <w:sz w:val="24"/>
                <w:szCs w:val="24"/>
                <w:lang w:val="en-US" w:eastAsia="en-US"/>
              </w:rPr>
              <w:tab/>
            </w:r>
            <w:r>
              <w:rPr>
                <w:rStyle w:val="IndexLink"/>
                <w:lang w:val="en-US" w:eastAsia="en-US"/>
              </w:rPr>
              <w:t>Análisis del dato</w:t>
              <w:tab/>
              <w:t>7</w:t>
            </w:r>
          </w:hyperlink>
        </w:p>
        <w:p>
          <w:pPr>
            <w:pStyle w:val="TOC2"/>
            <w:tabs>
              <w:tab w:val="clear" w:pos="708"/>
              <w:tab w:val="left" w:pos="960" w:leader="none"/>
              <w:tab w:val="right" w:pos="8777" w:leader="dot"/>
            </w:tabs>
            <w:rPr>
              <w:rFonts w:ascii="Aptos" w:hAnsi="Aptos" w:eastAsia="Times New Roman" w:cs="Aptos"/>
              <w:kern w:val="2"/>
              <w:sz w:val="24"/>
              <w:szCs w:val="24"/>
              <w:lang w:val="en-US" w:eastAsia="en-US"/>
            </w:rPr>
          </w:pPr>
          <w:hyperlink w:anchor="__RefHeading___Toc177409333">
            <w:r>
              <w:rPr>
                <w:rStyle w:val="IndexLink"/>
                <w:lang w:val="en-US" w:eastAsia="en-US"/>
              </w:rPr>
              <w:t>3.4.</w:t>
            </w:r>
            <w:r>
              <w:rPr>
                <w:rStyle w:val="IndexLink"/>
                <w:rFonts w:eastAsia="Times New Roman" w:cs="Aptos" w:ascii="Aptos" w:hAnsi="Aptos"/>
                <w:kern w:val="2"/>
                <w:sz w:val="24"/>
                <w:szCs w:val="24"/>
                <w:lang w:val="en-US" w:eastAsia="en-US"/>
              </w:rPr>
              <w:tab/>
            </w:r>
            <w:r>
              <w:rPr>
                <w:rStyle w:val="IndexLink"/>
                <w:lang w:val="en-US" w:eastAsia="en-US"/>
              </w:rPr>
              <w:t>Análisis del Negocio</w:t>
              <w:tab/>
              <w:t>7</w:t>
            </w:r>
          </w:hyperlink>
        </w:p>
        <w:p>
          <w:pPr>
            <w:pStyle w:val="TOC1"/>
            <w:tabs>
              <w:tab w:val="clear" w:pos="708"/>
              <w:tab w:val="left" w:pos="440" w:leader="none"/>
              <w:tab w:val="right" w:pos="8777" w:leader="dot"/>
            </w:tabs>
            <w:rPr>
              <w:rFonts w:ascii="Aptos" w:hAnsi="Aptos" w:eastAsia="Times New Roman" w:cs="Aptos"/>
              <w:kern w:val="2"/>
              <w:sz w:val="24"/>
              <w:szCs w:val="24"/>
              <w:lang w:val="en-US" w:eastAsia="en-US"/>
            </w:rPr>
          </w:pPr>
          <w:hyperlink w:anchor="__RefHeading___Toc177409334">
            <w:r>
              <w:rPr>
                <w:rStyle w:val="IndexLink"/>
                <w:lang w:val="en-US" w:eastAsia="en-US"/>
              </w:rPr>
              <w:t>4.</w:t>
            </w:r>
            <w:r>
              <w:rPr>
                <w:rStyle w:val="IndexLink"/>
                <w:rFonts w:eastAsia="Times New Roman" w:cs="Aptos" w:ascii="Aptos" w:hAnsi="Aptos"/>
                <w:kern w:val="2"/>
                <w:sz w:val="24"/>
                <w:szCs w:val="24"/>
                <w:lang w:val="en-US" w:eastAsia="en-US"/>
              </w:rPr>
              <w:tab/>
            </w:r>
            <w:r>
              <w:rPr>
                <w:rStyle w:val="IndexLink"/>
                <w:lang w:val="en-US" w:eastAsia="en-US"/>
              </w:rPr>
              <w:t>CONCLUSIONES GENERALES DEL TRABAJO</w:t>
              <w:tab/>
              <w:t>9</w:t>
            </w:r>
          </w:hyperlink>
        </w:p>
        <w:p>
          <w:pPr>
            <w:pStyle w:val="TOC1"/>
            <w:tabs>
              <w:tab w:val="clear" w:pos="708"/>
              <w:tab w:val="left" w:pos="440" w:leader="none"/>
              <w:tab w:val="right" w:pos="8777" w:leader="dot"/>
            </w:tabs>
            <w:rPr>
              <w:rFonts w:ascii="Aptos" w:hAnsi="Aptos" w:eastAsia="Times New Roman" w:cs="Aptos"/>
              <w:kern w:val="2"/>
              <w:sz w:val="24"/>
              <w:szCs w:val="24"/>
              <w:lang w:val="en-US" w:eastAsia="en-US"/>
            </w:rPr>
          </w:pPr>
          <w:hyperlink w:anchor="__RefHeading___Toc177409335">
            <w:r>
              <w:rPr>
                <w:rStyle w:val="IndexLink"/>
                <w:lang w:val="en-US" w:eastAsia="en-US"/>
              </w:rPr>
              <w:t>5.</w:t>
            </w:r>
            <w:r>
              <w:rPr>
                <w:rStyle w:val="IndexLink"/>
                <w:rFonts w:eastAsia="Times New Roman" w:cs="Aptos" w:ascii="Aptos" w:hAnsi="Aptos"/>
                <w:kern w:val="2"/>
                <w:sz w:val="24"/>
                <w:szCs w:val="24"/>
                <w:lang w:val="en-US" w:eastAsia="en-US"/>
              </w:rPr>
              <w:tab/>
            </w:r>
            <w:r>
              <w:rPr>
                <w:rStyle w:val="IndexLink"/>
                <w:lang w:val="en-US" w:eastAsia="en-US"/>
              </w:rPr>
              <w:t>REFENCIAS BIBLIOGRÁFICAS</w:t>
              <w:tab/>
              <w:t>10</w:t>
            </w:r>
          </w:hyperlink>
          <w:r>
            <w:rPr>
              <w:rStyle w:val="IndexLink"/>
              <w:lang w:val="en-US" w:eastAsia="en-US"/>
            </w:rPr>
            <w:fldChar w:fldCharType="end"/>
          </w:r>
        </w:p>
      </w:sdtContent>
    </w:sdt>
    <w:p>
      <w:pPr>
        <w:pStyle w:val="UFVTabladeContenido"/>
        <w:rPr>
          <w:rFonts w:ascii="Aptos" w:hAnsi="Aptos" w:eastAsia="Times New Roman" w:cs="Aptos"/>
          <w:kern w:val="2"/>
          <w:sz w:val="24"/>
          <w:szCs w:val="24"/>
          <w:lang w:val="en-US" w:eastAsia="en-US"/>
        </w:rPr>
      </w:pPr>
      <w:r>
        <w:rPr>
          <w:rFonts w:eastAsia="Times New Roman" w:cs="Aptos" w:ascii="Aptos" w:hAnsi="Aptos"/>
          <w:kern w:val="2"/>
          <w:sz w:val="24"/>
          <w:szCs w:val="24"/>
          <w:lang w:val="en-US" w:eastAsia="en-US"/>
        </w:rPr>
      </w:r>
    </w:p>
    <w:p>
      <w:pPr>
        <w:pStyle w:val="UFVNormal"/>
        <w:rPr/>
      </w:pPr>
      <w:r>
        <w:rPr>
          <w:b/>
        </w:rPr>
      </w:r>
      <w:r>
        <w:rPr/>
      </w:r>
      <w:r>
        <w:rPr>
          <w:i/>
        </w:rPr>
      </w:r>
      <w:r>
        <w:rPr/>
      </w:r>
    </w:p>
    <w:p>
      <w:pPr>
        <w:pStyle w:val="UFVNormal"/>
        <w:rPr/>
      </w:pPr>
      <w:r>
        <w:rPr/>
      </w:r>
    </w:p>
    <w:p>
      <w:pPr>
        <w:pStyle w:val="UFVNormal"/>
        <w:rPr/>
      </w:pPr>
      <w:r>
        <w:rPr/>
      </w:r>
    </w:p>
    <w:p>
      <w:pPr>
        <w:pStyle w:val="UFVNormal"/>
        <w:rPr/>
      </w:pPr>
      <w:r>
        <w:rPr/>
      </w:r>
      <w:r/>
    </w:p>
    <w:p>
      <w:pPr>
        <w:pStyle w:val="UFVEpgrafeNivel1"/>
        <w:numPr>
          <w:ilvl w:val="0"/>
          <w:numId w:val="0"/>
        </w:numPr>
        <w:ind w:hanging="0" w:start="1074" w:end="0"/>
        <w:rPr/>
      </w:pPr>
      <w:bookmarkStart w:id="0" w:name="__RefHeading___Toc177409321"/>
      <w:r>
        <w:rPr/>
        <w:t>Índice de Figuras</w:t>
      </w:r>
      <w:bookmarkEnd w:id="0"/>
      <w:r>
        <w:rPr/>
      </w:r>
    </w:p>
    <w:p>
      <w:pPr>
        <w:pStyle w:val="UFVNormal"/>
        <w:rPr/>
      </w:pPr>
      <w:r>
        <w:rPr/>
        <w:t>[Se generará automáticamente al finalizar el documento]</w:t>
      </w:r>
    </w:p>
    <w:p>
      <w:pPr>
        <w:pStyle w:val="UFVNormal"/>
        <w:rPr/>
      </w:pPr>
      <w:r>
        <w:rPr/>
      </w:r>
    </w:p>
    <w:p>
      <w:pPr>
        <w:pStyle w:val="UFVEpgrafeNivel1"/>
        <w:numPr>
          <w:ilvl w:val="0"/>
          <w:numId w:val="0"/>
        </w:numPr>
        <w:ind w:hanging="0" w:start="1074" w:end="0"/>
        <w:rPr/>
      </w:pPr>
      <w:bookmarkStart w:id="1" w:name="__RefHeading___Toc177409322"/>
      <w:r>
        <w:rPr/>
        <w:t>Índice de Tablas</w:t>
      </w:r>
      <w:bookmarkEnd w:id="1"/>
      <w:r>
        <w:rPr/>
      </w:r>
    </w:p>
    <w:p>
      <w:pPr>
        <w:sectPr>
          <w:footerReference w:type="default" r:id="rId5"/>
          <w:footerReference w:type="first" r:id="rId6"/>
          <w:type w:val="nextPage"/>
          <w:pgSz w:w="11906" w:h="16838"/>
          <w:pgMar w:left="1701" w:right="1418" w:gutter="0" w:header="0" w:top="1418" w:footer="709" w:bottom="1418"/>
          <w:pgNumType w:fmt="decimal"/>
          <w:formProt w:val="false"/>
          <w:textDirection w:val="lrTb"/>
          <w:docGrid w:type="default" w:linePitch="360" w:charSpace="0"/>
        </w:sectPr>
        <w:pStyle w:val="UFVNormal"/>
        <w:rPr/>
      </w:pPr>
      <w:r>
        <w:rPr/>
        <w:t>[Se generará automáticamente al finalizar el documento]</w:t>
      </w:r>
    </w:p>
    <w:p>
      <w:pPr>
        <w:pStyle w:val="UFVNormal"/>
        <w:rPr/>
      </w:pPr>
      <w:r>
        <w:rPr/>
      </w:r>
    </w:p>
    <w:p>
      <w:pPr>
        <w:pStyle w:val="UFVNormal"/>
        <w:rPr/>
      </w:pPr>
      <w:r>
        <w:rPr/>
      </w:r>
      <w:hyperlink r:id="rId7">
        <w:r>
          <w:rPr>
            <w:rStyle w:val="Hyperlink"/>
            <w:i/>
          </w:rPr>
          <w:t>Manual de Publicaciones de la American Psychological Association</w:t>
        </w:r>
      </w:hyperlink>
      <w:r>
        <w:rPr/>
      </w:r>
    </w:p>
    <w:p>
      <w:pPr>
        <w:pStyle w:val="UFVNormal"/>
        <w:rPr/>
      </w:pPr>
      <w:r>
        <w:rPr/>
      </w:r>
    </w:p>
    <w:p>
      <w:pPr>
        <w:pStyle w:val="UFVNormal"/>
        <w:rPr>
          <w:b/>
          <w:bCs/>
          <w:i/>
          <w:i/>
          <w:iCs/>
        </w:rPr>
      </w:pPr>
      <w:r>
        <w:rPr>
          <w:b/>
          <w:bCs/>
          <w:i/>
          <w:iCs/>
        </w:rPr>
      </w:r>
    </w:p>
    <w:p>
      <w:pPr>
        <w:pStyle w:val="UFVNormal"/>
        <w:rPr/>
      </w:pPr>
      <w:r>
        <w:rPr/>
      </w:r>
    </w:p>
    <w:p>
      <w:pPr>
        <w:pStyle w:val="UFVNormal"/>
        <w:rPr>
          <w:b/>
        </w:rPr>
      </w:pPr>
      <w:r>
        <w:rPr/>
      </w:r>
    </w:p>
    <w:p>
      <w:pPr>
        <w:pStyle w:val="UFVNormal"/>
        <w:rPr/>
      </w:pPr>
      <w:r>
        <w:rPr/>
      </w:r>
    </w:p>
    <w:p>
      <w:pPr>
        <w:pStyle w:val="UFVNormal"/>
        <w:rPr/>
      </w:pPr>
      <w:r>
        <w:rPr/>
      </w:r>
    </w:p>
    <w:p>
      <w:pPr>
        <w:pStyle w:val="UFVNormal"/>
        <w:rPr>
          <w:b/>
          <w:bCs/>
          <w:i/>
          <w:i/>
          <w:iCs/>
        </w:rPr>
      </w:pPr>
      <w:r>
        <w:rPr>
          <w:b/>
          <w:bCs/>
          <w:i/>
          <w:iCs/>
        </w:rPr>
      </w:r>
    </w:p>
    <w:p>
      <w:pPr>
        <w:pStyle w:val="UFVNormal"/>
        <w:rPr/>
      </w:pPr>
      <w:r>
        <w:rPr/>
      </w:r>
    </w:p>
    <w:p>
      <w:pPr>
        <w:pStyle w:val="UFVNormal"/>
        <w:numPr>
          <w:ilvl w:val="0"/>
          <w:numId w:val="3"/>
        </w:numPr>
        <w:rPr/>
      </w:pPr>
      <w:r>
        <w:rPr/>
      </w:r>
    </w:p>
    <w:p>
      <w:pPr>
        <w:pStyle w:val="UFVNormal"/>
        <w:numPr>
          <w:ilvl w:val="0"/>
          <w:numId w:val="3"/>
        </w:numPr>
        <w:rPr/>
      </w:pPr>
      <w:r>
        <w:rPr/>
      </w:r>
    </w:p>
    <w:p>
      <w:pPr>
        <w:pStyle w:val="UFVNormal"/>
        <w:numPr>
          <w:ilvl w:val="0"/>
          <w:numId w:val="3"/>
        </w:numPr>
        <w:rPr/>
      </w:pPr>
      <w:r>
        <w:rPr/>
      </w:r>
    </w:p>
    <w:p>
      <w:pPr>
        <w:pStyle w:val="UFVNormal"/>
        <w:numPr>
          <w:ilvl w:val="0"/>
          <w:numId w:val="3"/>
        </w:numPr>
        <w:rPr/>
      </w:pPr>
      <w:r>
        <w:rPr/>
      </w:r>
    </w:p>
    <w:p>
      <w:pPr>
        <w:pStyle w:val="UFVNormal"/>
        <w:numPr>
          <w:ilvl w:val="0"/>
          <w:numId w:val="3"/>
        </w:numPr>
        <w:rPr/>
      </w:pPr>
      <w:r>
        <w:rPr/>
      </w:r>
    </w:p>
    <w:p>
      <w:pPr>
        <w:pStyle w:val="UFVNormal"/>
        <w:rPr/>
      </w:pPr>
      <w:r>
        <w:rPr/>
      </w:r>
    </w:p>
    <w:p>
      <w:pPr>
        <w:pStyle w:val="UFVNormal"/>
        <w:rPr/>
      </w:pPr>
      <w:r>
        <w:rPr/>
      </w:r>
    </w:p>
    <w:p>
      <w:pPr>
        <w:pStyle w:val="UFVNormal"/>
        <w:rPr>
          <w:b/>
          <w:bCs/>
          <w:i/>
          <w:i/>
          <w:iCs/>
        </w:rPr>
      </w:pPr>
      <w:r>
        <w:rPr>
          <w:b/>
          <w:bCs/>
          <w:i/>
          <w:iCs/>
        </w:rPr>
      </w:r>
    </w:p>
    <w:p>
      <w:pPr>
        <w:pStyle w:val="UFVNormal"/>
        <w:rPr/>
      </w:pPr>
      <w:r>
        <w:rPr/>
      </w:r>
    </w:p>
    <w:p>
      <w:pPr>
        <w:pStyle w:val="UFVFigura"/>
        <w:rPr>
          <w:lang w:val="en-US" w:eastAsia="en-US"/>
        </w:rPr>
      </w:pPr>
      <w:r>
        <w:rPr>
          <w:lang w:val="en-US" w:eastAsia="en-US"/>
        </w:rPr>
      </w:r>
    </w:p>
    <w:p>
      <w:pPr>
        <w:pStyle w:val="UFVFigura"/>
        <w:rPr/>
      </w:pPr>
      <w:r>
        <w:rPr/>
      </w:r>
    </w:p>
    <w:p>
      <w:pPr>
        <w:pStyle w:val="UFVNormal"/>
        <w:rPr/>
      </w:pPr>
      <w:r>
        <w:rPr/>
      </w:r>
      <w:r>
        <w:rPr>
          <w:i/>
        </w:rPr>
      </w:r>
      <w:r>
        <w:rPr/>
      </w:r>
    </w:p>
    <w:p>
      <w:pPr>
        <w:pStyle w:val="UFVNormal"/>
        <w:rPr>
          <w:b/>
          <w:bCs/>
          <w:i/>
          <w:i/>
          <w:iCs/>
        </w:rPr>
      </w:pPr>
      <w:r>
        <w:rPr>
          <w:b/>
          <w:bCs/>
          <w:i/>
          <w:iCs/>
        </w:rPr>
      </w:r>
    </w:p>
    <w:p>
      <w:pPr>
        <w:pStyle w:val="UFVNormal"/>
        <w:rPr/>
      </w:pPr>
      <w:r>
        <w:rPr/>
      </w:r>
    </w:p>
    <w:p>
      <w:pPr>
        <w:pStyle w:val="UFVNormal"/>
        <w:rPr/>
      </w:pPr>
      <w:r>
        <w:rPr/>
      </w:r>
    </w:p>
    <w:p>
      <w:pPr>
        <w:pStyle w:val="UFVEncabezadoTabla"/>
        <w:rPr/>
      </w:pPr>
      <w:r>
        <w:rPr/>
      </w:r>
      <w:r>
        <w:rPr/>
      </w:r>
      <w:r>
        <w:rPr/>
      </w:r>
      <w:r>
        <w:rPr/>
      </w:r>
      <w:r>
        <w:rPr/>
      </w:r>
      <w:r>
        <w:rPr/>
      </w:r>
      <w:r>
        <w:rPr/>
      </w:r>
    </w:p>
    <w:tbl>
      <w:tblPr>
        <w:tblW w:w="4196" w:type="dxa"/>
        <w:jc w:val="center"/>
        <w:tblInd w:w="0" w:type="dxa"/>
        <w:tblLayout w:type="fixed"/>
        <w:tblCellMar>
          <w:top w:w="0" w:type="dxa"/>
          <w:start w:w="108" w:type="dxa"/>
          <w:bottom w:w="0" w:type="dxa"/>
          <w:end w:w="108" w:type="dxa"/>
        </w:tblCellMar>
      </w:tblPr>
      <w:tblGrid>
        <w:gridCol w:w="1928"/>
        <w:gridCol w:w="1134"/>
        <w:gridCol w:w="1134"/>
      </w:tblGrid>
      <w:tr>
        <w:trPr>
          <w:cantSplit w:val="true"/>
        </w:trPr>
        <w:tc>
          <w:tcPr>
            <w:tcW w:w="1928" w:type="dxa"/>
            <w:tcBorders>
              <w:top w:val="single" w:sz="4" w:space="0" w:color="000000"/>
            </w:tcBorders>
            <w:vAlign w:val="center"/>
          </w:tcPr>
          <w:p>
            <w:pPr>
              <w:pStyle w:val="UFVTabla"/>
              <w:snapToGrid w:val="false"/>
              <w:rPr/>
            </w:pPr>
            <w:r>
              <w:rPr/>
            </w:r>
          </w:p>
        </w:tc>
        <w:tc>
          <w:tcPr>
            <w:tcW w:w="2268" w:type="dxa"/>
            <w:gridSpan w:val="2"/>
            <w:tcBorders>
              <w:top w:val="single" w:sz="4" w:space="0" w:color="000000"/>
              <w:bottom w:val="single" w:sz="4" w:space="0" w:color="000000"/>
            </w:tcBorders>
            <w:vAlign w:val="center"/>
          </w:tcPr>
          <w:p>
            <w:pPr>
              <w:pStyle w:val="UFVTabla"/>
              <w:rPr/>
            </w:pPr>
            <w:r>
              <w:rPr/>
              <w:t>Grupos</w:t>
            </w:r>
          </w:p>
        </w:tc>
      </w:tr>
      <w:tr>
        <w:trPr>
          <w:cantSplit w:val="true"/>
        </w:trPr>
        <w:tc>
          <w:tcPr>
            <w:tcW w:w="1928" w:type="dxa"/>
            <w:tcBorders>
              <w:bottom w:val="single" w:sz="4" w:space="0" w:color="000000"/>
            </w:tcBorders>
            <w:vAlign w:val="center"/>
          </w:tcPr>
          <w:p>
            <w:pPr>
              <w:pStyle w:val="UFVTabla"/>
              <w:snapToGrid w:val="false"/>
              <w:rPr/>
            </w:pPr>
            <w:r>
              <w:rPr/>
            </w:r>
          </w:p>
        </w:tc>
        <w:tc>
          <w:tcPr>
            <w:tcW w:w="1134" w:type="dxa"/>
            <w:tcBorders>
              <w:top w:val="single" w:sz="4" w:space="0" w:color="000000"/>
              <w:bottom w:val="single" w:sz="4" w:space="0" w:color="000000"/>
            </w:tcBorders>
            <w:vAlign w:val="center"/>
          </w:tcPr>
          <w:p>
            <w:pPr>
              <w:pStyle w:val="UFVTabla"/>
              <w:rPr/>
            </w:pPr>
            <w:r>
              <w:rPr/>
              <w:t>A</w:t>
            </w:r>
          </w:p>
        </w:tc>
        <w:tc>
          <w:tcPr>
            <w:tcW w:w="1134" w:type="dxa"/>
            <w:tcBorders>
              <w:top w:val="single" w:sz="4" w:space="0" w:color="000000"/>
              <w:bottom w:val="single" w:sz="4" w:space="0" w:color="000000"/>
            </w:tcBorders>
            <w:vAlign w:val="center"/>
          </w:tcPr>
          <w:p>
            <w:pPr>
              <w:pStyle w:val="UFVTabla"/>
              <w:rPr/>
            </w:pPr>
            <w:r>
              <w:rPr/>
              <w:t>B</w:t>
            </w:r>
          </w:p>
        </w:tc>
      </w:tr>
      <w:tr>
        <w:trPr>
          <w:cantSplit w:val="true"/>
        </w:trPr>
        <w:tc>
          <w:tcPr>
            <w:tcW w:w="1928" w:type="dxa"/>
            <w:tcBorders>
              <w:top w:val="single" w:sz="4" w:space="0" w:color="000000"/>
            </w:tcBorders>
            <w:vAlign w:val="center"/>
          </w:tcPr>
          <w:p>
            <w:pPr>
              <w:pStyle w:val="UFVTabla"/>
              <w:rPr/>
            </w:pPr>
            <w:r>
              <w:rPr/>
              <w:t>Curso 1º</w:t>
            </w:r>
          </w:p>
        </w:tc>
        <w:tc>
          <w:tcPr>
            <w:tcW w:w="1134" w:type="dxa"/>
            <w:tcBorders>
              <w:top w:val="single" w:sz="4" w:space="0" w:color="000000"/>
            </w:tcBorders>
            <w:vAlign w:val="center"/>
          </w:tcPr>
          <w:p>
            <w:pPr>
              <w:pStyle w:val="UFVTabla"/>
              <w:rPr/>
            </w:pPr>
            <w:r>
              <w:rPr/>
              <w:t>20</w:t>
            </w:r>
          </w:p>
        </w:tc>
        <w:tc>
          <w:tcPr>
            <w:tcW w:w="1134" w:type="dxa"/>
            <w:tcBorders>
              <w:top w:val="single" w:sz="4" w:space="0" w:color="000000"/>
            </w:tcBorders>
            <w:vAlign w:val="center"/>
          </w:tcPr>
          <w:p>
            <w:pPr>
              <w:pStyle w:val="UFVTabla"/>
              <w:rPr/>
            </w:pPr>
            <w:r>
              <w:rPr/>
              <w:t>25</w:t>
            </w:r>
          </w:p>
        </w:tc>
      </w:tr>
      <w:tr>
        <w:trPr>
          <w:cantSplit w:val="true"/>
        </w:trPr>
        <w:tc>
          <w:tcPr>
            <w:tcW w:w="1928" w:type="dxa"/>
            <w:tcBorders/>
            <w:vAlign w:val="center"/>
          </w:tcPr>
          <w:p>
            <w:pPr>
              <w:pStyle w:val="UFVTabla"/>
              <w:rPr/>
            </w:pPr>
            <w:r>
              <w:rPr/>
              <w:t>Curso 2º</w:t>
            </w:r>
          </w:p>
        </w:tc>
        <w:tc>
          <w:tcPr>
            <w:tcW w:w="1134" w:type="dxa"/>
            <w:tcBorders/>
            <w:vAlign w:val="center"/>
          </w:tcPr>
          <w:p>
            <w:pPr>
              <w:pStyle w:val="UFVTabla"/>
              <w:rPr/>
            </w:pPr>
            <w:r>
              <w:rPr/>
              <w:t>17</w:t>
            </w:r>
          </w:p>
        </w:tc>
        <w:tc>
          <w:tcPr>
            <w:tcW w:w="1134" w:type="dxa"/>
            <w:tcBorders/>
            <w:vAlign w:val="center"/>
          </w:tcPr>
          <w:p>
            <w:pPr>
              <w:pStyle w:val="UFVTabla"/>
              <w:rPr/>
            </w:pPr>
            <w:r>
              <w:rPr/>
              <w:t>20</w:t>
            </w:r>
          </w:p>
        </w:tc>
      </w:tr>
      <w:tr>
        <w:trPr>
          <w:cantSplit w:val="true"/>
        </w:trPr>
        <w:tc>
          <w:tcPr>
            <w:tcW w:w="1928" w:type="dxa"/>
            <w:tcBorders>
              <w:bottom w:val="single" w:sz="4" w:space="0" w:color="000000"/>
            </w:tcBorders>
            <w:vAlign w:val="center"/>
          </w:tcPr>
          <w:p>
            <w:pPr>
              <w:pStyle w:val="UFVTabla"/>
              <w:rPr/>
            </w:pPr>
            <w:r>
              <w:rPr/>
              <w:t>Curso 3º</w:t>
            </w:r>
          </w:p>
        </w:tc>
        <w:tc>
          <w:tcPr>
            <w:tcW w:w="1134" w:type="dxa"/>
            <w:tcBorders>
              <w:bottom w:val="single" w:sz="4" w:space="0" w:color="000000"/>
            </w:tcBorders>
            <w:vAlign w:val="center"/>
          </w:tcPr>
          <w:p>
            <w:pPr>
              <w:pStyle w:val="UFVTabla"/>
              <w:rPr/>
            </w:pPr>
            <w:r>
              <w:rPr/>
              <w:t>27</w:t>
            </w:r>
          </w:p>
        </w:tc>
        <w:tc>
          <w:tcPr>
            <w:tcW w:w="1134" w:type="dxa"/>
            <w:tcBorders>
              <w:bottom w:val="single" w:sz="4" w:space="0" w:color="000000"/>
            </w:tcBorders>
            <w:vAlign w:val="center"/>
          </w:tcPr>
          <w:p>
            <w:pPr>
              <w:pStyle w:val="UFVTabla"/>
              <w:rPr/>
            </w:pPr>
            <w:r>
              <w:rPr/>
              <w:t>25</w:t>
            </w:r>
          </w:p>
        </w:tc>
      </w:tr>
      <w:tr>
        <w:trPr>
          <w:cantSplit w:val="true"/>
        </w:trPr>
        <w:tc>
          <w:tcPr>
            <w:tcW w:w="4196" w:type="dxa"/>
            <w:gridSpan w:val="3"/>
            <w:tcBorders>
              <w:top w:val="single" w:sz="4" w:space="0" w:color="000000"/>
            </w:tcBorders>
            <w:vAlign w:val="center"/>
          </w:tcPr>
          <w:p>
            <w:pPr>
              <w:pStyle w:val="FACEDUNotadetabla"/>
              <w:spacing w:before="120" w:after="120"/>
              <w:rPr/>
            </w:pPr>
            <w:r>
              <w:rPr/>
              <w:t xml:space="preserve">Tomada de Autor (2011). </w:t>
            </w:r>
          </w:p>
        </w:tc>
      </w:tr>
    </w:tbl>
    <w:p>
      <w:pPr>
        <w:pStyle w:val="UFVNormal"/>
        <w:rPr/>
      </w:pPr>
      <w:r>
        <w:rPr/>
      </w:r>
    </w:p>
    <w:p>
      <w:pPr>
        <w:pStyle w:val="UFVFigura"/>
        <w:rPr/>
      </w:pPr>
      <w:r>
        <w:rPr/>
      </w:r>
    </w:p>
    <w:p>
      <w:pPr>
        <w:pStyle w:val="UFVFigura"/>
        <w:rPr/>
      </w:pPr>
      <w:r>
        <w:rPr/>
      </w:r>
      <w:r>
        <w:rPr/>
      </w:r>
      <w:r>
        <w:rPr/>
      </w:r>
      <w:r>
        <w:rPr/>
      </w:r>
      <w:r>
        <w:rPr/>
      </w:r>
      <w:r>
        <w:rPr/>
      </w:r>
      <w:r>
        <w:rPr/>
      </w:r>
    </w:p>
    <w:p>
      <w:pPr>
        <w:pStyle w:val="UFVNormal"/>
        <w:rPr/>
      </w:pPr>
      <w:r>
        <w:rPr/>
      </w:r>
    </w:p>
    <w:p>
      <w:pPr>
        <w:pStyle w:val="UFVNormal"/>
        <w:rPr>
          <w:b/>
          <w:bCs/>
          <w:i/>
          <w:i/>
          <w:iCs/>
        </w:rPr>
      </w:pPr>
      <w:r>
        <w:rPr>
          <w:b/>
          <w:bCs/>
          <w:i/>
          <w:iCs/>
        </w:rPr>
      </w:r>
    </w:p>
    <w:p>
      <w:pPr>
        <w:pStyle w:val="UFVNormal"/>
        <w:rPr>
          <w:b/>
          <w:bCs/>
          <w:i/>
          <w:i/>
          <w:iCs/>
        </w:rPr>
      </w:pPr>
      <w:r>
        <w:rPr>
          <w:b/>
          <w:bCs/>
          <w:i/>
          <w:iCs/>
        </w:rPr>
      </w:r>
    </w:p>
    <w:p>
      <w:pPr>
        <w:pStyle w:val="UFVNormal"/>
        <w:rPr>
          <w:b/>
          <w:bCs/>
          <w:i/>
          <w:i/>
          <w:iCs/>
        </w:rPr>
      </w:pPr>
      <w:r>
        <w:rPr>
          <w:b/>
          <w:bCs/>
          <w:i/>
          <w:iCs/>
        </w:rPr>
      </w:r>
    </w:p>
    <w:p>
      <w:pPr>
        <w:pStyle w:val="UFVNormal"/>
        <w:rPr/>
      </w:pPr>
      <w:r>
        <w:rPr/>
      </w:r>
    </w:p>
    <w:p>
      <w:pPr>
        <w:pStyle w:val="UFVNormal"/>
        <w:rPr/>
      </w:pPr>
      <w:r>
        <w:rPr/>
      </w:r>
      <w:r>
        <w:rPr>
          <w:rStyle w:val="FootnoteCharacters"/>
          <w:rStyle w:val="FootnoteReference"/>
        </w:rPr>
      </w:r>
      <w:r>
        <w:rPr/>
      </w:r>
    </w:p>
    <w:p>
      <w:pPr>
        <w:pStyle w:val="UFVNormal"/>
        <w:rPr/>
      </w:pPr>
      <w:r>
        <w:rPr/>
      </w:r>
    </w:p>
    <w:p>
      <w:pPr>
        <w:pStyle w:val="UFVNormal"/>
        <w:rPr>
          <w:b/>
          <w:bCs/>
          <w:i/>
          <w:i/>
          <w:iCs/>
        </w:rPr>
      </w:pPr>
      <w:r>
        <w:rPr>
          <w:b/>
          <w:bCs/>
          <w:i/>
          <w:iCs/>
        </w:rPr>
      </w:r>
    </w:p>
    <w:p>
      <w:pPr>
        <w:pStyle w:val="UFVNormal"/>
        <w:rPr>
          <w:b/>
          <w:bCs/>
          <w:i/>
          <w:i/>
          <w:iCs/>
        </w:rPr>
      </w:pPr>
      <w:r>
        <w:rPr>
          <w:b/>
          <w:bCs/>
          <w:i/>
          <w:iCs/>
        </w:rPr>
      </w:r>
    </w:p>
    <w:p>
      <w:pPr>
        <w:pStyle w:val="UFVNormal"/>
        <w:rPr>
          <w:b/>
          <w:bCs/>
          <w:i/>
          <w:i/>
          <w:iCs/>
        </w:rPr>
      </w:pPr>
      <w:r>
        <w:rPr>
          <w:b/>
          <w:bCs/>
          <w:i/>
          <w:iCs/>
        </w:rPr>
      </w:r>
    </w:p>
    <w:p>
      <w:pPr>
        <w:pStyle w:val="UFVNormal"/>
        <w:rPr/>
      </w:pPr>
      <w:r>
        <w:rPr/>
      </w:r>
    </w:p>
    <w:p>
      <w:pPr>
        <w:pStyle w:val="UFVFigura"/>
        <w:rPr>
          <w:lang w:val="en-US" w:eastAsia="en-US"/>
        </w:rPr>
      </w:pPr>
      <w:r>
        <w:rPr>
          <w:lang w:val="en-US" w:eastAsia="en-US"/>
        </w:rPr>
      </w:r>
    </w:p>
    <w:p>
      <w:pPr>
        <w:pStyle w:val="UFVFigura"/>
        <w:rPr/>
      </w:pPr>
      <w:r>
        <w:rPr/>
      </w:r>
    </w:p>
    <w:p>
      <w:pPr>
        <w:pStyle w:val="UFVFigura"/>
        <w:rPr/>
      </w:pPr>
      <w:r>
        <w:rPr/>
      </w:r>
    </w:p>
    <w:p>
      <w:pPr>
        <w:pStyle w:val="UFVNormal"/>
        <w:rPr/>
      </w:pPr>
      <w:r>
        <w:rPr/>
      </w:r>
      <w:r>
        <w:rPr>
          <w:rStyle w:val="UFVNormalCar"/>
        </w:rPr>
      </w:r>
      <w:r>
        <w:rPr/>
      </w:r>
    </w:p>
    <w:p>
      <w:pPr>
        <w:pStyle w:val="UFVFigura"/>
        <w:rPr>
          <w:lang w:val="en-US" w:eastAsia="en-US"/>
        </w:rPr>
      </w:pPr>
      <w:r>
        <w:rPr>
          <w:lang w:val="en-US" w:eastAsia="en-US"/>
        </w:rPr>
      </w:r>
    </w:p>
    <w:p>
      <w:pPr>
        <w:pStyle w:val="UFVFigura"/>
        <w:rPr>
          <w:lang w:val="en-GB"/>
        </w:rPr>
      </w:pPr>
      <w:r>
        <w:rPr/>
      </w:r>
      <w:r>
        <w:rPr>
          <w:lang w:val="en-GB"/>
        </w:rPr>
      </w:r>
    </w:p>
    <w:p>
      <w:pPr>
        <w:pStyle w:val="UFVNormal"/>
        <w:rPr>
          <w:lang w:val="en-GB"/>
        </w:rPr>
      </w:pPr>
      <w:r>
        <w:rPr>
          <w:lang w:val="en-GB"/>
        </w:rPr>
      </w:r>
    </w:p>
    <w:p>
      <w:pPr>
        <w:pStyle w:val="UFVNormal"/>
        <w:rPr>
          <w:b/>
          <w:bCs/>
          <w:i/>
          <w:i/>
          <w:iCs/>
        </w:rPr>
      </w:pPr>
      <w:r>
        <w:rPr>
          <w:b/>
          <w:bCs/>
          <w:i/>
          <w:iCs/>
        </w:rPr>
      </w:r>
    </w:p>
    <w:p>
      <w:pPr>
        <w:pStyle w:val="UFVNormal"/>
        <w:rPr/>
      </w:pPr>
      <w:r>
        <w:rPr/>
      </w:r>
    </w:p>
    <w:p>
      <w:pPr>
        <w:pStyle w:val="UFVNormal"/>
        <w:numPr>
          <w:ilvl w:val="0"/>
          <w:numId w:val="5"/>
        </w:numPr>
        <w:rPr/>
      </w:pPr>
      <w:r>
        <w:rPr/>
      </w:r>
    </w:p>
    <w:p>
      <w:pPr>
        <w:pStyle w:val="UFVNormal"/>
        <w:numPr>
          <w:ilvl w:val="0"/>
          <w:numId w:val="5"/>
        </w:numPr>
        <w:rPr/>
      </w:pPr>
      <w:r>
        <w:rPr/>
      </w:r>
    </w:p>
    <w:p>
      <w:pPr>
        <w:pStyle w:val="UFVFigura"/>
        <w:rPr/>
      </w:pPr>
      <w:r>
        <w:rPr/>
      </w:r>
    </w:p>
    <w:p>
      <w:pPr>
        <w:pStyle w:val="UFVFigura"/>
        <w:rPr>
          <w:lang w:val="en-US" w:eastAsia="en-US"/>
        </w:rPr>
      </w:pPr>
      <w:r>
        <w:rPr>
          <w:lang w:val="en-US" w:eastAsia="en-US"/>
        </w:rPr>
      </w:r>
    </w:p>
    <w:p>
      <w:pPr>
        <w:pStyle w:val="UFVFigura"/>
        <w:rPr/>
      </w:pPr>
      <w:r>
        <w:rPr/>
      </w:r>
    </w:p>
    <w:p>
      <w:pPr>
        <w:pStyle w:val="UFVFigura"/>
        <w:rPr/>
      </w:pPr>
      <w:r>
        <w:rPr/>
      </w:r>
    </w:p>
    <w:p>
      <w:pPr>
        <w:pStyle w:val="UFVFigura"/>
        <w:rPr>
          <w:lang w:val="en-US" w:eastAsia="en-US"/>
        </w:rPr>
      </w:pPr>
      <w:r>
        <w:rPr>
          <w:lang w:val="en-US" w:eastAsia="en-US"/>
        </w:rPr>
      </w:r>
    </w:p>
    <w:p>
      <w:pPr>
        <w:pStyle w:val="UFVFigura"/>
        <w:rPr/>
      </w:pPr>
      <w:r>
        <w:rPr/>
      </w:r>
    </w:p>
    <w:p>
      <w:pPr>
        <w:pStyle w:val="UFVFigura"/>
        <w:rPr/>
      </w:pPr>
      <w:r>
        <w:rPr/>
      </w:r>
    </w:p>
    <w:p>
      <w:pPr>
        <w:pStyle w:val="UFVFigura"/>
        <w:rPr>
          <w:lang w:val="en-US" w:eastAsia="en-US"/>
        </w:rPr>
      </w:pPr>
      <w:r>
        <w:rPr>
          <w:lang w:val="en-US" w:eastAsia="en-US"/>
        </w:rPr>
      </w:r>
    </w:p>
    <w:p>
      <w:pPr>
        <w:pStyle w:val="UFVFigura"/>
        <w:rPr/>
      </w:pPr>
      <w:r>
        <w:rPr/>
      </w:r>
    </w:p>
    <w:p>
      <w:pPr>
        <w:pStyle w:val="UFVNormal"/>
        <w:rPr/>
      </w:pPr>
      <w:r>
        <w:rPr/>
      </w:r>
      <w:r/>
    </w:p>
    <w:p>
      <w:pPr>
        <w:pStyle w:val="UFVNormal"/>
        <w:rPr/>
      </w:pPr>
      <w:r>
        <w:rPr/>
      </w:r>
    </w:p>
    <w:p>
      <w:pPr>
        <w:pStyle w:val="UFVEpgrafeNivel1"/>
        <w:numPr>
          <w:ilvl w:val="0"/>
          <w:numId w:val="4"/>
        </w:numPr>
        <w:ind w:hanging="0" w:start="0"/>
        <w:rPr/>
      </w:pPr>
      <w:bookmarkStart w:id="2" w:name="__RefHeading___Toc177409323"/>
      <w:bookmarkEnd w:id="2"/>
      <w:r>
        <w:rPr>
          <w:caps w:val="false"/>
          <w:smallCaps w:val="false"/>
        </w:rPr>
        <w:t>1. OBJETIVOS</w:t>
      </w:r>
    </w:p>
    <w:p>
      <w:pPr>
        <w:pStyle w:val="UFVNormal"/>
        <w:rPr/>
      </w:pPr>
      <w:r>
        <w:rPr>
          <w:b/>
        </w:rPr>
        <w:t xml:space="preserve">Objetivo general: </w:t>
      </w:r>
      <w:r>
        <w:t>Diseñar, implementar y evaluar un sistema de optimización dinámica de carteras de inversión basado en predicciones de retornos semanales generadas por modelos de gradient boosting (XGBoost y LightGBM), combinados con un optimizador de media-varianza de Markowitz, validado out-of-sample mediante walk-forward expanding window sobre 778 semanas (2011-2026).</w:t>
      </w:r>
    </w:p>
    <w:p>
      <w:pPr>
        <w:pStyle w:val="UFVNormal"/>
        <w:rPr/>
      </w:pPr>
      <w:r>
        <w:rPr>
          <w:b/>
        </w:rPr>
        <w:t>Objetivos específicos:</w:t>
      </w:r>
    </w:p>
    <w:p>
      <w:pPr>
        <w:pStyle w:val="UFVNormal"/>
        <w:rPr/>
      </w:pPr>
      <w:r>
        <w:rPr/>
        <w:t xml:space="preserve">OE1: Construir un dataset multidimensional de 109 variables predictivas a partir de 6 fuentes de datos heterogéneas (Yahoo Finance, FRED, Google Trends, AAII, Refinitiv), cubriendo 5 dimensiones informativas (mercado, macro, riesgo, liquidez, sentimiento) más NLP de noticias.</w:t>
      </w:r>
    </w:p>
    <w:p>
      <w:pPr>
        <w:pStyle w:val="UFVNormal"/>
        <w:rPr/>
      </w:pPr>
      <w:r>
        <w:rPr/>
        <w:t xml:space="preserve">OE2: Entrenar y optimizar modelos XGBoost y LightGBM con Optuna (75 trials bayesianos) para la predicción de retornos semanales de 10 ETFs, implementando early stopping y regularización para prevenir el sobreajuste.</w:t>
      </w:r>
    </w:p>
    <w:p>
      <w:pPr>
        <w:pStyle w:val="UFVNormal"/>
        <w:rPr/>
      </w:pPr>
      <w:r>
        <w:t>La gestión de carteras de inversión constituye uno de los problemas fundamentales de las finanzas modernas. Desde la publicación del trabajo seminal de Markowitz (1952) sobre la selección óptima de carteras, la industria financiera ha adoptado el marco de media-varianza como referencia para la asignación de activos. Sin embargo, este enfoque clásico descansa sobre supuestos que la evidencia empírica ha cuestionado repetidamente: la normalidad de los retornos, la estabilidad de las correlaciones entre activos y la estacionariedad de los parámetros estadísticos (DeMiguel et al., 2009).</w:t>
      </w:r>
    </w:p>
    <w:p>
      <w:pPr>
        <w:pStyle w:val="UFVNormal"/>
        <w:rPr/>
      </w:pPr>
      <w:r>
        <w:rPr/>
        <w:t xml:space="preserve">La crisis financiera global de 2008, la pandemia de COVID-19 en 2020 y el shock inflacionario de 2022 pusieron de manifiesto las limitaciones de los modelos estáticos. En estos episodios, las correlaciones entre activos convergieron hacia uno, anulando los beneficios de la diversificación que Markowitz había formalizado.</w:t>
      </w:r>
    </w:p>
    <w:p>
      <w:pPr>
        <w:pStyle w:val="UFVNormal"/>
        <w:rPr/>
      </w:pPr>
      <w:r>
        <w:t>DeMiguel, Garlappi y Uppal (2009) demostraron que una cartera equiponderada simple (1/N) supera consistentemente a la optimización de Markowitz fuera de muestra, debido a la inestabilidad de las estimaciones de covarianza. Este resultado, conocido como la «maldición de Markowitz», motivó la búsqueda de enfoques alternativos que incorporen información predictiva.</w:t>
      </w:r>
    </w:p>
    <w:p>
      <w:pPr>
        <w:pStyle w:val="UFVNormal"/>
        <w:rPr/>
      </w:pPr>
      <w:r>
        <w:rPr/>
        <w:t xml:space="preserve">Los ETFs han democratizado el acceso a la diversificación entre clases de activos, permitiendo a inversores de cualquier tamaño construir carteras globales con costes reducidos. La combinación de ETFs con modelos predictivos de ML representa una oportunidad para mejorar la asignación de activos sin los sesgos cognitivos del gestor humano.</w:t>
      </w:r>
    </w:p>
    <w:p>
      <w:pPr>
        <w:pStyle w:val="UFVNormal"/>
        <w:rPr/>
      </w:pPr>
      <w:r>
        <w:rPr>
          <w:b/>
        </w:rPr>
        <w:t>2.3.1 Teoría moderna de carteras</w:t>
      </w:r>
    </w:p>
    <w:p>
      <w:pPr>
        <w:pStyle w:val="UFVNormal"/>
        <w:rPr/>
      </w:pPr>
      <w:r>
        <w:rPr/>
        <w:t xml:space="preserve">La teoría moderna de carteras tiene su origen en Markowitz (1952), quien formalizó la optimización media-varianza: el inversor busca maximizar el retorno esperado para un nivel dado de riesgo, o equivalentemente, minimizar el riesgo para un retorno objetivo. La solución a este problema de optimización genera la frontera eficiente, un concepto central en las finanzas cuantitativas.</w:t>
      </w:r>
    </w:p>
    <w:p>
      <w:pPr>
        <w:pStyle w:val="UFVNormal"/>
        <w:rPr/>
      </w:pPr>
      <w:r>
        <w:rPr/>
        <w:t xml:space="preserve">Sharpe (1964) extendió este marco con el Capital Asset Pricing Model (CAPM), introduciendo el ratio que lleva su nombre como medida de rentabilidad ajustada al riesgo. Black y Litterman (1992) propusieron un modelo que combina el equilibrio de mercado con views subjetivas del gestor, abordando parcialmente el problema de la sensibilidad de Markowitz a los parámetros de entrada.</w:t>
      </w:r>
    </w:p>
    <w:p>
      <w:pPr>
        <w:pStyle w:val="UFVNormal"/>
        <w:rPr/>
      </w:pPr>
      <w:r>
        <w:rPr>
          <w:b/>
        </w:rPr>
        <w:t xml:space="preserve">2.3.2 Machine Learning en predicción financiera</w:t>
      </w:r>
    </w:p>
    <w:p>
      <w:pPr>
        <w:pStyle w:val="UFVNormal"/>
        <w:rPr/>
      </w:pPr>
      <w:r>
        <w:rPr/>
        <w:t xml:space="preserve">Gu, Kelly y Xiu (2020) realizaron una comparación exhaustiva de modelos de ML para la predicción de retornos de activos, concluyendo que los modelos de gradient boosting y redes neuronales superan significativamente a los modelos lineales. Su trabajo, publicado en The Review of Financial Studies, es la referencia principal en el campo de asset pricing con ML.</w:t>
      </w:r>
    </w:p>
    <w:p>
      <w:pPr>
        <w:pStyle w:val="UFVNormal"/>
        <w:rPr/>
      </w:pPr>
      <w:r>
        <w:rPr/>
        <w:t xml:space="preserve">Fischer y Krauss (2018) aplicaron redes LSTM a la predicción de retornos del S&amp;P 500, obteniendo resultados prometedores pero con costes computacionales elevados. De Prado (2018), en su libro Advances in Financial Machine Learning, enfatiza la necesidad de walk-forward validation con purging y embargo temporal para evitar el data leakage en series temporales financieras.</w:t>
      </w:r>
    </w:p>
    <w:p>
      <w:pPr>
        <w:pStyle w:val="UFVNormal"/>
        <w:rPr/>
      </w:pPr>
      <w:r>
        <w:rPr/>
        <w:t xml:space="preserve">El reto fundamental en finanzas cuantitativas es que la señal predictiva es inherentemente débil: una precisión direccional del 55-60% ya constituye un resultado notable (Gu et al., 2020).</w:t>
      </w:r>
    </w:p>
    <w:p>
      <w:pPr>
        <w:pStyle w:val="UFVNormal"/>
        <w:rPr/>
      </w:pPr>
      <w:r>
        <w:rPr>
          <w:b/>
        </w:rPr>
        <w:t xml:space="preserve">2.3.3 Gradient Boosting: XGBoost y LightGBM</w:t>
      </w:r>
    </w:p>
    <w:p>
      <w:pPr>
        <w:pStyle w:val="UFVNormal"/>
        <w:rPr/>
      </w:pPr>
      <w:r>
        <w:rPr/>
        <w:t xml:space="preserve">Friedman (2001) formalizó las gradient boosting machines como un procedimiento de optimización funcional donde cada árbol nuevo corrige los errores residuales del ensemble acumulado.</w:t>
      </w:r>
    </w:p>
    <w:p>
      <w:pPr>
        <w:pStyle w:val="UFVNormal"/>
        <w:rPr/>
      </w:pPr>
      <w:r>
        <w:rPr/>
        <w:t xml:space="preserve">Chen y Guestrin (2016) propusieron XGBoost, que añade regularización L1/L2 sobre los pesos de las hojas, manejo nativo de valores faltantes y procesamiento paralelo. Su capacidad para manejar datos con valores nulos sin imputación previa es especialmente relevante en datos financieros.</w:t>
      </w:r>
    </w:p>
    <w:p>
      <w:pPr>
        <w:pStyle w:val="UFVNormal"/>
        <w:rPr/>
      </w:pPr>
      <w:r>
        <w:rPr/>
        <w:t xml:space="preserve">Ke et al. (2017) desarrollaron LightGBM con tres innovaciones: crecimiento leaf-wise, Gradient-based One-Side Sampling (GOSS) y Exclusive Feature Bundling (EFB). Yan (2025) demostró que LightGBM ofrece mejor gestión del riesgo en carteras financieras comparado con XGBoost.</w:t>
      </w:r>
    </w:p>
    <w:p>
      <w:pPr>
        <w:pStyle w:val="UFVNormal"/>
        <w:rPr/>
      </w:pPr>
      <w:r>
        <w:rPr>
          <w:b/>
        </w:rPr>
        <w:t xml:space="preserve">2.3.4 Validación en series temporales</w:t>
      </w:r>
    </w:p>
    <w:p>
      <w:pPr>
        <w:pStyle w:val="UFVNormal"/>
        <w:rPr/>
      </w:pPr>
      <w:r>
        <w:rPr/>
        <w:t xml:space="preserve">Tashman (2000) formalizó el concepto de walk-forward validation como el estándar para evaluar modelos predictivos en series temporales. A diferencia de la validación cruzada tradicional, el walk-forward respeta la estructura temporal: el modelo solo se entrena con datos pasados y se evalúa en datos futuros.</w:t>
      </w:r>
    </w:p>
    <w:p>
      <w:pPr>
        <w:pStyle w:val="UFVNormal"/>
        <w:rPr/>
      </w:pPr>
      <w:r>
        <w:rPr/>
        <w:t xml:space="preserve">De Prado (2018) propuso técnicas adicionales de purging y embargo temporal para evitar fugas de información sutiles en datos financieros con autocorrelación.</w:t>
      </w:r>
    </w:p>
    <w:p>
      <w:pPr>
        <w:pStyle w:val="UFVNormal"/>
        <w:rPr/>
      </w:pPr>
      <w:r>
        <w:rPr>
          <w:b/>
        </w:rPr>
        <w:t xml:space="preserve">2.3.5 Interpretabilidad: SHAP</w:t>
      </w:r>
    </w:p>
    <w:p>
      <w:pPr>
        <w:pStyle w:val="UFVNormal"/>
        <w:rPr/>
      </w:pPr>
      <w:r>
        <w:rPr/>
        <w:t xml:space="preserve">Lundberg y Lee (2017) propusieron SHAP (SHapley Additive exPlanations), un framework unificado para la interpretabilidad de modelos de ML basado en los valores de Shapley de la teoría de juegos cooperativos. SHAP garantiza tres propiedades matemáticas: consistencia, eficiencia y simetría.</w:t>
      </w:r>
    </w:p>
    <w:p>
      <w:pPr>
        <w:pStyle w:val="UFVNormal"/>
        <w:rPr/>
      </w:pPr>
      <w:r>
        <w:rPr/>
        <w:t xml:space="preserve">TreeSHAP (Lundberg et al., 2020) es un algoritmo exacto para calcular valores SHAP en modelos de árboles, con complejidad polinómica. Esto permite analizar la contribución de cada variable a cada predicción individual.</w:t>
      </w:r>
    </w:p>
    <w:p>
      <w:pPr>
        <w:pStyle w:val="UFVNormal"/>
        <w:rPr/>
      </w:pPr>
      <w:r>
        <w:rPr>
          <w:b/>
        </w:rPr>
        <w:t xml:space="preserve">2.3.6 Señales alternativas en finanzas</w:t>
      </w:r>
    </w:p>
    <w:p>
      <w:pPr>
        <w:pStyle w:val="UFVNormal"/>
        <w:rPr/>
      </w:pPr>
      <w:r>
        <w:rPr/>
        <w:t xml:space="preserve">Baker y Wurgler (2006) demostraron que el sentimiento de los inversores tiene poder predictivo sobre los retornos, especialmente para acciones difíciles de valorar. Da, Engelberg y Gao (2015) propusieron el índice FEARS basado en Google Trends, mostrando que anticipa movimientos del mercado.</w:t>
      </w:r>
    </w:p>
    <w:p>
      <w:pPr>
        <w:pStyle w:val="UFVNormal"/>
        <w:rPr/>
      </w:pPr>
      <w:r>
        <w:rPr/>
        <w:t xml:space="preserve">La encuesta de sentimiento AAII es utilizada como indicador contrarian: niveles extremos de optimismo o pesimismo tienden a preceder movimientos en la dirección opuesta.</w:t>
      </w:r>
    </w:p>
    <w:p>
      <w:pPr>
        <w:pStyle w:val="UFVNormal"/>
        <w:rPr/>
      </w:pPr>
      <w:r>
        <w:rPr>
          <w:b/>
        </w:rPr>
        <w:t xml:space="preserve">2.3.7 Optimización de carteras con ML</w:t>
      </w:r>
    </w:p>
    <w:p>
      <w:pPr>
        <w:pStyle w:val="UFVNormal"/>
        <w:rPr/>
      </w:pPr>
      <w:r>
        <w:rPr/>
        <w:t xml:space="preserve">Ban, El Karoui y Lim (2018) propusieron un marco de regularización basada en rendimiento para la optimización de carteras con ML. Leippold, Wang y Zhou (2022) confirmaron que los modelos de ensemble ofrecen el mejor equilibrio entre poder predictivo y robustez fuera de muestra.</w:t>
      </w:r>
    </w:p>
    <w:p>
      <w:pPr>
        <w:pStyle w:val="UFVNormal"/>
        <w:rPr/>
      </w:pPr>
      <w:r>
        <w:rPr/>
        <w:t xml:space="preserve">Este trabajo se sitúa en la intersección de estos dos campos: utiliza modelos de ML (XGBoost y LightGBM) para predecir retornos semanales de ETFs y alimenta estas predicciones a un optimizador de Markowitz que asigna pesos dinámicamente cada semana. La pregunta de investigación es: ¿puede un sistema basado en gradient boosting, alimentado con señales macroeconómicas, de riesgo y de sentimiento, generar carteras de ETFs que superen consistentemente a los benchmarks clásicos?</w:t>
      </w:r>
    </w:p>
    <w:p>
      <w:pPr>
        <w:pStyle w:val="UFVNormal"/>
        <w:rPr/>
      </w:pPr>
      <w:r>
        <w:rPr/>
        <w:t xml:space="preserve">El universo de inversión comprende 10 ETFs que cubren renta variable (SPY, QQQ, IWM, EFA, EEM), renta fija (AGG, LQD, TIP), oro (GLD) e inmobiliario (VNQ), con 987 semanas de datos (marzo 2007 - febrero 2026) y 109 variables predictivas organizadas en 6 dimensiones: mercado, riesgo, macroeconómicas, liquidez, sentimiento y NLP de noticias. El código fuente completo está disponible en el repositorio GitHub del proyecto.</w:t>
      </w:r>
    </w:p>
    <w:p>
      <w:pPr>
        <w:pStyle w:val="UFVNormal"/>
        <w:rPr/>
      </w:pPr>
      <w:r>
        <w:rPr/>
        <w:t xml:space="preserve">OE4: Comparar las carteras ML-optimizadas contra tres benchmarks financieros clásicos (60/40, equal-weight, Markowitz) mediante métricas de rentabilidad ajustada al riesgo (Sharpe, Sortino, Max Drawdown, Calmar).</w:t>
      </w:r>
    </w:p>
    <w:p>
      <w:pPr>
        <w:pStyle w:val="UFVNormal"/>
        <w:rPr/>
      </w:pPr>
      <w:r>
        <w:rPr/>
        <w:t xml:space="preserve">OE5: Interpretar las predicciones del modelo mediante SHAP (SHapley Additive exPlanations) para identificar las variables y dimensiones que aportan mayor poder predictivo.</w:t>
      </w:r>
    </w:p>
    <w:p>
      <w:pPr>
        <w:pStyle w:val="UFVNormal"/>
        <w:rPr/>
      </w:pPr>
      <w:r>
        <w:rPr/>
        <w:t xml:space="preserve">OE6: Investigar la robustez del modelo mediante feature selection y enriquecimiento del dataset, documentando los resultados de cada experimento como hallazgo metodológico.</w:t>
      </w:r>
    </w:p>
    <w:p>
      <w:pPr>
        <w:pStyle w:val="UFVEpgrafeNivel1"/>
        <w:numPr>
          <w:ilvl w:val="0"/>
          <w:numId w:val="4"/>
        </w:numPr>
        <w:ind w:hanging="0" w:start="0"/>
        <w:rPr/>
      </w:pPr>
      <w:bookmarkStart w:id="3" w:name="__RefHeading___Toc177409324"/>
      <w:bookmarkEnd w:id="3"/>
      <w:r>
        <w:rPr/>
        <w:t>CUERPO DE LA MEMORIA</w:t>
      </w:r>
    </w:p>
    <w:p>
      <w:pPr>
        <w:pStyle w:val="UFVEpgrafeNivel2"/>
        <w:numPr>
          <w:ilvl w:val="1"/>
          <w:numId w:val="4"/>
        </w:numPr>
        <w:rPr/>
      </w:pPr>
      <w:bookmarkStart w:id="4" w:name="__RefHeading___Toc177409325"/>
      <w:bookmarkEnd w:id="4"/>
      <w:r>
        <w:rPr/>
        <w:t>Introducción</w:t>
      </w:r>
    </w:p>
    <w:p>
      <w:pPr>
        <w:pStyle w:val="UFVNormal"/>
        <w:rPr/>
      </w:pPr>
      <w:r>
        <w:rPr/>
        <w:t>La gestión de carteras de inversión constituye uno de los problemas fundamentales de las finanzas modernas. Desde la publicación del trabajo seminal de Markowitz (1952) sobre la selección óptima de carteras, la industria financiera ha adoptado el marco de media-varianza como referencia para la asignación de activos. Sin embargo, este enfoque clásico descansa sobre supuestos que la evidencia empírica ha cuestionado repetidamente: la normalidad de los retornos, la estabilidad de las correlaciones entre activos y la estacionariedad de los parámetros estadísticos (DeMiguel et al., 2009). La crisis financiera global de 2008, la pandemia de COVID-19 en 2020 y el shock inflacionario de 2022 pusieron de manifiesto las limitaciones de los modelos estáticos. En paralelo, el campo del Machine Learning ha experimentado avances significativos en su aplicación a problemas financieros. Gu, Kelly y Xiu (2020), en su influyente estudio "Empirical Asset Pricing via Machine Learning", demostraron que los modelos de gradient boosting superan a los modelos lineales tradicionales en la predicción de retornos. Este trabajo se sitúa en la intersección de estos dos campos: utiliza modelos de ML para predecir retornos semanales de ETFs y alimenta estas predicciones a un optimizador de Markowitz que asigna pesos dinámicamente cada semana. La pregunta de investigación es: ¿puede un sistema basado en XGBoost y LightGBM generar carteras de ETFs que superen consistentemente a los benchmarks clásicos? El universo de inversión comprende 10 ETFs que cubren renta variable (SPY, QQQ, IWM, EFA, EEM), renta fija (AGG, LQD, TIP), oro (GLD) e inmobiliario (VNQ), con 987 semanas de datos (2007-2026) y 109 features predictivas en 6 dimensiones. El código fuente completo está disponible en GitHub: https://github.com/mateomadrigal/TFG-OPTIMIZATION-ML-1</w:t>
      </w:r>
    </w:p>
    <w:p>
      <w:pPr>
        <w:pStyle w:val="UFVEpgrafeNivel2"/>
        <w:numPr>
          <w:ilvl w:val="1"/>
          <w:numId w:val="4"/>
        </w:numPr>
        <w:rPr/>
      </w:pPr>
      <w:bookmarkStart w:id="5" w:name="__RefHeading___Toc177409326"/>
      <w:bookmarkEnd w:id="5"/>
      <w:r>
        <w:rPr/>
        <w:t>Motivación</w:t>
      </w:r>
    </w:p>
    <w:p>
      <w:pPr>
        <w:pStyle w:val="UFVNormal"/>
        <w:rPr/>
      </w:pPr>
      <w:r>
        <w:rPr/>
        <w:t>DeMiguel, Garlappi y Uppal (2009) demostraron que una cartera equiponderada simple (1/N) supera consistentemente a la optimización de Markowitz fuera de muestra, debido a la inestabilidad de las estimaciones de covarianza. Este resultado, conocido como la "maldición de Markowitz", motivó la búsqueda de enfoques alternativos. Los ETFs han democratizado el acceso a la diversificación entre clases de activos, permitiendo a inversores de cualquier tamaño construir carteras globales con costes reducidos. La hipótesis central de este trabajo es que las predicciones de ML, al incorporar señales macroeconómicas, de riesgo y de sentimiento más allá de los retornos históricos, pueden generar carteras que superen consistentemente a los benchmarks clásicos. El reto principal reside en evitar el sobreajuste en un entorno donde la señal predictiva es inherentemente débil: una precisión direccional del 55-60% ya constituye un resultado notable (Gu et al., 2020).</w:t>
      </w:r>
    </w:p>
    <w:p>
      <w:pPr>
        <w:pStyle w:val="UFVEpgrafeNivel2"/>
        <w:numPr>
          <w:ilvl w:val="1"/>
          <w:numId w:val="4"/>
        </w:numPr>
        <w:rPr/>
      </w:pPr>
      <w:bookmarkStart w:id="6" w:name="__RefHeading___Toc177409327"/>
      <w:bookmarkEnd w:id="6"/>
      <w:r>
        <w:rPr/>
        <w:t>Estado del arte</w:t>
      </w:r>
    </w:p>
    <w:p>
      <w:pPr>
        <w:pStyle w:val="UFVNormal"/>
        <w:rPr/>
      </w:pPr>
      <w:r>
        <w:rPr/>
        <w:t>Teoría moderna de carteras: La teoría tiene su origen en Markowitz (1952), quien formalizó la optimización media-varianza. Sharpe (1964) extendió este marco con el CAPM. Black y Litterman (1992) propusieron un modelo que combina el equilibrio de mercado con views subjetivas del gestor. Machine Learning en finanzas: Gu, Kelly y Xiu (2020) compararon modelos ML en la predicción de retornos, concluyendo que gradient boosting y redes neuronales superan significativamente a los modelos lineales. Fischer y Krauss (2018) aplicaron redes LSTM al S&amp;P 500. De Prado (2018) enfatiza la necesidad de walk-forward validation con purging y embargo temporal. Gradient Boosting: Friedman (2001) formalizó las gradient boosting machines. Chen y Guestrin (2016) propusieron XGBoost con regularización L1/L2 y manejo nativo de NaN. Ke et al. (2017) desarrollaron LightGBM con crecimiento leaf-wise y técnicas GOSS y EFB. Interpretabilidad: Lundberg y Lee (2017) propusieron SHAP basado en la teoría de Shapley. TreeSHAP (Lundberg et al., 2020) es un algoritmo exacto para modelos de árboles. Señales alternativas: Baker y Wurgler (2006) demostraron que el sentimiento de inversores tiene poder predictivo. Da, Engelberg y Gao (2015) propusieron el índice FEARS basado en Google Trends. Optimización ML: Ban, El Karoui y Lim (2018) propusieron regularización basada en rendimiento. Yan (2025) comparó XGBoost y LightGBM en gestión de riesgo de carteras. Tashman (2000) formalizó el concepto de walk-forward validation.</w:t>
      </w:r>
    </w:p>
    <w:p>
      <w:pPr>
        <w:pStyle w:val="UFVEpgrafeNivel2"/>
        <w:numPr>
          <w:ilvl w:val="1"/>
          <w:numId w:val="4"/>
        </w:numPr>
        <w:rPr/>
      </w:pPr>
      <w:bookmarkStart w:id="7" w:name="__RefHeading___Toc177409328"/>
      <w:bookmarkEnd w:id="7"/>
      <w:r>
        <w:rPr/>
        <w:t>Marco teórico</w:t>
      </w:r>
    </w:p>
    <w:p>
      <w:pPr>
        <w:pStyle w:val="UFVNormal"/>
        <w:rPr/>
      </w:pPr>
      <w:r>
        <w:rPr/>
        <w:t>[Marco teórico incluido en la sección 3.3 Análisis del dato]</w:t>
      </w:r>
    </w:p>
    <w:p>
      <w:pPr>
        <w:pStyle w:val="UFVEpgrafeNivel1"/>
        <w:numPr>
          <w:ilvl w:val="0"/>
          <w:numId w:val="4"/>
        </w:numPr>
        <w:ind w:hanging="0" w:start="0"/>
        <w:rPr/>
      </w:pPr>
      <w:bookmarkStart w:id="8" w:name="__RefHeading___Toc177409329"/>
      <w:bookmarkEnd w:id="8"/>
      <w:r>
        <w:rPr/>
        <w:t>TRABAJO TÉCNICO</w:t>
      </w:r>
    </w:p>
    <w:p>
      <w:pPr>
        <w:pStyle w:val="UFVEpgrafeNivel2"/>
        <w:numPr>
          <w:ilvl w:val="1"/>
          <w:numId w:val="4"/>
        </w:numPr>
        <w:rPr/>
      </w:pPr>
      <w:bookmarkStart w:id="9" w:name="__RefHeading___Toc177409330"/>
      <w:bookmarkEnd w:id="9"/>
      <w:r>
        <w:rPr/>
        <w:t>Herramientas empleadas</w:t>
      </w:r>
    </w:p>
    <w:p>
      <w:pPr>
        <w:pStyle w:val="UFVNormal"/>
        <w:rPr/>
      </w:pPr>
      <w:r>
        <w:rPr/>
        <w:t>El proyecto se ha desarrollado íntegramente en Python 3.12 sobre un entorno Linux (WSL2). Las principales librerías utilizadas son: XGBoost 3.2 y LightGBM 4.6 para los modelos de gradient boosting; Optuna 4.3 para la optimización bayesiana de hiperparámetros; SHAP 0.51 para la interpretabilidad; pandas 2.2 y NumPy 2.4 para el procesamiento de datos; matplotlib 3.10 para visualización; scikit-learn 1.8 para métricas y preprocesamiento; scipy 1.17 para la optimización de Markowitz; yfinance, fredapi y pytrends para la extracción de datos. Como herramienta de asistencia se utilizó Claude (Anthropic), citado según la taxonomía CRediT. El código fuente completo y los datos procesados están disponibles en el repositorio: https://github.com/mateomadrigal/TFG-OPTIMIZATION-ML-1</w:t>
      </w:r>
    </w:p>
    <w:p>
      <w:pPr>
        <w:pStyle w:val="UFVEpgrafeNivel2"/>
        <w:numPr>
          <w:ilvl w:val="1"/>
          <w:numId w:val="4"/>
        </w:numPr>
        <w:rPr/>
      </w:pPr>
      <w:bookmarkStart w:id="10" w:name="__RefHeading___Toc177409331"/>
      <w:bookmarkEnd w:id="10"/>
      <w:r>
        <w:rPr/>
        <w:t>Ingeniería del dato</w:t>
      </w:r>
    </w:p>
    <w:p>
      <w:pPr>
        <w:pStyle w:val="UFVNormal"/>
        <w:rPr/>
      </w:pPr>
      <w:r>
        <w:rPr/>
      </w:r>
    </w:p>
    <w:p>
      <w:pPr>
        <w:pStyle w:val="UFVEpgrafeNivel2"/>
        <w:spacing w:line="360" w:lineRule="auto" w:before="360" w:after="160"/>
        <w:ind w:firstLine="0"/>
      </w:pPr>
      <w:r>
        <w:rPr>
          <w:rFonts w:ascii="Times New Roman" w:hAnsi="Times New Roman"/>
          <w:b/>
          <w:i w:val="0"/>
          <w:color w:val="000000"/>
          <w:sz w:val="24"/>
        </w:rPr>
        <w:t>3.2.1 Origen de los datos</w:t>
      </w:r>
    </w:p>
    <w:p>
      <w:pPr>
        <w:spacing w:before="0" w:after="120" w:line="360" w:lineRule="auto"/>
        <w:ind w:firstLine="720"/>
      </w:pPr>
      <w:r>
        <w:rPr>
          <w:rFonts w:ascii="Times New Roman" w:hAnsi="Times New Roman"/>
          <w:b w:val="0"/>
          <w:i w:val="0"/>
          <w:sz w:val="22"/>
        </w:rPr>
        <w:t>El dataset construido para este trabajo integra información de cinco dimensiones complementarias, seleccionadas por su relevancia teórica para la predicción de retornos de activos financieros y la optimización de carteras. Cada dimensión captura un aspecto diferente del entorno de mercado: la dimensión financiera recoge los precios históricos de los ETFs que componen el universo de inversión; la macroeconómica incorpora indicadores del ciclo económico; la dimensión de riesgo mide el estrés del sistema financiero; la de liquidez monitoriza los flujos monetarios de la Reserva Federal; y la de sentimiento captura la percepción de los inversores a través de encuestas, búsquedas en Internet y análisis de noticias financieras.</w:t>
      </w:r>
    </w:p>
    <w:p>
      <w:pPr>
        <w:spacing w:before="0" w:after="120" w:line="360" w:lineRule="auto"/>
        <w:ind w:firstLine="720"/>
      </w:pPr>
      <w:r>
        <w:rPr>
          <w:rFonts w:ascii="Times New Roman" w:hAnsi="Times New Roman"/>
          <w:b w:val="0"/>
          <w:i w:val="0"/>
          <w:sz w:val="22"/>
        </w:rPr>
        <w:t>Adicionalmente, se incorporó una sexta fuente de datos procedente de la plataforma Refinitiv/LSEG Workspace, consistente en 17.181 titulares de noticias financieras sobre los 10 ETFs del universo de inversión, que fueron procesados mediante técnicas de procesamiento de lenguaje natural (NLP) para extraer señales de sentimiento.</w:t>
      </w:r>
    </w:p>
    <w:p>
      <w:pPr>
        <w:spacing w:before="0" w:after="240" w:line="360" w:lineRule="auto"/>
        <w:ind w:firstLine="720"/>
      </w:pPr>
      <w:r>
        <w:rPr>
          <w:rFonts w:ascii="Times New Roman" w:hAnsi="Times New Roman"/>
          <w:b w:val="0"/>
          <w:i w:val="0"/>
          <w:sz w:val="22"/>
        </w:rPr>
        <w:t>La tabla 1 resume las fuentes de datos, las series extraídas, la frecuencia original de publicación y el método de extracción utilizado. Todos los datos fueron obtenidos mediante código reproducible alojado en los scripts del directorio src/extractors/ del repositorio del proyecto.</w:t>
      </w:r>
    </w:p>
    <w:tbl>
      <w:tblPr>
        <w:jc w:val="center"/>
        <w:tblLayout w:type="fixed"/>
        <w:tblLook w:firstColumn="1" w:firstRow="1" w:lastColumn="0" w:lastRow="0" w:noHBand="0" w:noVBand="1" w:val="04A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824"/>
        <w:gridCol w:w="1824"/>
        <w:gridCol w:w="1824"/>
        <w:gridCol w:w="1824"/>
        <w:gridCol w:w="1824"/>
      </w:tblGrid>
      <w:tr>
        <w:tc>
          <w:tcPr>
            <w:tcW w:type="dxa" w:w="1417"/>
            <w:shd w:fill="1F3864"/>
          </w:tcPr>
          <w:p>
            <w:pPr>
              <w:spacing w:before="60" w:after="60" w:line="276" w:lineRule="auto"/>
              <w:ind w:firstLine="0"/>
              <w:jc w:val="center"/>
            </w:pPr>
            <w:r>
              <w:rPr>
                <w:rFonts w:ascii="Times New Roman" w:hAnsi="Times New Roman"/>
                <w:b/>
                <w:color w:val="FFFFFF"/>
                <w:sz w:val="20"/>
              </w:rPr>
              <w:t>Dimensión</w:t>
            </w:r>
          </w:p>
        </w:tc>
        <w:tc>
          <w:tcPr>
            <w:tcW w:type="dxa" w:w="1757"/>
            <w:shd w:fill="1F3864"/>
          </w:tcPr>
          <w:p>
            <w:pPr>
              <w:spacing w:before="60" w:after="60" w:line="276" w:lineRule="auto"/>
              <w:ind w:firstLine="0"/>
              <w:jc w:val="center"/>
            </w:pPr>
            <w:r>
              <w:rPr>
                <w:rFonts w:ascii="Times New Roman" w:hAnsi="Times New Roman"/>
                <w:b/>
                <w:color w:val="FFFFFF"/>
                <w:sz w:val="20"/>
              </w:rPr>
              <w:t>Fuente</w:t>
            </w:r>
          </w:p>
        </w:tc>
        <w:tc>
          <w:tcPr>
            <w:tcW w:type="dxa" w:w="2268"/>
            <w:shd w:fill="1F3864"/>
          </w:tcPr>
          <w:p>
            <w:pPr>
              <w:spacing w:before="60" w:after="60" w:line="276" w:lineRule="auto"/>
              <w:ind w:firstLine="0"/>
              <w:jc w:val="center"/>
            </w:pPr>
            <w:r>
              <w:rPr>
                <w:rFonts w:ascii="Times New Roman" w:hAnsi="Times New Roman"/>
                <w:b/>
                <w:color w:val="FFFFFF"/>
                <w:sz w:val="20"/>
              </w:rPr>
              <w:t>Series</w:t>
            </w:r>
          </w:p>
        </w:tc>
        <w:tc>
          <w:tcPr>
            <w:tcW w:type="dxa" w:w="1417"/>
            <w:shd w:fill="1F3864"/>
          </w:tcPr>
          <w:p>
            <w:pPr>
              <w:spacing w:before="60" w:after="60" w:line="276" w:lineRule="auto"/>
              <w:ind w:firstLine="0"/>
              <w:jc w:val="center"/>
            </w:pPr>
            <w:r>
              <w:rPr>
                <w:rFonts w:ascii="Times New Roman" w:hAnsi="Times New Roman"/>
                <w:b/>
                <w:color w:val="FFFFFF"/>
                <w:sz w:val="20"/>
              </w:rPr>
              <w:t>Frecuencia</w:t>
            </w:r>
          </w:p>
        </w:tc>
        <w:tc>
          <w:tcPr>
            <w:tcW w:type="dxa" w:w="1928"/>
            <w:shd w:fill="1F3864"/>
          </w:tcPr>
          <w:p>
            <w:pPr>
              <w:spacing w:before="60" w:after="60" w:line="276" w:lineRule="auto"/>
              <w:ind w:firstLine="0"/>
              <w:jc w:val="center"/>
            </w:pPr>
            <w:r>
              <w:rPr>
                <w:rFonts w:ascii="Times New Roman" w:hAnsi="Times New Roman"/>
                <w:b/>
                <w:color w:val="FFFFFF"/>
                <w:sz w:val="20"/>
              </w:rPr>
              <w:t>Método</w:t>
            </w:r>
          </w:p>
        </w:tc>
      </w:tr>
      <w:tr>
        <w:tc>
          <w:tcPr>
            <w:tcW w:type="dxa" w:w="1417"/>
            <w:shd w:fill="F2F2F2"/>
          </w:tcPr>
          <w:p>
            <w:pPr>
              <w:spacing w:before="40" w:after="40" w:line="276" w:lineRule="auto"/>
              <w:ind w:firstLine="0"/>
              <w:jc w:val="center"/>
            </w:pPr>
            <w:r>
              <w:rPr>
                <w:rFonts w:ascii="Times New Roman" w:hAnsi="Times New Roman"/>
                <w:sz w:val="20"/>
              </w:rPr>
              <w:t>Financiera</w:t>
            </w:r>
          </w:p>
        </w:tc>
        <w:tc>
          <w:tcPr>
            <w:tcW w:type="dxa" w:w="1757"/>
            <w:shd w:fill="F2F2F2"/>
          </w:tcPr>
          <w:p>
            <w:pPr>
              <w:spacing w:before="40" w:after="40" w:line="276" w:lineRule="auto"/>
              <w:ind w:firstLine="0"/>
              <w:jc w:val="center"/>
            </w:pPr>
            <w:r>
              <w:rPr>
                <w:rFonts w:ascii="Times New Roman" w:hAnsi="Times New Roman"/>
                <w:sz w:val="20"/>
              </w:rPr>
              <w:t>Yahoo Finance</w:t>
            </w:r>
          </w:p>
        </w:tc>
        <w:tc>
          <w:tcPr>
            <w:tcW w:type="dxa" w:w="2268"/>
            <w:shd w:fill="F2F2F2"/>
          </w:tcPr>
          <w:p>
            <w:pPr>
              <w:spacing w:before="40" w:after="40" w:line="276" w:lineRule="auto"/>
              <w:ind w:firstLine="0"/>
              <w:jc w:val="center"/>
            </w:pPr>
            <w:r>
              <w:rPr>
                <w:rFonts w:ascii="Times New Roman" w:hAnsi="Times New Roman"/>
                <w:sz w:val="20"/>
              </w:rPr>
              <w:t>10 ETFs (SPY, QQQ, AGG, GLD...)</w:t>
            </w:r>
          </w:p>
        </w:tc>
        <w:tc>
          <w:tcPr>
            <w:tcW w:type="dxa" w:w="1417"/>
            <w:shd w:fill="F2F2F2"/>
          </w:tcPr>
          <w:p>
            <w:pPr>
              <w:spacing w:before="40" w:after="40" w:line="276" w:lineRule="auto"/>
              <w:ind w:firstLine="0"/>
              <w:jc w:val="center"/>
            </w:pPr>
            <w:r>
              <w:rPr>
                <w:rFonts w:ascii="Times New Roman" w:hAnsi="Times New Roman"/>
                <w:sz w:val="20"/>
              </w:rPr>
              <w:t>Diaria</w:t>
            </w:r>
          </w:p>
        </w:tc>
        <w:tc>
          <w:tcPr>
            <w:tcW w:type="dxa" w:w="1928"/>
            <w:shd w:fill="F2F2F2"/>
          </w:tcPr>
          <w:p>
            <w:pPr>
              <w:spacing w:before="40" w:after="40" w:line="276" w:lineRule="auto"/>
              <w:ind w:firstLine="0"/>
              <w:jc w:val="center"/>
            </w:pPr>
            <w:r>
              <w:rPr>
                <w:rFonts w:ascii="Times New Roman" w:hAnsi="Times New Roman"/>
                <w:sz w:val="20"/>
              </w:rPr>
              <w:t>yfinance API</w:t>
            </w:r>
          </w:p>
        </w:tc>
      </w:tr>
      <w:tr>
        <w:tc>
          <w:tcPr>
            <w:tcW w:type="dxa" w:w="1417"/>
          </w:tcPr>
          <w:p>
            <w:pPr>
              <w:spacing w:before="40" w:after="40" w:line="276" w:lineRule="auto"/>
              <w:ind w:firstLine="0"/>
              <w:jc w:val="center"/>
            </w:pPr>
            <w:r>
              <w:rPr>
                <w:rFonts w:ascii="Times New Roman" w:hAnsi="Times New Roman"/>
                <w:sz w:val="20"/>
              </w:rPr>
              <w:t>Macroeconómica</w:t>
            </w:r>
          </w:p>
        </w:tc>
        <w:tc>
          <w:tcPr>
            <w:tcW w:type="dxa" w:w="1757"/>
          </w:tcPr>
          <w:p>
            <w:pPr>
              <w:spacing w:before="40" w:after="40" w:line="276" w:lineRule="auto"/>
              <w:ind w:firstLine="0"/>
              <w:jc w:val="center"/>
            </w:pPr>
            <w:r>
              <w:rPr>
                <w:rFonts w:ascii="Times New Roman" w:hAnsi="Times New Roman"/>
                <w:sz w:val="20"/>
              </w:rPr>
              <w:t>Federal Reserve (FRED)</w:t>
            </w:r>
          </w:p>
        </w:tc>
        <w:tc>
          <w:tcPr>
            <w:tcW w:type="dxa" w:w="2268"/>
          </w:tcPr>
          <w:p>
            <w:pPr>
              <w:spacing w:before="40" w:after="40" w:line="276" w:lineRule="auto"/>
              <w:ind w:firstLine="0"/>
              <w:jc w:val="center"/>
            </w:pPr>
            <w:r>
              <w:rPr>
                <w:rFonts w:ascii="Times New Roman" w:hAnsi="Times New Roman"/>
                <w:sz w:val="20"/>
              </w:rPr>
              <w:t>8 series (CPI, UNRATE, DGS10...)</w:t>
            </w:r>
          </w:p>
        </w:tc>
        <w:tc>
          <w:tcPr>
            <w:tcW w:type="dxa" w:w="1417"/>
          </w:tcPr>
          <w:p>
            <w:pPr>
              <w:spacing w:before="40" w:after="40" w:line="276" w:lineRule="auto"/>
              <w:ind w:firstLine="0"/>
              <w:jc w:val="center"/>
            </w:pPr>
            <w:r>
              <w:rPr>
                <w:rFonts w:ascii="Times New Roman" w:hAnsi="Times New Roman"/>
                <w:sz w:val="20"/>
              </w:rPr>
              <w:t>Diaria/Mensual</w:t>
            </w:r>
          </w:p>
        </w:tc>
        <w:tc>
          <w:tcPr>
            <w:tcW w:type="dxa" w:w="1928"/>
          </w:tcPr>
          <w:p>
            <w:pPr>
              <w:spacing w:before="40" w:after="40" w:line="276" w:lineRule="auto"/>
              <w:ind w:firstLine="0"/>
              <w:jc w:val="center"/>
            </w:pPr>
            <w:r>
              <w:rPr>
                <w:rFonts w:ascii="Times New Roman" w:hAnsi="Times New Roman"/>
                <w:sz w:val="20"/>
              </w:rPr>
              <w:t>fredapi</w:t>
            </w:r>
          </w:p>
        </w:tc>
      </w:tr>
      <w:tr>
        <w:tc>
          <w:tcPr>
            <w:tcW w:type="dxa" w:w="1417"/>
            <w:shd w:fill="F2F2F2"/>
          </w:tcPr>
          <w:p>
            <w:pPr>
              <w:spacing w:before="40" w:after="40" w:line="276" w:lineRule="auto"/>
              <w:ind w:firstLine="0"/>
              <w:jc w:val="center"/>
            </w:pPr>
            <w:r>
              <w:rPr>
                <w:rFonts w:ascii="Times New Roman" w:hAnsi="Times New Roman"/>
                <w:sz w:val="20"/>
              </w:rPr>
              <w:t>Riesgo</w:t>
            </w:r>
          </w:p>
        </w:tc>
        <w:tc>
          <w:tcPr>
            <w:tcW w:type="dxa" w:w="1757"/>
            <w:shd w:fill="F2F2F2"/>
          </w:tcPr>
          <w:p>
            <w:pPr>
              <w:spacing w:before="40" w:after="40" w:line="276" w:lineRule="auto"/>
              <w:ind w:firstLine="0"/>
              <w:jc w:val="center"/>
            </w:pPr>
            <w:r>
              <w:rPr>
                <w:rFonts w:ascii="Times New Roman" w:hAnsi="Times New Roman"/>
                <w:sz w:val="20"/>
              </w:rPr>
              <w:t>Federal Reserve (FRED)</w:t>
            </w:r>
          </w:p>
        </w:tc>
        <w:tc>
          <w:tcPr>
            <w:tcW w:type="dxa" w:w="2268"/>
            <w:shd w:fill="F2F2F2"/>
          </w:tcPr>
          <w:p>
            <w:pPr>
              <w:spacing w:before="40" w:after="40" w:line="276" w:lineRule="auto"/>
              <w:ind w:firstLine="0"/>
              <w:jc w:val="center"/>
            </w:pPr>
            <w:r>
              <w:rPr>
                <w:rFonts w:ascii="Times New Roman" w:hAnsi="Times New Roman"/>
                <w:sz w:val="20"/>
              </w:rPr>
              <w:t>4 series (VIX, HY spread, NFCI...)</w:t>
            </w:r>
          </w:p>
        </w:tc>
        <w:tc>
          <w:tcPr>
            <w:tcW w:type="dxa" w:w="1417"/>
            <w:shd w:fill="F2F2F2"/>
          </w:tcPr>
          <w:p>
            <w:pPr>
              <w:spacing w:before="40" w:after="40" w:line="276" w:lineRule="auto"/>
              <w:ind w:firstLine="0"/>
              <w:jc w:val="center"/>
            </w:pPr>
            <w:r>
              <w:rPr>
                <w:rFonts w:ascii="Times New Roman" w:hAnsi="Times New Roman"/>
                <w:sz w:val="20"/>
              </w:rPr>
              <w:t>Diaria/Semanal</w:t>
            </w:r>
          </w:p>
        </w:tc>
        <w:tc>
          <w:tcPr>
            <w:tcW w:type="dxa" w:w="1928"/>
            <w:shd w:fill="F2F2F2"/>
          </w:tcPr>
          <w:p>
            <w:pPr>
              <w:spacing w:before="40" w:after="40" w:line="276" w:lineRule="auto"/>
              <w:ind w:firstLine="0"/>
              <w:jc w:val="center"/>
            </w:pPr>
            <w:r>
              <w:rPr>
                <w:rFonts w:ascii="Times New Roman" w:hAnsi="Times New Roman"/>
                <w:sz w:val="20"/>
              </w:rPr>
              <w:t>fredapi</w:t>
            </w:r>
          </w:p>
        </w:tc>
      </w:tr>
      <w:tr>
        <w:tc>
          <w:tcPr>
            <w:tcW w:type="dxa" w:w="1417"/>
          </w:tcPr>
          <w:p>
            <w:pPr>
              <w:spacing w:before="40" w:after="40" w:line="276" w:lineRule="auto"/>
              <w:ind w:firstLine="0"/>
              <w:jc w:val="center"/>
            </w:pPr>
            <w:r>
              <w:rPr>
                <w:rFonts w:ascii="Times New Roman" w:hAnsi="Times New Roman"/>
                <w:sz w:val="20"/>
              </w:rPr>
              <w:t>Liquidez</w:t>
            </w:r>
          </w:p>
        </w:tc>
        <w:tc>
          <w:tcPr>
            <w:tcW w:type="dxa" w:w="1757"/>
          </w:tcPr>
          <w:p>
            <w:pPr>
              <w:spacing w:before="40" w:after="40" w:line="276" w:lineRule="auto"/>
              <w:ind w:firstLine="0"/>
              <w:jc w:val="center"/>
            </w:pPr>
            <w:r>
              <w:rPr>
                <w:rFonts w:ascii="Times New Roman" w:hAnsi="Times New Roman"/>
                <w:sz w:val="20"/>
              </w:rPr>
              <w:t>Federal Reserve (FRED)</w:t>
            </w:r>
          </w:p>
        </w:tc>
        <w:tc>
          <w:tcPr>
            <w:tcW w:type="dxa" w:w="2268"/>
          </w:tcPr>
          <w:p>
            <w:pPr>
              <w:spacing w:before="40" w:after="40" w:line="276" w:lineRule="auto"/>
              <w:ind w:firstLine="0"/>
              <w:jc w:val="center"/>
            </w:pPr>
            <w:r>
              <w:rPr>
                <w:rFonts w:ascii="Times New Roman" w:hAnsi="Times New Roman"/>
                <w:sz w:val="20"/>
              </w:rPr>
              <w:t>4 series (WALCL, RRPONTSYD...)</w:t>
            </w:r>
          </w:p>
        </w:tc>
        <w:tc>
          <w:tcPr>
            <w:tcW w:type="dxa" w:w="1417"/>
          </w:tcPr>
          <w:p>
            <w:pPr>
              <w:spacing w:before="40" w:after="40" w:line="276" w:lineRule="auto"/>
              <w:ind w:firstLine="0"/>
              <w:jc w:val="center"/>
            </w:pPr>
            <w:r>
              <w:rPr>
                <w:rFonts w:ascii="Times New Roman" w:hAnsi="Times New Roman"/>
                <w:sz w:val="20"/>
              </w:rPr>
              <w:t>Semanal</w:t>
            </w:r>
          </w:p>
        </w:tc>
        <w:tc>
          <w:tcPr>
            <w:tcW w:type="dxa" w:w="1928"/>
          </w:tcPr>
          <w:p>
            <w:pPr>
              <w:spacing w:before="40" w:after="40" w:line="276" w:lineRule="auto"/>
              <w:ind w:firstLine="0"/>
              <w:jc w:val="center"/>
            </w:pPr>
            <w:r>
              <w:rPr>
                <w:rFonts w:ascii="Times New Roman" w:hAnsi="Times New Roman"/>
                <w:sz w:val="20"/>
              </w:rPr>
              <w:t>fredapi</w:t>
            </w:r>
          </w:p>
        </w:tc>
      </w:tr>
      <w:tr>
        <w:tc>
          <w:tcPr>
            <w:tcW w:type="dxa" w:w="1417"/>
            <w:shd w:fill="F2F2F2"/>
          </w:tcPr>
          <w:p>
            <w:pPr>
              <w:spacing w:before="40" w:after="40" w:line="276" w:lineRule="auto"/>
              <w:ind w:firstLine="0"/>
              <w:jc w:val="center"/>
            </w:pPr>
            <w:r>
              <w:rPr>
                <w:rFonts w:ascii="Times New Roman" w:hAnsi="Times New Roman"/>
                <w:sz w:val="20"/>
              </w:rPr>
              <w:t>Sentimiento</w:t>
            </w:r>
          </w:p>
        </w:tc>
        <w:tc>
          <w:tcPr>
            <w:tcW w:type="dxa" w:w="1757"/>
            <w:shd w:fill="F2F2F2"/>
          </w:tcPr>
          <w:p>
            <w:pPr>
              <w:spacing w:before="40" w:after="40" w:line="276" w:lineRule="auto"/>
              <w:ind w:firstLine="0"/>
              <w:jc w:val="center"/>
            </w:pPr>
            <w:r>
              <w:rPr>
                <w:rFonts w:ascii="Times New Roman" w:hAnsi="Times New Roman"/>
                <w:sz w:val="20"/>
              </w:rPr>
              <w:t>Google Trends / AAII</w:t>
            </w:r>
          </w:p>
        </w:tc>
        <w:tc>
          <w:tcPr>
            <w:tcW w:type="dxa" w:w="2268"/>
            <w:shd w:fill="F2F2F2"/>
          </w:tcPr>
          <w:p>
            <w:pPr>
              <w:spacing w:before="40" w:after="40" w:line="276" w:lineRule="auto"/>
              <w:ind w:firstLine="0"/>
              <w:jc w:val="center"/>
            </w:pPr>
            <w:r>
              <w:rPr>
                <w:rFonts w:ascii="Times New Roman" w:hAnsi="Times New Roman"/>
                <w:sz w:val="20"/>
              </w:rPr>
              <w:t>7 términos + encuesta AAII</w:t>
            </w:r>
          </w:p>
        </w:tc>
        <w:tc>
          <w:tcPr>
            <w:tcW w:type="dxa" w:w="1417"/>
            <w:shd w:fill="F2F2F2"/>
          </w:tcPr>
          <w:p>
            <w:pPr>
              <w:spacing w:before="40" w:after="40" w:line="276" w:lineRule="auto"/>
              <w:ind w:firstLine="0"/>
              <w:jc w:val="center"/>
            </w:pPr>
            <w:r>
              <w:rPr>
                <w:rFonts w:ascii="Times New Roman" w:hAnsi="Times New Roman"/>
                <w:sz w:val="20"/>
              </w:rPr>
              <w:t>Semanal/Mensual</w:t>
            </w:r>
          </w:p>
        </w:tc>
        <w:tc>
          <w:tcPr>
            <w:tcW w:type="dxa" w:w="1928"/>
            <w:shd w:fill="F2F2F2"/>
          </w:tcPr>
          <w:p>
            <w:pPr>
              <w:spacing w:before="40" w:after="40" w:line="276" w:lineRule="auto"/>
              <w:ind w:firstLine="0"/>
              <w:jc w:val="center"/>
            </w:pPr>
            <w:r>
              <w:rPr>
                <w:rFonts w:ascii="Times New Roman" w:hAnsi="Times New Roman"/>
                <w:sz w:val="20"/>
              </w:rPr>
              <w:t>pytrends / scraping</w:t>
            </w:r>
          </w:p>
        </w:tc>
      </w:tr>
      <w:tr>
        <w:tc>
          <w:tcPr>
            <w:tcW w:type="dxa" w:w="1417"/>
          </w:tcPr>
          <w:p>
            <w:pPr>
              <w:spacing w:before="40" w:after="40" w:line="276" w:lineRule="auto"/>
              <w:ind w:firstLine="0"/>
              <w:jc w:val="center"/>
            </w:pPr>
            <w:r>
              <w:rPr>
                <w:rFonts w:ascii="Times New Roman" w:hAnsi="Times New Roman"/>
                <w:sz w:val="20"/>
              </w:rPr>
              <w:t>Noticias NLP</w:t>
            </w:r>
          </w:p>
        </w:tc>
        <w:tc>
          <w:tcPr>
            <w:tcW w:type="dxa" w:w="1757"/>
          </w:tcPr>
          <w:p>
            <w:pPr>
              <w:spacing w:before="40" w:after="40" w:line="276" w:lineRule="auto"/>
              <w:ind w:firstLine="0"/>
              <w:jc w:val="center"/>
            </w:pPr>
            <w:r>
              <w:rPr>
                <w:rFonts w:ascii="Times New Roman" w:hAnsi="Times New Roman"/>
                <w:sz w:val="20"/>
              </w:rPr>
              <w:t>Refinitiv/LSEG</w:t>
            </w:r>
          </w:p>
        </w:tc>
        <w:tc>
          <w:tcPr>
            <w:tcW w:type="dxa" w:w="2268"/>
          </w:tcPr>
          <w:p>
            <w:pPr>
              <w:spacing w:before="40" w:after="40" w:line="276" w:lineRule="auto"/>
              <w:ind w:firstLine="0"/>
              <w:jc w:val="center"/>
            </w:pPr>
            <w:r>
              <w:rPr>
                <w:rFonts w:ascii="Times New Roman" w:hAnsi="Times New Roman"/>
                <w:sz w:val="20"/>
              </w:rPr>
              <w:t>17.181 titulares (10 ETFs)</w:t>
            </w:r>
          </w:p>
        </w:tc>
        <w:tc>
          <w:tcPr>
            <w:tcW w:type="dxa" w:w="1417"/>
          </w:tcPr>
          <w:p>
            <w:pPr>
              <w:spacing w:before="40" w:after="40" w:line="276" w:lineRule="auto"/>
              <w:ind w:firstLine="0"/>
              <w:jc w:val="center"/>
            </w:pPr>
            <w:r>
              <w:rPr>
                <w:rFonts w:ascii="Times New Roman" w:hAnsi="Times New Roman"/>
                <w:sz w:val="20"/>
              </w:rPr>
              <w:t>Intradía</w:t>
            </w:r>
          </w:p>
        </w:tc>
        <w:tc>
          <w:tcPr>
            <w:tcW w:type="dxa" w:w="1928"/>
          </w:tcPr>
          <w:p>
            <w:pPr>
              <w:spacing w:before="40" w:after="40" w:line="276" w:lineRule="auto"/>
              <w:ind w:firstLine="0"/>
              <w:jc w:val="center"/>
            </w:pPr>
            <w:r>
              <w:rPr>
                <w:rFonts w:ascii="Times New Roman" w:hAnsi="Times New Roman"/>
                <w:sz w:val="20"/>
              </w:rPr>
              <w:t>refinitiv-data API</w:t>
            </w:r>
          </w:p>
        </w:tc>
      </w:tr>
    </w:tbl>
    <w:p>
      <w:pPr>
        <w:spacing w:before="0" w:after="120" w:line="240" w:lineRule="auto"/>
      </w:pPr>
    </w:p>
    <w:p>
      <w:pPr>
        <w:pStyle w:val="UFVEpgrafeNivel2"/>
        <w:spacing w:line="360" w:lineRule="auto" w:before="360" w:after="160"/>
        <w:ind w:firstLine="0"/>
      </w:pPr>
      <w:r>
        <w:rPr>
          <w:rFonts w:ascii="Times New Roman" w:hAnsi="Times New Roman"/>
          <w:b/>
          <w:i w:val="0"/>
          <w:color w:val="000000"/>
          <w:sz w:val="24"/>
        </w:rPr>
        <w:t>3.2.2 Proceso ETL</w:t>
      </w:r>
    </w:p>
    <w:p>
      <w:pPr>
        <w:spacing w:before="0" w:after="120" w:line="360" w:lineRule="auto"/>
        <w:ind w:firstLine="720"/>
      </w:pPr>
      <w:r>
        <w:rPr>
          <w:rFonts w:ascii="Times New Roman" w:hAnsi="Times New Roman"/>
          <w:b w:val="0"/>
          <w:i w:val="0"/>
          <w:sz w:val="22"/>
        </w:rPr>
        <w:t>El proceso de extracción, transformación y carga (ETL) se diseñó como un pipeline secuencial de scripts Python ejecutables independientemente, siguiendo el principio de reproducibilidad científica. Cada script lee datos de la etapa anterior, aplica transformaciones documentadas y guarda el resultado en la siguiente carpeta del pipeline (raw → interim → processed).</w:t>
      </w:r>
    </w:p>
    <w:p>
      <w:pPr>
        <w:pStyle w:val="UFVEpgrafeNivel3"/>
        <w:spacing w:line="360" w:lineRule="auto" w:before="240" w:after="120"/>
        <w:ind w:firstLine="0"/>
      </w:pPr>
      <w:r>
        <w:rPr>
          <w:rFonts w:ascii="Times New Roman" w:hAnsi="Times New Roman"/>
          <w:b/>
          <w:i/>
          <w:color w:val="000000"/>
          <w:sz w:val="22"/>
        </w:rPr>
        <w:t>Extracción</w:t>
      </w:r>
    </w:p>
    <w:p>
      <w:pPr>
        <w:spacing w:before="0" w:after="120" w:line="360" w:lineRule="auto"/>
        <w:ind w:firstLine="720"/>
      </w:pPr>
      <w:r>
        <w:rPr>
          <w:rFonts w:ascii="Times New Roman" w:hAnsi="Times New Roman"/>
          <w:b w:val="0"/>
          <w:i w:val="0"/>
          <w:sz w:val="22"/>
        </w:rPr>
        <w:t>Los datos financieros de los 10 ETFs se descargaron mediante la librería yfinance, que proporciona acceso programático a los precios históricos de Yahoo Finance desde enero de 2007 hasta la fecha actual. Las series macroeconómicas, de riesgo y de liquidez se obtuvieron de la API de FRED (Federal Reserve Economic Data) mediante la librería fredapi, implementando lógica de reintentos con backoff exponencial para gestionar errores temporales del servidor. Los datos de sentimiento de Google Trends se extrajeron con la librería pytrends, segmentando las consultas en ventanas de 5 años para cumplir con las restricciones de la API y aplicando pausas entre solicitudes para evitar bloqueos por exceso de peticiones (error 429). Finalmente, los titulares de noticias se obtuvieron de Refinitiv/LSEG Workspace mediante su API oficial, implementando una arquitectura de proxy para resolver las restricciones de conexión entre el entorno WSL2 y la aplicación de escritorio en Windows.</w:t>
      </w:r>
    </w:p>
    <w:p>
      <w:pPr>
        <w:pStyle w:val="UFVEpgrafeNivel3"/>
        <w:spacing w:line="360" w:lineRule="auto" w:before="240" w:after="120"/>
        <w:ind w:firstLine="0"/>
      </w:pPr>
      <w:r>
        <w:rPr>
          <w:rFonts w:ascii="Times New Roman" w:hAnsi="Times New Roman"/>
          <w:b/>
          <w:i/>
          <w:color w:val="000000"/>
          <w:sz w:val="22"/>
        </w:rPr>
        <w:t>Transformación: alineación temporal</w:t>
      </w:r>
    </w:p>
    <w:p>
      <w:pPr>
        <w:spacing w:before="0" w:after="120" w:line="360" w:lineRule="auto"/>
        <w:ind w:firstLine="720"/>
      </w:pPr>
      <w:r>
        <w:rPr>
          <w:rFonts w:ascii="Times New Roman" w:hAnsi="Times New Roman"/>
          <w:b w:val="0"/>
          <w:i w:val="0"/>
          <w:sz w:val="22"/>
        </w:rPr>
        <w:t>El principal reto de la transformación fue alinear series con frecuencias heterogéneas (diaria, semanal y mensual) a una frecuencia común. Se eligió la frecuencia semanal con cierre en viernes (W-FRI) como estándar, por tres razones: primero, el viernes es el último día de negociación bursátil de la semana; segundo, la frecuencia semanal reduce el ruido de los datos diarios sin perder información relevante sobre tendencias y crisis; tercero, es coherente con la frecuencia de publicación de la mayoría de las señales de sentimiento y liquidez.</w:t>
      </w:r>
    </w:p>
    <w:p>
      <w:pPr>
        <w:spacing w:before="0" w:after="120" w:line="360" w:lineRule="auto"/>
        <w:ind w:firstLine="720"/>
      </w:pPr>
      <w:r>
        <w:rPr>
          <w:rFonts w:ascii="Times New Roman" w:hAnsi="Times New Roman"/>
          <w:b w:val="0"/>
          <w:i w:val="0"/>
          <w:sz w:val="22"/>
        </w:rPr>
        <w:t>El método de resampleo aplicado dependió de la frecuencia original de cada serie. Para las series diarias (precios de ETFs, tipos de interés) se tomó el último valor observado de cada semana. Para las series mensuales (CPI, desempleo) se aplicó forward-fill antes del resampleo, reflejando que el último dato publicado sigue siendo la mejor estimación disponible hasta la siguiente publicación. Las series semanales se alinearon al calendario de viernes mediante reindexación con forward-fill.</w:t>
      </w:r>
    </w:p>
    <w:p>
      <w:pPr>
        <w:spacing w:before="0" w:after="120" w:line="360" w:lineRule="auto"/>
        <w:ind w:firstLine="720"/>
      </w:pPr>
      <w:r>
        <w:rPr>
          <w:rFonts w:ascii="Times New Roman" w:hAnsi="Times New Roman"/>
          <w:b w:val="0"/>
          <w:i w:val="0"/>
          <w:sz w:val="22"/>
        </w:rPr>
        <w:t>La Figura 1 muestra el efecto del resampleo sobre la serie de precios de SPY, ilustrando cómo la serie semanal preserva toda la información relevante con menor ruido.</w:t>
      </w:r>
    </w:p>
    <w:p>
      <w:pPr>
        <w:spacing w:before="240" w:after="0" w:line="240" w:lineRule="auto"/>
        <w:ind w:firstLine="0"/>
        <w:jc w:val="center"/>
      </w:pPr>
      <w:r>
        <w:drawing>
          <wp:inline xmlns:a="http://schemas.openxmlformats.org/drawingml/2006/main" xmlns:pic="http://schemas.openxmlformats.org/drawingml/2006/picture">
            <wp:extent cx="4680000" cy="2764585"/>
            <wp:docPr id="1" name="Picture 1"/>
            <wp:cNvGraphicFramePr>
              <a:graphicFrameLocks noChangeAspect="1"/>
            </wp:cNvGraphicFramePr>
            <a:graphic>
              <a:graphicData uri="http://schemas.openxmlformats.org/drawingml/2006/picture">
                <pic:pic>
                  <pic:nvPicPr>
                    <pic:cNvPr id="0" name="antes_despues_frecuencia.png"/>
                    <pic:cNvPicPr/>
                  </pic:nvPicPr>
                  <pic:blipFill>
                    <a:blip r:embed="rId22"/>
                    <a:stretch>
                      <a:fillRect/>
                    </a:stretch>
                  </pic:blipFill>
                  <pic:spPr>
                    <a:xfrm>
                      <a:off x="0" y="0"/>
                      <a:ext cx="4680000" cy="2764585"/>
                    </a:xfrm>
                    <a:prstGeom prst="rect"/>
                  </pic:spPr>
                </pic:pic>
              </a:graphicData>
            </a:graphic>
          </wp:inline>
        </w:drawing>
      </w:r>
    </w:p>
    <w:p>
      <w:pPr>
        <w:spacing w:before="60" w:after="0" w:line="240" w:lineRule="auto"/>
        <w:ind w:firstLine="0"/>
        <w:jc w:val="center"/>
      </w:pPr>
      <w:r>
        <w:rPr>
          <w:rFonts w:ascii="Times New Roman" w:hAnsi="Times New Roman"/>
          <w:b/>
          <w:i/>
          <w:sz w:val="20"/>
        </w:rPr>
        <w:t xml:space="preserve">Figura 1. </w:t>
      </w:r>
      <w:r>
        <w:rPr>
          <w:rFonts w:ascii="Times New Roman" w:hAnsi="Times New Roman"/>
          <w:i/>
          <w:sz w:val="20"/>
        </w:rPr>
        <w:t>Resampleo de frecuencia diaria (n=4.826) a semanal (n=1.000) del precio de SPY. La serie semanal preserva tendencias y crisis con menor ruido intradía.</w:t>
      </w:r>
    </w:p>
    <w:p>
      <w:pPr>
        <w:spacing w:before="0" w:after="120" w:line="240" w:lineRule="auto"/>
      </w:pPr>
    </w:p>
    <w:p>
      <w:pPr>
        <w:pStyle w:val="UFVEpgrafeNivel2"/>
        <w:spacing w:line="360" w:lineRule="auto" w:before="360" w:after="160"/>
        <w:ind w:firstLine="0"/>
      </w:pPr>
      <w:r>
        <w:rPr>
          <w:rFonts w:ascii="Times New Roman" w:hAnsi="Times New Roman"/>
          <w:b/>
          <w:i w:val="0"/>
          <w:color w:val="000000"/>
          <w:sz w:val="24"/>
        </w:rPr>
        <w:t>3.2.3 Limpieza y tratamiento de datos</w:t>
      </w:r>
    </w:p>
    <w:p>
      <w:pPr>
        <w:pStyle w:val="UFVEpgrafeNivel3"/>
        <w:spacing w:line="360" w:lineRule="auto" w:before="240" w:after="120"/>
        <w:ind w:firstLine="0"/>
      </w:pPr>
      <w:r>
        <w:rPr>
          <w:rFonts w:ascii="Times New Roman" w:hAnsi="Times New Roman"/>
          <w:b/>
          <w:i/>
          <w:color w:val="000000"/>
          <w:sz w:val="22"/>
        </w:rPr>
        <w:t>Tratamiento de valores nulos</w:t>
      </w:r>
    </w:p>
    <w:p>
      <w:pPr>
        <w:spacing w:before="0" w:after="120" w:line="360" w:lineRule="auto"/>
        <w:ind w:firstLine="720"/>
      </w:pPr>
      <w:r>
        <w:rPr>
          <w:rFonts w:ascii="Times New Roman" w:hAnsi="Times New Roman"/>
          <w:b w:val="0"/>
          <w:i w:val="0"/>
          <w:sz w:val="22"/>
        </w:rPr>
        <w:t>Tras la alineación temporal, el dataset presentaba valores nulos distribuidos de forma desigual entre dimensiones. La dimensión de sentimiento concentraba el 98% de los nulos (4.003 de un total de 4.032), debido a dos factores: la encuesta AAII se publica los jueves y al alinear a viernes no siempre coincidía, y los datos mensuales de Google Trends generaban huecos entre meses. Las dimensiones macroeconómica y de riesgo presentaban nulos marginales (13 y 16 respectivamente).</w:t>
      </w:r>
    </w:p>
    <w:p>
      <w:pPr>
        <w:spacing w:before="0" w:after="120" w:line="360" w:lineRule="auto"/>
        <w:ind w:firstLine="720"/>
      </w:pPr>
      <w:r>
        <w:rPr>
          <w:rFonts w:ascii="Times New Roman" w:hAnsi="Times New Roman"/>
          <w:b w:val="0"/>
          <w:i w:val="0"/>
          <w:sz w:val="22"/>
        </w:rPr>
        <w:t>El método de imputación aplicado fue forward-fill seguido de backward-fill. Esta decisión se fundamenta en la práctica estándar del análisis financiero: el último dato publicado de un indicador económico sigue siendo la mejor estimación disponible hasta que se publica el siguiente. No se trata de inventar datos, sino de reflejar cómo los inversores trabajan con la información disponible en cada momento. El caso especial de la serie RRPONTSYD (Reverse Repo de la Fed) se rellenó con cero antes de 2013, puesto que el programa no existía antes de esa fecha y el volumen de operaciones era literalmente nulo.</w:t>
      </w:r>
    </w:p>
    <w:p>
      <w:pPr>
        <w:spacing w:before="0" w:after="120" w:line="360" w:lineRule="auto"/>
        <w:ind w:firstLine="720"/>
      </w:pPr>
      <w:r>
        <w:rPr>
          <w:rFonts w:ascii="Times New Roman" w:hAnsi="Times New Roman"/>
          <w:b w:val="0"/>
          <w:i w:val="0"/>
          <w:sz w:val="22"/>
        </w:rPr>
        <w:t>La Figura 2 muestra el contraste visual entre los datos de sentimiento antes y después de la limpieza, evidenciando la efectividad del tratamiento.</w:t>
      </w:r>
    </w:p>
    <w:p>
      <w:pPr>
        <w:spacing w:before="240" w:after="0" w:line="240" w:lineRule="auto"/>
        <w:ind w:firstLine="0"/>
        <w:jc w:val="center"/>
      </w:pPr>
      <w:r>
        <w:drawing>
          <wp:inline xmlns:a="http://schemas.openxmlformats.org/drawingml/2006/main" xmlns:pic="http://schemas.openxmlformats.org/drawingml/2006/picture">
            <wp:extent cx="4680000" cy="2420622"/>
            <wp:docPr id="2" name="Picture 2"/>
            <wp:cNvGraphicFramePr>
              <a:graphicFrameLocks noChangeAspect="1"/>
            </wp:cNvGraphicFramePr>
            <a:graphic>
              <a:graphicData uri="http://schemas.openxmlformats.org/drawingml/2006/picture">
                <pic:pic>
                  <pic:nvPicPr>
                    <pic:cNvPr id="0" name="antes_despues_nulos.png"/>
                    <pic:cNvPicPr/>
                  </pic:nvPicPr>
                  <pic:blipFill>
                    <a:blip r:embed="rId23"/>
                    <a:stretch>
                      <a:fillRect/>
                    </a:stretch>
                  </pic:blipFill>
                  <pic:spPr>
                    <a:xfrm>
                      <a:off x="0" y="0"/>
                      <a:ext cx="4680000" cy="2420622"/>
                    </a:xfrm>
                    <a:prstGeom prst="rect"/>
                  </pic:spPr>
                </pic:pic>
              </a:graphicData>
            </a:graphic>
          </wp:inline>
        </w:drawing>
      </w:r>
    </w:p>
    <w:p>
      <w:pPr>
        <w:spacing w:before="60" w:after="0" w:line="240" w:lineRule="auto"/>
        <w:ind w:firstLine="0"/>
        <w:jc w:val="center"/>
      </w:pPr>
      <w:r>
        <w:rPr>
          <w:rFonts w:ascii="Times New Roman" w:hAnsi="Times New Roman"/>
          <w:b/>
          <w:i/>
          <w:sz w:val="20"/>
        </w:rPr>
        <w:t xml:space="preserve">Figura 2. </w:t>
      </w:r>
      <w:r>
        <w:rPr>
          <w:rFonts w:ascii="Times New Roman" w:hAnsi="Times New Roman"/>
          <w:i/>
          <w:sz w:val="20"/>
        </w:rPr>
        <w:t>Heatmap de valores nulos en la dimensión de sentimiento antes (4.003 nulos, 40%) y después (0 nulos) del tratamiento con forward-fill.</w:t>
      </w:r>
    </w:p>
    <w:p>
      <w:pPr>
        <w:spacing w:before="0" w:after="120" w:line="240" w:lineRule="auto"/>
      </w:pPr>
    </w:p>
    <w:p>
      <w:pPr>
        <w:pStyle w:val="UFVEpgrafeNivel3"/>
        <w:spacing w:line="360" w:lineRule="auto" w:before="240" w:after="120"/>
        <w:ind w:firstLine="0"/>
      </w:pPr>
      <w:r>
        <w:rPr>
          <w:rFonts w:ascii="Times New Roman" w:hAnsi="Times New Roman"/>
          <w:b/>
          <w:i/>
          <w:color w:val="000000"/>
          <w:sz w:val="22"/>
        </w:rPr>
        <w:t>Eliminación de duplicados entre dimensiones</w:t>
      </w:r>
    </w:p>
    <w:p>
      <w:pPr>
        <w:spacing w:before="0" w:after="120" w:line="360" w:lineRule="auto"/>
        <w:ind w:firstLine="720"/>
      </w:pPr>
      <w:r>
        <w:rPr>
          <w:rFonts w:ascii="Times New Roman" w:hAnsi="Times New Roman"/>
          <w:b w:val="0"/>
          <w:i w:val="0"/>
          <w:sz w:val="22"/>
        </w:rPr>
        <w:t>Se identificaron tres series que aparecían simultáneamente en más de una dimensión. Se decidió mantener cada serie en la dimensión donde tiene mayor relevancia conceptual: el VIX y el spread de High Yield se mantuvieron en la dimensión de riesgo (eliminándose de macro), y el RRPONTSYD se mantuvo en liquidez (eliminándose de riesgo). Tras la deduplicación, la dimensión macroeconómica pasó de 10 a 8 columnas y la de riesgo de 5 a 4.</w:t>
      </w:r>
    </w:p>
    <w:p>
      <w:pPr>
        <w:pStyle w:val="UFVEpgrafeNivel3"/>
        <w:spacing w:line="360" w:lineRule="auto" w:before="240" w:after="120"/>
        <w:ind w:firstLine="0"/>
      </w:pPr>
      <w:r>
        <w:rPr>
          <w:rFonts w:ascii="Times New Roman" w:hAnsi="Times New Roman"/>
          <w:b/>
          <w:i/>
          <w:color w:val="000000"/>
          <w:sz w:val="22"/>
        </w:rPr>
        <w:t>Análisis de outliers</w:t>
      </w:r>
    </w:p>
    <w:p>
      <w:pPr>
        <w:spacing w:before="0" w:after="120" w:line="360" w:lineRule="auto"/>
        <w:ind w:firstLine="720"/>
      </w:pPr>
      <w:r>
        <w:rPr>
          <w:rFonts w:ascii="Times New Roman" w:hAnsi="Times New Roman"/>
          <w:b w:val="0"/>
          <w:i w:val="0"/>
          <w:sz w:val="22"/>
        </w:rPr>
        <w:t>Se identificaron outliers en los retornos semanales de los 10 ETFs utilizando el método del rango intercuartílico (IQR), clasificando como outlier toda observación fuera del intervalo [Q1 − 1,5 × IQR, Q3 + 1,5 × IQR]. El porcentaje de outliers osciló entre el 2,6% (GLD) y el 5,9% (VNQ), con una media del 4% por ETF.</w:t>
      </w:r>
    </w:p>
    <w:p>
      <w:pPr>
        <w:spacing w:before="0" w:after="120" w:line="360" w:lineRule="auto"/>
        <w:ind w:firstLine="720"/>
      </w:pPr>
      <w:r>
        <w:rPr>
          <w:rFonts w:ascii="Times New Roman" w:hAnsi="Times New Roman"/>
          <w:b w:val="0"/>
          <w:i w:val="0"/>
          <w:sz w:val="22"/>
        </w:rPr>
        <w:t>Se tomó la decisión de mantener todos los outliers en el dataset. Esta decisión se fundamenta en que los valores extremos corresponden a eventos reales del mercado (crisis financiera de 2008, pandemia de COVID-19, shock inflacionario de 2022) y eliminarlos supondría privar al modelo de información sobre los escenarios más extremos, que son precisamente los que más importa predecir en la gestión de carteras.</w:t>
      </w:r>
    </w:p>
    <w:p>
      <w:pPr>
        <w:spacing w:before="240" w:after="0" w:line="240" w:lineRule="auto"/>
        <w:ind w:firstLine="0"/>
        <w:jc w:val="center"/>
      </w:pPr>
      <w:r>
        <w:drawing>
          <wp:inline xmlns:a="http://schemas.openxmlformats.org/drawingml/2006/main" xmlns:pic="http://schemas.openxmlformats.org/drawingml/2006/picture">
            <wp:extent cx="4680000" cy="3586763"/>
            <wp:docPr id="3" name="Picture 3"/>
            <wp:cNvGraphicFramePr>
              <a:graphicFrameLocks noChangeAspect="1"/>
            </wp:cNvGraphicFramePr>
            <a:graphic>
              <a:graphicData uri="http://schemas.openxmlformats.org/drawingml/2006/picture">
                <pic:pic>
                  <pic:nvPicPr>
                    <pic:cNvPr id="0" name="outliers_analisis.png"/>
                    <pic:cNvPicPr/>
                  </pic:nvPicPr>
                  <pic:blipFill>
                    <a:blip r:embed="rId24"/>
                    <a:stretch>
                      <a:fillRect/>
                    </a:stretch>
                  </pic:blipFill>
                  <pic:spPr>
                    <a:xfrm>
                      <a:off x="0" y="0"/>
                      <a:ext cx="4680000" cy="3586763"/>
                    </a:xfrm>
                    <a:prstGeom prst="rect"/>
                  </pic:spPr>
                </pic:pic>
              </a:graphicData>
            </a:graphic>
          </wp:inline>
        </w:drawing>
      </w:r>
    </w:p>
    <w:p>
      <w:pPr>
        <w:spacing w:before="60" w:after="0" w:line="240" w:lineRule="auto"/>
        <w:ind w:firstLine="0"/>
        <w:jc w:val="center"/>
      </w:pPr>
      <w:r>
        <w:rPr>
          <w:rFonts w:ascii="Times New Roman" w:hAnsi="Times New Roman"/>
          <w:b/>
          <w:i/>
          <w:sz w:val="20"/>
        </w:rPr>
        <w:t xml:space="preserve">Figura 3. </w:t>
      </w:r>
      <w:r>
        <w:rPr>
          <w:rFonts w:ascii="Times New Roman" w:hAnsi="Times New Roman"/>
          <w:i/>
          <w:sz w:val="20"/>
        </w:rPr>
        <w:t>Análisis de outliers por método IQR. Panel superior: número de outliers por ETF. Panel inferior: distribución temporal de outliers de SPY, concentrados en periodos de crisis.</w:t>
      </w:r>
    </w:p>
    <w:p>
      <w:pPr>
        <w:spacing w:before="0" w:after="120" w:line="240" w:lineRule="auto"/>
      </w:pPr>
    </w:p>
    <w:p>
      <w:pPr>
        <w:pStyle w:val="UFVEpgrafeNivel3"/>
        <w:spacing w:line="360" w:lineRule="auto" w:before="240" w:after="120"/>
        <w:ind w:firstLine="0"/>
      </w:pPr>
      <w:r>
        <w:rPr>
          <w:rFonts w:ascii="Times New Roman" w:hAnsi="Times New Roman"/>
          <w:b/>
          <w:i/>
          <w:color w:val="000000"/>
          <w:sz w:val="22"/>
        </w:rPr>
        <w:t>Normalización</w:t>
      </w:r>
    </w:p>
    <w:p>
      <w:pPr>
        <w:spacing w:before="0" w:after="120" w:line="360" w:lineRule="auto"/>
        <w:ind w:firstLine="720"/>
      </w:pPr>
      <w:r>
        <w:rPr>
          <w:rFonts w:ascii="Times New Roman" w:hAnsi="Times New Roman"/>
          <w:b w:val="0"/>
          <w:i w:val="0"/>
          <w:sz w:val="22"/>
        </w:rPr>
        <w:t>Se aplicó normalización z-score (StandardScaler de scikit-learn) a todas las features para que variables con escalas muy diferentes (VIX: 9-80, CPI: 200-320, log-returns: ±0,10) tengan el mismo peso relativo en el modelo. Los targets no se normalizan para que las predicciones sean directamente interpretables como log-returns. Es importante señalar que, en la fase de modelado, el scaler se ajustará exclusivamente con datos de entrenamiento para evitar fuga de información del futuro al pasado (data leakage).</w:t>
      </w:r>
    </w:p>
    <w:p>
      <w:pPr>
        <w:pStyle w:val="UFVEpgrafeNivel2"/>
        <w:spacing w:line="360" w:lineRule="auto" w:before="360" w:after="160"/>
        <w:ind w:firstLine="0"/>
      </w:pPr>
      <w:r>
        <w:rPr>
          <w:rFonts w:ascii="Times New Roman" w:hAnsi="Times New Roman"/>
          <w:b/>
          <w:i w:val="0"/>
          <w:color w:val="000000"/>
          <w:sz w:val="24"/>
        </w:rPr>
        <w:t>3.2.4 Feature Engineering</w:t>
      </w:r>
    </w:p>
    <w:p>
      <w:pPr>
        <w:spacing w:before="0" w:after="120" w:line="360" w:lineRule="auto"/>
        <w:ind w:firstLine="720"/>
      </w:pPr>
      <w:r>
        <w:rPr>
          <w:rFonts w:ascii="Times New Roman" w:hAnsi="Times New Roman"/>
          <w:b w:val="0"/>
          <w:i w:val="0"/>
          <w:sz w:val="22"/>
        </w:rPr>
        <w:t>Los datos crudos (precios, niveles de indicadores) por sí solos no son informativos para un modelo predictivo. Lo que aporta poder predictivo son las transformaciones que capturan dinámica, tendencia, riesgo y cambio. Se generaron 109 features organizadas en seis categorías, cada una con justificación financiera documentada en el código fuente.</w:t>
      </w:r>
    </w:p>
    <w:tbl>
      <w:tblPr>
        <w:jc w:val="center"/>
        <w:tblLayout w:type="fixed"/>
        <w:tblLook w:firstColumn="1" w:firstRow="1" w:lastColumn="0" w:lastRow="0" w:noHBand="0" w:noVBand="1" w:val="04A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280"/>
        <w:gridCol w:w="2280"/>
        <w:gridCol w:w="2280"/>
        <w:gridCol w:w="2280"/>
      </w:tblGrid>
      <w:tr>
        <w:tc>
          <w:tcPr>
            <w:tcW w:type="dxa" w:w="1304"/>
            <w:shd w:fill="1F3864"/>
          </w:tcPr>
          <w:p>
            <w:pPr>
              <w:spacing w:before="60" w:after="60" w:line="276" w:lineRule="auto"/>
              <w:ind w:firstLine="0"/>
              <w:jc w:val="center"/>
            </w:pPr>
            <w:r>
              <w:rPr>
                <w:rFonts w:ascii="Times New Roman" w:hAnsi="Times New Roman"/>
                <w:b/>
                <w:color w:val="FFFFFF"/>
                <w:sz w:val="20"/>
              </w:rPr>
              <w:t>Categoría</w:t>
            </w:r>
          </w:p>
        </w:tc>
        <w:tc>
          <w:tcPr>
            <w:tcW w:type="dxa" w:w="680"/>
            <w:shd w:fill="1F3864"/>
          </w:tcPr>
          <w:p>
            <w:pPr>
              <w:spacing w:before="60" w:after="60" w:line="276" w:lineRule="auto"/>
              <w:ind w:firstLine="0"/>
              <w:jc w:val="center"/>
            </w:pPr>
            <w:r>
              <w:rPr>
                <w:rFonts w:ascii="Times New Roman" w:hAnsi="Times New Roman"/>
                <w:b/>
                <w:color w:val="FFFFFF"/>
                <w:sz w:val="20"/>
              </w:rPr>
              <w:t>Nº</w:t>
            </w:r>
          </w:p>
        </w:tc>
        <w:tc>
          <w:tcPr>
            <w:tcW w:type="dxa" w:w="3118"/>
            <w:shd w:fill="1F3864"/>
          </w:tcPr>
          <w:p>
            <w:pPr>
              <w:spacing w:before="60" w:after="60" w:line="276" w:lineRule="auto"/>
              <w:ind w:firstLine="0"/>
              <w:jc w:val="center"/>
            </w:pPr>
            <w:r>
              <w:rPr>
                <w:rFonts w:ascii="Times New Roman" w:hAnsi="Times New Roman"/>
                <w:b/>
                <w:color w:val="FFFFFF"/>
                <w:sz w:val="20"/>
              </w:rPr>
              <w:t>Variables representativas</w:t>
            </w:r>
          </w:p>
        </w:tc>
        <w:tc>
          <w:tcPr>
            <w:tcW w:type="dxa" w:w="3685"/>
            <w:shd w:fill="1F3864"/>
          </w:tcPr>
          <w:p>
            <w:pPr>
              <w:spacing w:before="60" w:after="60" w:line="276" w:lineRule="auto"/>
              <w:ind w:firstLine="0"/>
              <w:jc w:val="center"/>
            </w:pPr>
            <w:r>
              <w:rPr>
                <w:rFonts w:ascii="Times New Roman" w:hAnsi="Times New Roman"/>
                <w:b/>
                <w:color w:val="FFFFFF"/>
                <w:sz w:val="20"/>
              </w:rPr>
              <w:t>Justificación</w:t>
            </w:r>
          </w:p>
        </w:tc>
      </w:tr>
      <w:tr>
        <w:tc>
          <w:tcPr>
            <w:tcW w:type="dxa" w:w="1304"/>
            <w:shd w:fill="F2F2F2"/>
          </w:tcPr>
          <w:p>
            <w:pPr>
              <w:spacing w:before="40" w:after="40" w:line="276" w:lineRule="auto"/>
              <w:ind w:firstLine="0"/>
              <w:jc w:val="center"/>
            </w:pPr>
            <w:r>
              <w:rPr>
                <w:rFonts w:ascii="Times New Roman" w:hAnsi="Times New Roman"/>
                <w:sz w:val="20"/>
              </w:rPr>
              <w:t>ETFs</w:t>
            </w:r>
          </w:p>
        </w:tc>
        <w:tc>
          <w:tcPr>
            <w:tcW w:type="dxa" w:w="680"/>
            <w:shd w:fill="F2F2F2"/>
          </w:tcPr>
          <w:p>
            <w:pPr>
              <w:spacing w:before="40" w:after="40" w:line="276" w:lineRule="auto"/>
              <w:ind w:firstLine="0"/>
              <w:jc w:val="center"/>
            </w:pPr>
            <w:r>
              <w:rPr>
                <w:rFonts w:ascii="Times New Roman" w:hAnsi="Times New Roman"/>
                <w:sz w:val="20"/>
              </w:rPr>
              <w:t>60</w:t>
            </w:r>
          </w:p>
        </w:tc>
        <w:tc>
          <w:tcPr>
            <w:tcW w:type="dxa" w:w="3118"/>
            <w:shd w:fill="F2F2F2"/>
          </w:tcPr>
          <w:p>
            <w:pPr>
              <w:spacing w:before="40" w:after="40" w:line="276" w:lineRule="auto"/>
              <w:ind w:firstLine="0"/>
              <w:jc w:val="center"/>
            </w:pPr>
            <w:r>
              <w:rPr>
                <w:rFonts w:ascii="Times New Roman" w:hAnsi="Times New Roman"/>
                <w:sz w:val="20"/>
              </w:rPr>
              <w:t>log-return, volatilidad 4/12 sem., momentum, drawdown</w:t>
            </w:r>
          </w:p>
        </w:tc>
        <w:tc>
          <w:tcPr>
            <w:tcW w:type="dxa" w:w="3685"/>
            <w:shd w:fill="F2F2F2"/>
          </w:tcPr>
          <w:p>
            <w:pPr>
              <w:spacing w:before="40" w:after="40" w:line="276" w:lineRule="auto"/>
              <w:ind w:firstLine="0"/>
              <w:jc w:val="center"/>
            </w:pPr>
            <w:r>
              <w:rPr>
                <w:rFonts w:ascii="Times New Roman" w:hAnsi="Times New Roman"/>
                <w:sz w:val="20"/>
              </w:rPr>
              <w:t>Capturan rendimiento, riesgo y tendencia de cada activo</w:t>
            </w:r>
          </w:p>
        </w:tc>
      </w:tr>
      <w:tr>
        <w:tc>
          <w:tcPr>
            <w:tcW w:type="dxa" w:w="1304"/>
          </w:tcPr>
          <w:p>
            <w:pPr>
              <w:spacing w:before="40" w:after="40" w:line="276" w:lineRule="auto"/>
              <w:ind w:firstLine="0"/>
              <w:jc w:val="center"/>
            </w:pPr>
            <w:r>
              <w:rPr>
                <w:rFonts w:ascii="Times New Roman" w:hAnsi="Times New Roman"/>
                <w:sz w:val="20"/>
              </w:rPr>
              <w:t>Macro</w:t>
            </w:r>
          </w:p>
        </w:tc>
        <w:tc>
          <w:tcPr>
            <w:tcW w:type="dxa" w:w="680"/>
          </w:tcPr>
          <w:p>
            <w:pPr>
              <w:spacing w:before="40" w:after="40" w:line="276" w:lineRule="auto"/>
              <w:ind w:firstLine="0"/>
              <w:jc w:val="center"/>
            </w:pPr>
            <w:r>
              <w:rPr>
                <w:rFonts w:ascii="Times New Roman" w:hAnsi="Times New Roman"/>
                <w:sz w:val="20"/>
              </w:rPr>
              <w:t>4</w:t>
            </w:r>
          </w:p>
        </w:tc>
        <w:tc>
          <w:tcPr>
            <w:tcW w:type="dxa" w:w="3118"/>
          </w:tcPr>
          <w:p>
            <w:pPr>
              <w:spacing w:before="40" w:after="40" w:line="276" w:lineRule="auto"/>
              <w:ind w:firstLine="0"/>
              <w:jc w:val="center"/>
            </w:pPr>
            <w:r>
              <w:rPr>
                <w:rFonts w:ascii="Times New Roman" w:hAnsi="Times New Roman"/>
                <w:sz w:val="20"/>
              </w:rPr>
              <w:t>Spread 10Y-2Y, variación CPI, UNRATE, UMCSENT</w:t>
            </w:r>
          </w:p>
        </w:tc>
        <w:tc>
          <w:tcPr>
            <w:tcW w:type="dxa" w:w="3685"/>
          </w:tcPr>
          <w:p>
            <w:pPr>
              <w:spacing w:before="40" w:after="40" w:line="276" w:lineRule="auto"/>
              <w:ind w:firstLine="0"/>
              <w:jc w:val="center"/>
            </w:pPr>
            <w:r>
              <w:rPr>
                <w:rFonts w:ascii="Times New Roman" w:hAnsi="Times New Roman"/>
                <w:sz w:val="20"/>
              </w:rPr>
              <w:t>Señales del ciclo económico y riesgo de recesión</w:t>
            </w:r>
          </w:p>
        </w:tc>
      </w:tr>
      <w:tr>
        <w:tc>
          <w:tcPr>
            <w:tcW w:type="dxa" w:w="1304"/>
            <w:shd w:fill="F2F2F2"/>
          </w:tcPr>
          <w:p>
            <w:pPr>
              <w:spacing w:before="40" w:after="40" w:line="276" w:lineRule="auto"/>
              <w:ind w:firstLine="0"/>
              <w:jc w:val="center"/>
            </w:pPr>
            <w:r>
              <w:rPr>
                <w:rFonts w:ascii="Times New Roman" w:hAnsi="Times New Roman"/>
                <w:sz w:val="20"/>
              </w:rPr>
              <w:t>Riesgo</w:t>
            </w:r>
          </w:p>
        </w:tc>
        <w:tc>
          <w:tcPr>
            <w:tcW w:type="dxa" w:w="680"/>
            <w:shd w:fill="F2F2F2"/>
          </w:tcPr>
          <w:p>
            <w:pPr>
              <w:spacing w:before="40" w:after="40" w:line="276" w:lineRule="auto"/>
              <w:ind w:firstLine="0"/>
              <w:jc w:val="center"/>
            </w:pPr>
            <w:r>
              <w:rPr>
                <w:rFonts w:ascii="Times New Roman" w:hAnsi="Times New Roman"/>
                <w:sz w:val="20"/>
              </w:rPr>
              <w:t>4</w:t>
            </w:r>
          </w:p>
        </w:tc>
        <w:tc>
          <w:tcPr>
            <w:tcW w:type="dxa" w:w="3118"/>
            <w:shd w:fill="F2F2F2"/>
          </w:tcPr>
          <w:p>
            <w:pPr>
              <w:spacing w:before="40" w:after="40" w:line="276" w:lineRule="auto"/>
              <w:ind w:firstLine="0"/>
              <w:jc w:val="center"/>
            </w:pPr>
            <w:r>
              <w:rPr>
                <w:rFonts w:ascii="Times New Roman" w:hAnsi="Times New Roman"/>
                <w:sz w:val="20"/>
              </w:rPr>
              <w:t>VIX nivel/cambio, HY spread, NFCI</w:t>
            </w:r>
          </w:p>
        </w:tc>
        <w:tc>
          <w:tcPr>
            <w:tcW w:type="dxa" w:w="3685"/>
            <w:shd w:fill="F2F2F2"/>
          </w:tcPr>
          <w:p>
            <w:pPr>
              <w:spacing w:before="40" w:after="40" w:line="276" w:lineRule="auto"/>
              <w:ind w:firstLine="0"/>
              <w:jc w:val="center"/>
            </w:pPr>
            <w:r>
              <w:rPr>
                <w:rFonts w:ascii="Times New Roman" w:hAnsi="Times New Roman"/>
                <w:sz w:val="20"/>
              </w:rPr>
              <w:t>Indicadores de estrés y aversión al riesgo</w:t>
            </w:r>
          </w:p>
        </w:tc>
      </w:tr>
      <w:tr>
        <w:tc>
          <w:tcPr>
            <w:tcW w:type="dxa" w:w="1304"/>
          </w:tcPr>
          <w:p>
            <w:pPr>
              <w:spacing w:before="40" w:after="40" w:line="276" w:lineRule="auto"/>
              <w:ind w:firstLine="0"/>
              <w:jc w:val="center"/>
            </w:pPr>
            <w:r>
              <w:rPr>
                <w:rFonts w:ascii="Times New Roman" w:hAnsi="Times New Roman"/>
                <w:sz w:val="20"/>
              </w:rPr>
              <w:t>Liquidez</w:t>
            </w:r>
          </w:p>
        </w:tc>
        <w:tc>
          <w:tcPr>
            <w:tcW w:type="dxa" w:w="680"/>
          </w:tcPr>
          <w:p>
            <w:pPr>
              <w:spacing w:before="40" w:after="40" w:line="276" w:lineRule="auto"/>
              <w:ind w:firstLine="0"/>
              <w:jc w:val="center"/>
            </w:pPr>
            <w:r>
              <w:rPr>
                <w:rFonts w:ascii="Times New Roman" w:hAnsi="Times New Roman"/>
                <w:sz w:val="20"/>
              </w:rPr>
              <w:t>4</w:t>
            </w:r>
          </w:p>
        </w:tc>
        <w:tc>
          <w:tcPr>
            <w:tcW w:type="dxa" w:w="3118"/>
          </w:tcPr>
          <w:p>
            <w:pPr>
              <w:spacing w:before="40" w:after="40" w:line="276" w:lineRule="auto"/>
              <w:ind w:firstLine="0"/>
              <w:jc w:val="center"/>
            </w:pPr>
            <w:r>
              <w:rPr>
                <w:rFonts w:ascii="Times New Roman" w:hAnsi="Times New Roman"/>
                <w:sz w:val="20"/>
              </w:rPr>
              <w:t>Var. balance Fed, reverse repo, depósitos, TGA</w:t>
            </w:r>
          </w:p>
        </w:tc>
        <w:tc>
          <w:tcPr>
            <w:tcW w:type="dxa" w:w="3685"/>
          </w:tcPr>
          <w:p>
            <w:pPr>
              <w:spacing w:before="40" w:after="40" w:line="276" w:lineRule="auto"/>
              <w:ind w:firstLine="0"/>
              <w:jc w:val="center"/>
            </w:pPr>
            <w:r>
              <w:rPr>
                <w:rFonts w:ascii="Times New Roman" w:hAnsi="Times New Roman"/>
                <w:sz w:val="20"/>
              </w:rPr>
              <w:t>Flujos monetarios que afectan precios de activos</w:t>
            </w:r>
          </w:p>
        </w:tc>
      </w:tr>
      <w:tr>
        <w:tc>
          <w:tcPr>
            <w:tcW w:type="dxa" w:w="1304"/>
            <w:shd w:fill="F2F2F2"/>
          </w:tcPr>
          <w:p>
            <w:pPr>
              <w:spacing w:before="40" w:after="40" w:line="276" w:lineRule="auto"/>
              <w:ind w:firstLine="0"/>
              <w:jc w:val="center"/>
            </w:pPr>
            <w:r>
              <w:rPr>
                <w:rFonts w:ascii="Times New Roman" w:hAnsi="Times New Roman"/>
                <w:sz w:val="20"/>
              </w:rPr>
              <w:t>Sentimiento</w:t>
            </w:r>
          </w:p>
        </w:tc>
        <w:tc>
          <w:tcPr>
            <w:tcW w:type="dxa" w:w="680"/>
            <w:shd w:fill="F2F2F2"/>
          </w:tcPr>
          <w:p>
            <w:pPr>
              <w:spacing w:before="40" w:after="40" w:line="276" w:lineRule="auto"/>
              <w:ind w:firstLine="0"/>
              <w:jc w:val="center"/>
            </w:pPr>
            <w:r>
              <w:rPr>
                <w:rFonts w:ascii="Times New Roman" w:hAnsi="Times New Roman"/>
                <w:sz w:val="20"/>
              </w:rPr>
              <w:t>15</w:t>
            </w:r>
          </w:p>
        </w:tc>
        <w:tc>
          <w:tcPr>
            <w:tcW w:type="dxa" w:w="3118"/>
            <w:shd w:fill="F2F2F2"/>
          </w:tcPr>
          <w:p>
            <w:pPr>
              <w:spacing w:before="40" w:after="40" w:line="276" w:lineRule="auto"/>
              <w:ind w:firstLine="0"/>
              <w:jc w:val="center"/>
            </w:pPr>
            <w:r>
              <w:rPr>
                <w:rFonts w:ascii="Times New Roman" w:hAnsi="Times New Roman"/>
                <w:sz w:val="20"/>
              </w:rPr>
              <w:t>AAII Bull-Bear, 7 Google Trends (cambio + MA4)</w:t>
            </w:r>
          </w:p>
        </w:tc>
        <w:tc>
          <w:tcPr>
            <w:tcW w:type="dxa" w:w="3685"/>
            <w:shd w:fill="F2F2F2"/>
          </w:tcPr>
          <w:p>
            <w:pPr>
              <w:spacing w:before="40" w:after="40" w:line="276" w:lineRule="auto"/>
              <w:ind w:firstLine="0"/>
              <w:jc w:val="center"/>
            </w:pPr>
            <w:r>
              <w:rPr>
                <w:rFonts w:ascii="Times New Roman" w:hAnsi="Times New Roman"/>
                <w:sz w:val="20"/>
              </w:rPr>
              <w:t>Percepción de inversores retail y público general</w:t>
            </w:r>
          </w:p>
        </w:tc>
      </w:tr>
      <w:tr>
        <w:tc>
          <w:tcPr>
            <w:tcW w:type="dxa" w:w="1304"/>
          </w:tcPr>
          <w:p>
            <w:pPr>
              <w:spacing w:before="40" w:after="40" w:line="276" w:lineRule="auto"/>
              <w:ind w:firstLine="0"/>
              <w:jc w:val="center"/>
            </w:pPr>
            <w:r>
              <w:rPr>
                <w:rFonts w:ascii="Times New Roman" w:hAnsi="Times New Roman"/>
                <w:sz w:val="20"/>
              </w:rPr>
              <w:t>Noticias NLP</w:t>
            </w:r>
          </w:p>
        </w:tc>
        <w:tc>
          <w:tcPr>
            <w:tcW w:type="dxa" w:w="680"/>
          </w:tcPr>
          <w:p>
            <w:pPr>
              <w:spacing w:before="40" w:after="40" w:line="276" w:lineRule="auto"/>
              <w:ind w:firstLine="0"/>
              <w:jc w:val="center"/>
            </w:pPr>
            <w:r>
              <w:rPr>
                <w:rFonts w:ascii="Times New Roman" w:hAnsi="Times New Roman"/>
                <w:sz w:val="20"/>
              </w:rPr>
              <w:t>22</w:t>
            </w:r>
          </w:p>
        </w:tc>
        <w:tc>
          <w:tcPr>
            <w:tcW w:type="dxa" w:w="3118"/>
          </w:tcPr>
          <w:p>
            <w:pPr>
              <w:spacing w:before="40" w:after="40" w:line="276" w:lineRule="auto"/>
              <w:ind w:firstLine="0"/>
              <w:jc w:val="center"/>
            </w:pPr>
            <w:r>
              <w:rPr>
                <w:rFonts w:ascii="Times New Roman" w:hAnsi="Times New Roman"/>
                <w:sz w:val="20"/>
              </w:rPr>
              <w:t>Sentimiento VADER por ETF + agregado</w:t>
            </w:r>
          </w:p>
        </w:tc>
        <w:tc>
          <w:tcPr>
            <w:tcW w:type="dxa" w:w="3685"/>
          </w:tcPr>
          <w:p>
            <w:pPr>
              <w:spacing w:before="40" w:after="40" w:line="276" w:lineRule="auto"/>
              <w:ind w:firstLine="0"/>
              <w:jc w:val="center"/>
            </w:pPr>
            <w:r>
              <w:rPr>
                <w:rFonts w:ascii="Times New Roman" w:hAnsi="Times New Roman"/>
                <w:sz w:val="20"/>
              </w:rPr>
              <w:t>Tono de noticias financieras (17.181 titulares)</w:t>
            </w:r>
          </w:p>
        </w:tc>
      </w:tr>
    </w:tbl>
    <w:p>
      <w:pPr>
        <w:spacing w:before="0" w:after="120" w:line="240" w:lineRule="auto"/>
      </w:pPr>
    </w:p>
    <w:p>
      <w:pPr>
        <w:spacing w:before="120" w:after="120" w:line="360" w:lineRule="auto"/>
        <w:ind w:firstLine="720"/>
      </w:pPr>
      <w:r>
        <w:rPr>
          <w:rFonts w:ascii="Times New Roman" w:hAnsi="Times New Roman"/>
          <w:b w:val="0"/>
          <w:i w:val="0"/>
          <w:sz w:val="22"/>
        </w:rPr>
        <w:t>Para las 6 métricas por ETF (60 features en total), se eligieron transformaciones estándar de la literatura de finanzas cuantitativas. El log-return semanal (ln(P_t/P_{t-1})) se prefiere al retorno simple porque es aditivo en el tiempo y estabiliza la varianza. La volatilidad rolling en ventanas de 4 y 12 semanas captura el riesgo a corto y medio plazo. El momentum (retorno acumulado en 4 y 12 semanas) explota el efecto momentum ampliamente documentado en la literatura académica. El drawdown mide la caída desde el máximo histórico, proporcionando una medida de estrés del activo.</w:t>
      </w:r>
    </w:p>
    <w:p>
      <w:pPr>
        <w:pStyle w:val="UFVEpgrafeNivel3"/>
        <w:spacing w:line="360" w:lineRule="auto" w:before="240" w:after="120"/>
        <w:ind w:firstLine="0"/>
      </w:pPr>
      <w:r>
        <w:rPr>
          <w:rFonts w:ascii="Times New Roman" w:hAnsi="Times New Roman"/>
          <w:b/>
          <w:i/>
          <w:color w:val="000000"/>
          <w:sz w:val="22"/>
        </w:rPr>
        <w:t>Análisis de sentimiento NLP</w:t>
      </w:r>
    </w:p>
    <w:p>
      <w:pPr>
        <w:spacing w:before="0" w:after="120" w:line="360" w:lineRule="auto"/>
        <w:ind w:firstLine="720"/>
      </w:pPr>
      <w:r>
        <w:rPr>
          <w:rFonts w:ascii="Times New Roman" w:hAnsi="Times New Roman"/>
          <w:b w:val="0"/>
          <w:i w:val="0"/>
          <w:sz w:val="22"/>
        </w:rPr>
        <w:t>Se aplicó el algoritmo VADER (Valence Aware Dictionary and sEntiment Reasoner) sobre los 17.181 titulares de noticias extraídos de Refinitiv/LSEG Workspace. VADER fue seleccionado por estar diseñado específicamente para textos cortos como titulares, no requerir entrenamiento previo (usa un lexicón validado por humanos) y estar ampliamente citado en la literatura de finanzas cuantitativas. Cada titular recibió un compound score entre −1 (muy negativo) y +1 (muy positivo), que se agregó a frecuencia semanal por ETF calculando la media del sentimiento y el número de titulares como proxy de atención mediática. La distribución resultante mostró un 61,7% de titulares neutros, un 23,6% positivos y un 14,7% negativos.</w:t>
      </w:r>
    </w:p>
    <w:p>
      <w:pPr>
        <w:pStyle w:val="UFVEpgrafeNivel2"/>
        <w:spacing w:line="360" w:lineRule="auto" w:before="360" w:after="160"/>
        <w:ind w:firstLine="0"/>
      </w:pPr>
      <w:r>
        <w:rPr>
          <w:rFonts w:ascii="Times New Roman" w:hAnsi="Times New Roman"/>
          <w:b/>
          <w:i w:val="0"/>
          <w:color w:val="000000"/>
          <w:sz w:val="24"/>
        </w:rPr>
        <w:t>3.2.5 Análisis Exploratorio de Datos</w:t>
      </w:r>
    </w:p>
    <w:p>
      <w:pPr>
        <w:spacing w:before="0" w:after="120" w:line="360" w:lineRule="auto"/>
        <w:ind w:firstLine="720"/>
      </w:pPr>
      <w:r>
        <w:rPr>
          <w:rFonts w:ascii="Times New Roman" w:hAnsi="Times New Roman"/>
          <w:b w:val="0"/>
          <w:i w:val="0"/>
          <w:sz w:val="22"/>
        </w:rPr>
        <w:t>El análisis exploratorio reveló varios hallazgos que condicionan directamente el diseño del modelo predictivo y justifican la elección de técnicas de Machine Learning frente a métodos tradicionales de optimización de carteras.</w:t>
      </w:r>
    </w:p>
    <w:p>
      <w:pPr>
        <w:pStyle w:val="UFVEpgrafeNivel3"/>
        <w:spacing w:line="360" w:lineRule="auto" w:before="240" w:after="120"/>
        <w:ind w:firstLine="0"/>
      </w:pPr>
      <w:r>
        <w:rPr>
          <w:rFonts w:ascii="Times New Roman" w:hAnsi="Times New Roman"/>
          <w:b/>
          <w:i/>
          <w:color w:val="000000"/>
          <w:sz w:val="22"/>
        </w:rPr>
        <w:t>Evolución de precios y heterogeneidad de rendimientos</w:t>
      </w:r>
    </w:p>
    <w:p>
      <w:pPr>
        <w:spacing w:before="0" w:after="120" w:line="360" w:lineRule="auto"/>
        <w:ind w:firstLine="720"/>
      </w:pPr>
      <w:r>
        <w:rPr>
          <w:rFonts w:ascii="Times New Roman" w:hAnsi="Times New Roman"/>
          <w:b w:val="0"/>
          <w:i w:val="0"/>
          <w:sz w:val="22"/>
        </w:rPr>
        <w:t>La Figura 4 muestra la evolución de los 10 ETFs normalizada a base 100, en escala logarítmica para permitir una comparación justa. Se observa una dispersión enorme entre clases de activos: QQQ (Nasdaq 100) multiplicó su valor por más de 8 veces, mientras que EEM (emergentes) prácticamente no generó retorno neto en 19 años. Las tres crisis sombreadas se manifiestan de forma distinta en cada activo, lo que justifica la diversificación multi-activo.</w:t>
      </w:r>
    </w:p>
    <w:p>
      <w:pPr>
        <w:spacing w:before="240" w:after="0" w:line="240" w:lineRule="auto"/>
        <w:ind w:firstLine="0"/>
        <w:jc w:val="center"/>
      </w:pPr>
      <w:r>
        <w:drawing>
          <wp:inline xmlns:a="http://schemas.openxmlformats.org/drawingml/2006/main" xmlns:pic="http://schemas.openxmlformats.org/drawingml/2006/picture">
            <wp:extent cx="4680000" cy="2524226"/>
            <wp:docPr id="4" name="Picture 4"/>
            <wp:cNvGraphicFramePr>
              <a:graphicFrameLocks noChangeAspect="1"/>
            </wp:cNvGraphicFramePr>
            <a:graphic>
              <a:graphicData uri="http://schemas.openxmlformats.org/drawingml/2006/picture">
                <pic:pic>
                  <pic:nvPicPr>
                    <pic:cNvPr id="0" name="etfs_evolucion_log.png"/>
                    <pic:cNvPicPr/>
                  </pic:nvPicPr>
                  <pic:blipFill>
                    <a:blip r:embed="rId25"/>
                    <a:stretch>
                      <a:fillRect/>
                    </a:stretch>
                  </pic:blipFill>
                  <pic:spPr>
                    <a:xfrm>
                      <a:off x="0" y="0"/>
                      <a:ext cx="4680000" cy="2524226"/>
                    </a:xfrm>
                    <a:prstGeom prst="rect"/>
                  </pic:spPr>
                </pic:pic>
              </a:graphicData>
            </a:graphic>
          </wp:inline>
        </w:drawing>
      </w:r>
    </w:p>
    <w:p>
      <w:pPr>
        <w:spacing w:before="60" w:after="0" w:line="240" w:lineRule="auto"/>
        <w:ind w:firstLine="0"/>
        <w:jc w:val="center"/>
      </w:pPr>
      <w:r>
        <w:rPr>
          <w:rFonts w:ascii="Times New Roman" w:hAnsi="Times New Roman"/>
          <w:b/>
          <w:i/>
          <w:sz w:val="20"/>
        </w:rPr>
        <w:t xml:space="preserve">Figura 4. </w:t>
      </w:r>
      <w:r>
        <w:rPr>
          <w:rFonts w:ascii="Times New Roman" w:hAnsi="Times New Roman"/>
          <w:i/>
          <w:sz w:val="20"/>
        </w:rPr>
        <w:t>Evolución de precios de 10 ETFs normalizada a base 100, escala logarítmica (2007–2026). Sombreados: GFC 2008, COVID-19 y crisis de inflación/tipos 2022.</w:t>
      </w:r>
    </w:p>
    <w:p>
      <w:pPr>
        <w:spacing w:before="0" w:after="120" w:line="240" w:lineRule="auto"/>
      </w:pPr>
    </w:p>
    <w:p>
      <w:pPr>
        <w:pStyle w:val="UFVEpgrafeNivel3"/>
        <w:spacing w:line="360" w:lineRule="auto" w:before="240" w:after="120"/>
        <w:ind w:firstLine="0"/>
      </w:pPr>
      <w:r>
        <w:rPr>
          <w:rFonts w:ascii="Times New Roman" w:hAnsi="Times New Roman"/>
          <w:b/>
          <w:i/>
          <w:color w:val="000000"/>
          <w:sz w:val="22"/>
        </w:rPr>
        <w:t>No normalidad de retornos</w:t>
      </w:r>
    </w:p>
    <w:p>
      <w:pPr>
        <w:spacing w:before="0" w:after="120" w:line="360" w:lineRule="auto"/>
        <w:ind w:firstLine="720"/>
      </w:pPr>
      <w:r>
        <w:rPr>
          <w:rFonts w:ascii="Times New Roman" w:hAnsi="Times New Roman"/>
          <w:b w:val="0"/>
          <w:i w:val="0"/>
          <w:sz w:val="22"/>
        </w:rPr>
        <w:t>La Figura 5 presenta los histogramas de retornos semanales con la curva normal teórica superpuesta. Todos los ETFs exhiben leptocurtosis (colas más pesadas que la normal, con curtosis de hasta 53,4 para AGG) y asimetría negativa (caídas extremas más frecuentes que subidas extremas). Este hallazgo invalida el supuesto de normalidad del modelo de Markowitz y justifica el uso de modelos de Machine Learning capaces de capturar relaciones no lineales y eventos extremos.</w:t>
      </w:r>
    </w:p>
    <w:p>
      <w:pPr>
        <w:spacing w:before="240" w:after="0" w:line="240" w:lineRule="auto"/>
        <w:ind w:firstLine="0"/>
        <w:jc w:val="center"/>
      </w:pPr>
      <w:r>
        <w:drawing>
          <wp:inline xmlns:a="http://schemas.openxmlformats.org/drawingml/2006/main" xmlns:pic="http://schemas.openxmlformats.org/drawingml/2006/picture">
            <wp:extent cx="4680000" cy="2145654"/>
            <wp:docPr id="5" name="Picture 5"/>
            <wp:cNvGraphicFramePr>
              <a:graphicFrameLocks noChangeAspect="1"/>
            </wp:cNvGraphicFramePr>
            <a:graphic>
              <a:graphicData uri="http://schemas.openxmlformats.org/drawingml/2006/picture">
                <pic:pic>
                  <pic:nvPicPr>
                    <pic:cNvPr id="0" name="distribucion_retornos.png"/>
                    <pic:cNvPicPr/>
                  </pic:nvPicPr>
                  <pic:blipFill>
                    <a:blip r:embed="rId26"/>
                    <a:stretch>
                      <a:fillRect/>
                    </a:stretch>
                  </pic:blipFill>
                  <pic:spPr>
                    <a:xfrm>
                      <a:off x="0" y="0"/>
                      <a:ext cx="4680000" cy="2145654"/>
                    </a:xfrm>
                    <a:prstGeom prst="rect"/>
                  </pic:spPr>
                </pic:pic>
              </a:graphicData>
            </a:graphic>
          </wp:inline>
        </w:drawing>
      </w:r>
    </w:p>
    <w:p>
      <w:pPr>
        <w:spacing w:before="60" w:after="0" w:line="240" w:lineRule="auto"/>
        <w:ind w:firstLine="0"/>
        <w:jc w:val="center"/>
      </w:pPr>
      <w:r>
        <w:rPr>
          <w:rFonts w:ascii="Times New Roman" w:hAnsi="Times New Roman"/>
          <w:b/>
          <w:i/>
          <w:sz w:val="20"/>
        </w:rPr>
        <w:t xml:space="preserve">Figura 5. </w:t>
      </w:r>
      <w:r>
        <w:rPr>
          <w:rFonts w:ascii="Times New Roman" w:hAnsi="Times New Roman"/>
          <w:i/>
          <w:sz w:val="20"/>
        </w:rPr>
        <w:t>Distribución de retornos semanales de los 10 ETFs frente a la distribución normal teórica. Se observa leptocurtosis generalizada (colas pesadas).</w:t>
      </w:r>
    </w:p>
    <w:p>
      <w:pPr>
        <w:spacing w:before="0" w:after="120" w:line="240" w:lineRule="auto"/>
      </w:pPr>
    </w:p>
    <w:p>
      <w:pPr>
        <w:pStyle w:val="UFVEpgrafeNivel3"/>
        <w:spacing w:line="360" w:lineRule="auto" w:before="240" w:after="120"/>
        <w:ind w:firstLine="0"/>
      </w:pPr>
      <w:r>
        <w:rPr>
          <w:rFonts w:ascii="Times New Roman" w:hAnsi="Times New Roman"/>
          <w:b/>
          <w:i/>
          <w:color w:val="000000"/>
          <w:sz w:val="22"/>
        </w:rPr>
        <w:t>Volatilidad y crisis</w:t>
      </w:r>
    </w:p>
    <w:p>
      <w:pPr>
        <w:spacing w:before="0" w:after="120" w:line="360" w:lineRule="auto"/>
        <w:ind w:firstLine="720"/>
      </w:pPr>
      <w:r>
        <w:rPr>
          <w:rFonts w:ascii="Times New Roman" w:hAnsi="Times New Roman"/>
          <w:b w:val="0"/>
          <w:i w:val="0"/>
          <w:sz w:val="22"/>
        </w:rPr>
        <w:t>El índice VIX, conocido como el «índice del miedo», registró picos de 79,1 durante la Gran Crisis Financiera y de 66,0 durante la pandemia de COVID-19 (Figura 6). Su comportamiento asimétrico (sube de forma abrupta y baja gradualmente) y su clara relación negativa con los retornos de SPY justifican su inclusión como feature del modelo tanto en nivel como en variación semanal.</w:t>
      </w:r>
    </w:p>
    <w:p>
      <w:pPr>
        <w:spacing w:before="240" w:after="0" w:line="240" w:lineRule="auto"/>
        <w:ind w:firstLine="0"/>
        <w:jc w:val="center"/>
      </w:pPr>
      <w:r>
        <w:drawing>
          <wp:inline xmlns:a="http://schemas.openxmlformats.org/drawingml/2006/main" xmlns:pic="http://schemas.openxmlformats.org/drawingml/2006/picture">
            <wp:extent cx="4680000" cy="2237321"/>
            <wp:docPr id="6" name="Picture 6"/>
            <wp:cNvGraphicFramePr>
              <a:graphicFrameLocks noChangeAspect="1"/>
            </wp:cNvGraphicFramePr>
            <a:graphic>
              <a:graphicData uri="http://schemas.openxmlformats.org/drawingml/2006/picture">
                <pic:pic>
                  <pic:nvPicPr>
                    <pic:cNvPr id="0" name="vix_historico.png"/>
                    <pic:cNvPicPr/>
                  </pic:nvPicPr>
                  <pic:blipFill>
                    <a:blip r:embed="rId27"/>
                    <a:stretch>
                      <a:fillRect/>
                    </a:stretch>
                  </pic:blipFill>
                  <pic:spPr>
                    <a:xfrm>
                      <a:off x="0" y="0"/>
                      <a:ext cx="4680000" cy="2237321"/>
                    </a:xfrm>
                    <a:prstGeom prst="rect"/>
                  </pic:spPr>
                </pic:pic>
              </a:graphicData>
            </a:graphic>
          </wp:inline>
        </w:drawing>
      </w:r>
    </w:p>
    <w:p>
      <w:pPr>
        <w:spacing w:before="60" w:after="0" w:line="240" w:lineRule="auto"/>
        <w:ind w:firstLine="0"/>
        <w:jc w:val="center"/>
      </w:pPr>
      <w:r>
        <w:rPr>
          <w:rFonts w:ascii="Times New Roman" w:hAnsi="Times New Roman"/>
          <w:b/>
          <w:i/>
          <w:sz w:val="20"/>
        </w:rPr>
        <w:t xml:space="preserve">Figura 6. </w:t>
      </w:r>
      <w:r>
        <w:rPr>
          <w:rFonts w:ascii="Times New Roman" w:hAnsi="Times New Roman"/>
          <w:i/>
          <w:sz w:val="20"/>
        </w:rPr>
        <w:t>Evolución del VIX (2007–2026) con niveles de referencia y picos de crisis anotados.</w:t>
      </w:r>
    </w:p>
    <w:p>
      <w:pPr>
        <w:spacing w:before="0" w:after="120" w:line="240" w:lineRule="auto"/>
      </w:pPr>
    </w:p>
    <w:p>
      <w:pPr>
        <w:pStyle w:val="UFVEpgrafeNivel3"/>
        <w:spacing w:line="360" w:lineRule="auto" w:before="240" w:after="120"/>
        <w:ind w:firstLine="0"/>
      </w:pPr>
      <w:r>
        <w:rPr>
          <w:rFonts w:ascii="Times New Roman" w:hAnsi="Times New Roman"/>
          <w:b/>
          <w:i/>
          <w:color w:val="000000"/>
          <w:sz w:val="22"/>
        </w:rPr>
        <w:t>Inestabilidad de correlaciones</w:t>
      </w:r>
    </w:p>
    <w:p>
      <w:pPr>
        <w:spacing w:before="0" w:after="120" w:line="360" w:lineRule="auto"/>
        <w:ind w:firstLine="720"/>
      </w:pPr>
      <w:r>
        <w:rPr>
          <w:rFonts w:ascii="Times New Roman" w:hAnsi="Times New Roman"/>
          <w:b w:val="0"/>
          <w:i w:val="0"/>
          <w:sz w:val="22"/>
        </w:rPr>
        <w:t>Uno de los hallazgos más relevantes para la motivación del proyecto es la inestabilidad de las correlaciones entre clases de activos. La Figura 7 muestra la correlación rolling de 52 semanas entre SPY (acciones) y AGG (bonos). La correlación oscila entre −0,6 y +0,6 a lo largo de los 19 años: en periodos normales es negativa (la diversificación funciona), pero en crisis como 2008, 2020 y especialmente 2022-2024 se vuelve positiva (acciones y bonos caen juntos, la diversificación se rompe). Este resultado invalida el supuesto fundamental del modelo de Markowitz de correlaciones estables y justifica un enfoque dinámico basado en Machine Learning que se adapte al régimen de correlaciones actual.</w:t>
      </w:r>
    </w:p>
    <w:p>
      <w:pPr>
        <w:spacing w:before="240" w:after="0" w:line="240" w:lineRule="auto"/>
        <w:ind w:firstLine="0"/>
        <w:jc w:val="center"/>
      </w:pPr>
      <w:r>
        <w:drawing>
          <wp:inline xmlns:a="http://schemas.openxmlformats.org/drawingml/2006/main" xmlns:pic="http://schemas.openxmlformats.org/drawingml/2006/picture">
            <wp:extent cx="4680000" cy="2199613"/>
            <wp:docPr id="7" name="Picture 7"/>
            <wp:cNvGraphicFramePr>
              <a:graphicFrameLocks noChangeAspect="1"/>
            </wp:cNvGraphicFramePr>
            <a:graphic>
              <a:graphicData uri="http://schemas.openxmlformats.org/drawingml/2006/picture">
                <pic:pic>
                  <pic:nvPicPr>
                    <pic:cNvPr id="0" name="rolling_corr_spy_agg.png"/>
                    <pic:cNvPicPr/>
                  </pic:nvPicPr>
                  <pic:blipFill>
                    <a:blip r:embed="rId28"/>
                    <a:stretch>
                      <a:fillRect/>
                    </a:stretch>
                  </pic:blipFill>
                  <pic:spPr>
                    <a:xfrm>
                      <a:off x="0" y="0"/>
                      <a:ext cx="4680000" cy="2199613"/>
                    </a:xfrm>
                    <a:prstGeom prst="rect"/>
                  </pic:spPr>
                </pic:pic>
              </a:graphicData>
            </a:graphic>
          </wp:inline>
        </w:drawing>
      </w:r>
    </w:p>
    <w:p>
      <w:pPr>
        <w:spacing w:before="60" w:after="0" w:line="240" w:lineRule="auto"/>
        <w:ind w:firstLine="0"/>
        <w:jc w:val="center"/>
      </w:pPr>
      <w:r>
        <w:rPr>
          <w:rFonts w:ascii="Times New Roman" w:hAnsi="Times New Roman"/>
          <w:b/>
          <w:i/>
          <w:sz w:val="20"/>
        </w:rPr>
        <w:t xml:space="preserve">Figura 7. </w:t>
      </w:r>
      <w:r>
        <w:rPr>
          <w:rFonts w:ascii="Times New Roman" w:hAnsi="Times New Roman"/>
          <w:i/>
          <w:sz w:val="20"/>
        </w:rPr>
        <w:t>Correlación rolling de 52 semanas entre SPY y AGG. Las zonas rojas indican correlación positiva (diversificación rota); las verdes, correlación negativa (diversificación funcional).</w:t>
      </w:r>
    </w:p>
    <w:p>
      <w:pPr>
        <w:spacing w:before="0" w:after="120" w:line="240" w:lineRule="auto"/>
      </w:pPr>
    </w:p>
    <w:p>
      <w:pPr>
        <w:pStyle w:val="UFVEpgrafeNivel3"/>
        <w:spacing w:line="360" w:lineRule="auto" w:before="240" w:after="120"/>
        <w:ind w:firstLine="0"/>
      </w:pPr>
      <w:r>
        <w:rPr>
          <w:rFonts w:ascii="Times New Roman" w:hAnsi="Times New Roman"/>
          <w:b/>
          <w:i/>
          <w:color w:val="000000"/>
          <w:sz w:val="22"/>
        </w:rPr>
        <w:t>Complementariedad entre dimensiones</w:t>
      </w:r>
    </w:p>
    <w:p>
      <w:pPr>
        <w:spacing w:before="0" w:after="120" w:line="360" w:lineRule="auto"/>
        <w:ind w:firstLine="720"/>
      </w:pPr>
      <w:r>
        <w:rPr>
          <w:rFonts w:ascii="Times New Roman" w:hAnsi="Times New Roman"/>
          <w:b w:val="0"/>
          <w:i w:val="0"/>
          <w:sz w:val="22"/>
        </w:rPr>
        <w:t>La Figura 8 muestra la correlación media absoluta entre las cinco dimensiones del dataset. Liquidez y sentimiento presentan correlaciones muy bajas con el resto de dimensiones (0,05–0,09), confirmando que aportan información diferenciada y complementaria al modelo. Esto valida la decisión de diseño de incorporar múltiples fuentes de datos heterogéneas.</w:t>
      </w:r>
    </w:p>
    <w:p>
      <w:pPr>
        <w:spacing w:before="240" w:after="0" w:line="240" w:lineRule="auto"/>
        <w:ind w:firstLine="0"/>
        <w:jc w:val="center"/>
      </w:pPr>
      <w:r>
        <w:drawing>
          <wp:inline xmlns:a="http://schemas.openxmlformats.org/drawingml/2006/main" xmlns:pic="http://schemas.openxmlformats.org/drawingml/2006/picture">
            <wp:extent cx="3240000" cy="2889372"/>
            <wp:docPr id="8" name="Picture 8"/>
            <wp:cNvGraphicFramePr>
              <a:graphicFrameLocks noChangeAspect="1"/>
            </wp:cNvGraphicFramePr>
            <a:graphic>
              <a:graphicData uri="http://schemas.openxmlformats.org/drawingml/2006/picture">
                <pic:pic>
                  <pic:nvPicPr>
                    <pic:cNvPr id="0" name="correlacion_entre_dimensiones.png"/>
                    <pic:cNvPicPr/>
                  </pic:nvPicPr>
                  <pic:blipFill>
                    <a:blip r:embed="rId29"/>
                    <a:stretch>
                      <a:fillRect/>
                    </a:stretch>
                  </pic:blipFill>
                  <pic:spPr>
                    <a:xfrm>
                      <a:off x="0" y="0"/>
                      <a:ext cx="3240000" cy="2889372"/>
                    </a:xfrm>
                    <a:prstGeom prst="rect"/>
                  </pic:spPr>
                </pic:pic>
              </a:graphicData>
            </a:graphic>
          </wp:inline>
        </w:drawing>
      </w:r>
    </w:p>
    <w:p>
      <w:pPr>
        <w:spacing w:before="60" w:after="0" w:line="240" w:lineRule="auto"/>
        <w:ind w:firstLine="0"/>
        <w:jc w:val="center"/>
      </w:pPr>
      <w:r>
        <w:rPr>
          <w:rFonts w:ascii="Times New Roman" w:hAnsi="Times New Roman"/>
          <w:b/>
          <w:i/>
          <w:sz w:val="20"/>
        </w:rPr>
        <w:t xml:space="preserve">Figura 8. </w:t>
      </w:r>
      <w:r>
        <w:rPr>
          <w:rFonts w:ascii="Times New Roman" w:hAnsi="Times New Roman"/>
          <w:i/>
          <w:sz w:val="20"/>
        </w:rPr>
        <w:t>Correlación media absoluta entre dimensiones del dataset. Liquidez y sentimiento aportan información independiente.</w:t>
      </w:r>
    </w:p>
    <w:p>
      <w:pPr>
        <w:spacing w:before="0" w:after="120" w:line="240" w:lineRule="auto"/>
      </w:pPr>
    </w:p>
    <w:p>
      <w:pPr>
        <w:pStyle w:val="UFVEpgrafeNivel3"/>
        <w:spacing w:line="360" w:lineRule="auto" w:before="240" w:after="120"/>
        <w:ind w:firstLine="0"/>
      </w:pPr>
      <w:r>
        <w:rPr>
          <w:rFonts w:ascii="Times New Roman" w:hAnsi="Times New Roman"/>
          <w:b/>
          <w:i/>
          <w:color w:val="000000"/>
          <w:sz w:val="22"/>
        </w:rPr>
        <w:t>Estacionariedad de las series</w:t>
      </w:r>
    </w:p>
    <w:p>
      <w:pPr>
        <w:spacing w:before="0" w:after="120" w:line="360" w:lineRule="auto"/>
        <w:ind w:firstLine="720"/>
      </w:pPr>
      <w:r>
        <w:rPr>
          <w:rFonts w:ascii="Times New Roman" w:hAnsi="Times New Roman"/>
          <w:b w:val="0"/>
          <w:i w:val="0"/>
          <w:sz w:val="22"/>
        </w:rPr>
        <w:t>Se aplicó el test Augmented Dickey-Fuller a 19 variables representativas (Figura 9). El resultado fue que 17 de 19 son estacionarias (p &lt; 0,05), incluyendo todos los log-returns y variaciones semanales. Las dos excepciones (spread 10Y-2Y y spread Bull-Bear AAII) son variables de nivel con reversión lenta a la media, que se mantuvieron sin diferenciar porque su valor absoluto tiene significado económico directo y XGBoost, a diferencia de los modelos ARIMA, puede trabajar con variables no estacionarias sin problemas.</w:t>
      </w:r>
    </w:p>
    <w:p>
      <w:pPr>
        <w:spacing w:before="240" w:after="0" w:line="240" w:lineRule="auto"/>
        <w:ind w:firstLine="0"/>
        <w:jc w:val="center"/>
      </w:pPr>
      <w:r>
        <w:drawing>
          <wp:inline xmlns:a="http://schemas.openxmlformats.org/drawingml/2006/main" xmlns:pic="http://schemas.openxmlformats.org/drawingml/2006/picture">
            <wp:extent cx="4320000" cy="3208398"/>
            <wp:docPr id="9" name="Picture 9"/>
            <wp:cNvGraphicFramePr>
              <a:graphicFrameLocks noChangeAspect="1"/>
            </wp:cNvGraphicFramePr>
            <a:graphic>
              <a:graphicData uri="http://schemas.openxmlformats.org/drawingml/2006/picture">
                <pic:pic>
                  <pic:nvPicPr>
                    <pic:cNvPr id="0" name="tabla_estacionariedad.png"/>
                    <pic:cNvPicPr/>
                  </pic:nvPicPr>
                  <pic:blipFill>
                    <a:blip r:embed="rId30"/>
                    <a:stretch>
                      <a:fillRect/>
                    </a:stretch>
                  </pic:blipFill>
                  <pic:spPr>
                    <a:xfrm>
                      <a:off x="0" y="0"/>
                      <a:ext cx="4320000" cy="3208398"/>
                    </a:xfrm>
                    <a:prstGeom prst="rect"/>
                  </pic:spPr>
                </pic:pic>
              </a:graphicData>
            </a:graphic>
          </wp:inline>
        </w:drawing>
      </w:r>
    </w:p>
    <w:p>
      <w:pPr>
        <w:spacing w:before="60" w:after="0" w:line="240" w:lineRule="auto"/>
        <w:ind w:firstLine="0"/>
        <w:jc w:val="center"/>
      </w:pPr>
      <w:r>
        <w:rPr>
          <w:rFonts w:ascii="Times New Roman" w:hAnsi="Times New Roman"/>
          <w:b/>
          <w:i/>
          <w:sz w:val="20"/>
        </w:rPr>
        <w:t xml:space="preserve">Figura 9. </w:t>
      </w:r>
      <w:r>
        <w:rPr>
          <w:rFonts w:ascii="Times New Roman" w:hAnsi="Times New Roman"/>
          <w:i/>
          <w:sz w:val="20"/>
        </w:rPr>
        <w:t>Resultados del test Augmented Dickey-Fuller. Verde: estacionaria (p &lt; 0,05). Rojo: no estacionaria.</w:t>
      </w:r>
    </w:p>
    <w:p>
      <w:pPr>
        <w:spacing w:before="0" w:after="120" w:line="240" w:lineRule="auto"/>
      </w:pPr>
    </w:p>
    <w:p>
      <w:pPr>
        <w:pStyle w:val="UFVEpgrafeNivel2"/>
        <w:spacing w:line="360" w:lineRule="auto" w:before="360" w:after="160"/>
        <w:ind w:firstLine="0"/>
      </w:pPr>
      <w:r>
        <w:rPr>
          <w:rFonts w:ascii="Times New Roman" w:hAnsi="Times New Roman"/>
          <w:b/>
          <w:i w:val="0"/>
          <w:color w:val="000000"/>
          <w:sz w:val="24"/>
        </w:rPr>
        <w:t>3.2.6 Dataset maestro</w:t>
      </w:r>
    </w:p>
    <w:p>
      <w:pPr>
        <w:spacing w:before="0" w:after="120" w:line="360" w:lineRule="auto"/>
        <w:ind w:firstLine="720"/>
      </w:pPr>
      <w:r>
        <w:rPr>
          <w:rFonts w:ascii="Times New Roman" w:hAnsi="Times New Roman"/>
          <w:b w:val="0"/>
          <w:i w:val="0"/>
          <w:sz w:val="22"/>
        </w:rPr>
        <w:t>El resultado del proceso de ingeniería del dato es un dataset maestro unificado con 987 semanas de observaciones y 119 columnas, compuesto por 109 features predictoras y 10 variables target (una por ETF). El periodo cubierto abarca desde marzo de 2007 hasta febrero de 2026, proporcionando casi dos décadas de datos que incluyen múltiples ciclos económicos, tres crisis financieras importantes y diversos regímenes de mercado.</w:t>
      </w:r>
    </w:p>
    <w:p>
      <w:pPr>
        <w:spacing w:before="0" w:after="120" w:line="360" w:lineRule="auto"/>
        <w:ind w:firstLine="720"/>
      </w:pPr>
      <w:r>
        <w:rPr>
          <w:rFonts w:ascii="Times New Roman" w:hAnsi="Times New Roman"/>
          <w:b w:val="0"/>
          <w:i w:val="0"/>
          <w:sz w:val="22"/>
        </w:rPr>
        <w:t>La variable target para cada ETF se definió como el log-return de la semana siguiente (shift −1 sobre los retornos), lo que garantiza que las features contienen únicamente información del presente y el pasado mientras que el target es el retorno futuro. Esta separación temporal estricta es fundamental para evitar data leakage y asegurar que el modelo aprende a predecir el futuro utilizando solo información disponible en el momento de la decisión.</w:t>
      </w:r>
    </w:p>
    <w:tbl>
      <w:tblPr>
        <w:jc w:val="center"/>
        <w:tblLayout w:type="fixed"/>
        <w:tblLook w:firstColumn="1" w:firstRow="1" w:lastColumn="0" w:lastRow="0" w:noHBand="0" w:noVBand="1" w:val="04A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561"/>
        <w:gridCol w:w="4561"/>
      </w:tblGrid>
      <w:tr>
        <w:tc>
          <w:tcPr>
            <w:tcW w:type="dxa" w:w="2835"/>
            <w:shd w:fill="1F3864"/>
          </w:tcPr>
          <w:p>
            <w:pPr>
              <w:spacing w:before="60" w:after="60" w:line="276" w:lineRule="auto"/>
              <w:ind w:firstLine="0"/>
              <w:jc w:val="center"/>
            </w:pPr>
            <w:r>
              <w:rPr>
                <w:rFonts w:ascii="Times New Roman" w:hAnsi="Times New Roman"/>
                <w:b/>
                <w:color w:val="FFFFFF"/>
                <w:sz w:val="20"/>
              </w:rPr>
              <w:t>Métrica</w:t>
            </w:r>
          </w:p>
        </w:tc>
        <w:tc>
          <w:tcPr>
            <w:tcW w:type="dxa" w:w="5953"/>
            <w:shd w:fill="1F3864"/>
          </w:tcPr>
          <w:p>
            <w:pPr>
              <w:spacing w:before="60" w:after="60" w:line="276" w:lineRule="auto"/>
              <w:ind w:firstLine="0"/>
              <w:jc w:val="center"/>
            </w:pPr>
            <w:r>
              <w:rPr>
                <w:rFonts w:ascii="Times New Roman" w:hAnsi="Times New Roman"/>
                <w:b/>
                <w:color w:val="FFFFFF"/>
                <w:sz w:val="20"/>
              </w:rPr>
              <w:t>Valor</w:t>
            </w:r>
          </w:p>
        </w:tc>
      </w:tr>
      <w:tr>
        <w:tc>
          <w:tcPr>
            <w:tcW w:type="dxa" w:w="2835"/>
            <w:shd w:fill="F2F2F2"/>
          </w:tcPr>
          <w:p>
            <w:pPr>
              <w:spacing w:before="40" w:after="40" w:line="276" w:lineRule="auto"/>
              <w:ind w:firstLine="0"/>
              <w:jc w:val="center"/>
            </w:pPr>
            <w:r>
              <w:rPr>
                <w:rFonts w:ascii="Times New Roman" w:hAnsi="Times New Roman"/>
                <w:sz w:val="20"/>
              </w:rPr>
              <w:t>Filas (semanas)</w:t>
            </w:r>
          </w:p>
        </w:tc>
        <w:tc>
          <w:tcPr>
            <w:tcW w:type="dxa" w:w="5953"/>
            <w:shd w:fill="F2F2F2"/>
          </w:tcPr>
          <w:p>
            <w:pPr>
              <w:spacing w:before="40" w:after="40" w:line="276" w:lineRule="auto"/>
              <w:ind w:firstLine="0"/>
              <w:jc w:val="center"/>
            </w:pPr>
            <w:r>
              <w:rPr>
                <w:rFonts w:ascii="Times New Roman" w:hAnsi="Times New Roman"/>
                <w:sz w:val="20"/>
              </w:rPr>
              <w:t>987</w:t>
            </w:r>
          </w:p>
        </w:tc>
      </w:tr>
      <w:tr>
        <w:tc>
          <w:tcPr>
            <w:tcW w:type="dxa" w:w="2835"/>
          </w:tcPr>
          <w:p>
            <w:pPr>
              <w:spacing w:before="40" w:after="40" w:line="276" w:lineRule="auto"/>
              <w:ind w:firstLine="0"/>
              <w:jc w:val="center"/>
            </w:pPr>
            <w:r>
              <w:rPr>
                <w:rFonts w:ascii="Times New Roman" w:hAnsi="Times New Roman"/>
                <w:sz w:val="20"/>
              </w:rPr>
              <w:t>Features predictoras</w:t>
            </w:r>
          </w:p>
        </w:tc>
        <w:tc>
          <w:tcPr>
            <w:tcW w:type="dxa" w:w="5953"/>
          </w:tcPr>
          <w:p>
            <w:pPr>
              <w:spacing w:before="40" w:after="40" w:line="276" w:lineRule="auto"/>
              <w:ind w:firstLine="0"/>
              <w:jc w:val="center"/>
            </w:pPr>
            <w:r>
              <w:rPr>
                <w:rFonts w:ascii="Times New Roman" w:hAnsi="Times New Roman"/>
                <w:sz w:val="20"/>
              </w:rPr>
              <w:t>109</w:t>
            </w:r>
          </w:p>
        </w:tc>
      </w:tr>
      <w:tr>
        <w:tc>
          <w:tcPr>
            <w:tcW w:type="dxa" w:w="2835"/>
            <w:shd w:fill="F2F2F2"/>
          </w:tcPr>
          <w:p>
            <w:pPr>
              <w:spacing w:before="40" w:after="40" w:line="276" w:lineRule="auto"/>
              <w:ind w:firstLine="0"/>
              <w:jc w:val="center"/>
            </w:pPr>
            <w:r>
              <w:rPr>
                <w:rFonts w:ascii="Times New Roman" w:hAnsi="Times New Roman"/>
                <w:sz w:val="20"/>
              </w:rPr>
              <w:t>Variables target</w:t>
            </w:r>
          </w:p>
        </w:tc>
        <w:tc>
          <w:tcPr>
            <w:tcW w:type="dxa" w:w="5953"/>
            <w:shd w:fill="F2F2F2"/>
          </w:tcPr>
          <w:p>
            <w:pPr>
              <w:spacing w:before="40" w:after="40" w:line="276" w:lineRule="auto"/>
              <w:ind w:firstLine="0"/>
              <w:jc w:val="center"/>
            </w:pPr>
            <w:r>
              <w:rPr>
                <w:rFonts w:ascii="Times New Roman" w:hAnsi="Times New Roman"/>
                <w:sz w:val="20"/>
              </w:rPr>
              <w:t>10 (una por ETF)</w:t>
            </w:r>
          </w:p>
        </w:tc>
      </w:tr>
      <w:tr>
        <w:tc>
          <w:tcPr>
            <w:tcW w:type="dxa" w:w="2835"/>
          </w:tcPr>
          <w:p>
            <w:pPr>
              <w:spacing w:before="40" w:after="40" w:line="276" w:lineRule="auto"/>
              <w:ind w:firstLine="0"/>
              <w:jc w:val="center"/>
            </w:pPr>
            <w:r>
              <w:rPr>
                <w:rFonts w:ascii="Times New Roman" w:hAnsi="Times New Roman"/>
                <w:sz w:val="20"/>
              </w:rPr>
              <w:t>Total columnas</w:t>
            </w:r>
          </w:p>
        </w:tc>
        <w:tc>
          <w:tcPr>
            <w:tcW w:type="dxa" w:w="5953"/>
          </w:tcPr>
          <w:p>
            <w:pPr>
              <w:spacing w:before="40" w:after="40" w:line="276" w:lineRule="auto"/>
              <w:ind w:firstLine="0"/>
              <w:jc w:val="center"/>
            </w:pPr>
            <w:r>
              <w:rPr>
                <w:rFonts w:ascii="Times New Roman" w:hAnsi="Times New Roman"/>
                <w:sz w:val="20"/>
              </w:rPr>
              <w:t>119</w:t>
            </w:r>
          </w:p>
        </w:tc>
      </w:tr>
      <w:tr>
        <w:tc>
          <w:tcPr>
            <w:tcW w:type="dxa" w:w="2835"/>
            <w:shd w:fill="F2F2F2"/>
          </w:tcPr>
          <w:p>
            <w:pPr>
              <w:spacing w:before="40" w:after="40" w:line="276" w:lineRule="auto"/>
              <w:ind w:firstLine="0"/>
              <w:jc w:val="center"/>
            </w:pPr>
            <w:r>
              <w:rPr>
                <w:rFonts w:ascii="Times New Roman" w:hAnsi="Times New Roman"/>
                <w:sz w:val="20"/>
              </w:rPr>
              <w:t>Periodo</w:t>
            </w:r>
          </w:p>
        </w:tc>
        <w:tc>
          <w:tcPr>
            <w:tcW w:type="dxa" w:w="5953"/>
            <w:shd w:fill="F2F2F2"/>
          </w:tcPr>
          <w:p>
            <w:pPr>
              <w:spacing w:before="40" w:after="40" w:line="276" w:lineRule="auto"/>
              <w:ind w:firstLine="0"/>
              <w:jc w:val="center"/>
            </w:pPr>
            <w:r>
              <w:rPr>
                <w:rFonts w:ascii="Times New Roman" w:hAnsi="Times New Roman"/>
                <w:sz w:val="20"/>
              </w:rPr>
              <w:t>2007-03-30 → 2026-02-20</w:t>
            </w:r>
          </w:p>
        </w:tc>
      </w:tr>
      <w:tr>
        <w:tc>
          <w:tcPr>
            <w:tcW w:type="dxa" w:w="2835"/>
          </w:tcPr>
          <w:p>
            <w:pPr>
              <w:spacing w:before="40" w:after="40" w:line="276" w:lineRule="auto"/>
              <w:ind w:firstLine="0"/>
              <w:jc w:val="center"/>
            </w:pPr>
            <w:r>
              <w:rPr>
                <w:rFonts w:ascii="Times New Roman" w:hAnsi="Times New Roman"/>
                <w:sz w:val="20"/>
              </w:rPr>
              <w:t>Nulos en features base</w:t>
            </w:r>
          </w:p>
        </w:tc>
        <w:tc>
          <w:tcPr>
            <w:tcW w:type="dxa" w:w="5953"/>
          </w:tcPr>
          <w:p>
            <w:pPr>
              <w:spacing w:before="40" w:after="40" w:line="276" w:lineRule="auto"/>
              <w:ind w:firstLine="0"/>
              <w:jc w:val="center"/>
            </w:pPr>
            <w:r>
              <w:rPr>
                <w:rFonts w:ascii="Times New Roman" w:hAnsi="Times New Roman"/>
                <w:sz w:val="20"/>
              </w:rPr>
              <w:t>0</w:t>
            </w:r>
          </w:p>
        </w:tc>
      </w:tr>
      <w:tr>
        <w:tc>
          <w:tcPr>
            <w:tcW w:type="dxa" w:w="2835"/>
            <w:shd w:fill="F2F2F2"/>
          </w:tcPr>
          <w:p>
            <w:pPr>
              <w:spacing w:before="40" w:after="40" w:line="276" w:lineRule="auto"/>
              <w:ind w:firstLine="0"/>
              <w:jc w:val="center"/>
            </w:pPr>
            <w:r>
              <w:rPr>
                <w:rFonts w:ascii="Times New Roman" w:hAnsi="Times New Roman"/>
                <w:sz w:val="20"/>
              </w:rPr>
              <w:t>Nulos en features Refinitiv</w:t>
            </w:r>
          </w:p>
        </w:tc>
        <w:tc>
          <w:tcPr>
            <w:tcW w:type="dxa" w:w="5953"/>
            <w:shd w:fill="F2F2F2"/>
          </w:tcPr>
          <w:p>
            <w:pPr>
              <w:spacing w:before="40" w:after="40" w:line="276" w:lineRule="auto"/>
              <w:ind w:firstLine="0"/>
              <w:jc w:val="center"/>
            </w:pPr>
            <w:r>
              <w:rPr>
                <w:rFonts w:ascii="Times New Roman" w:hAnsi="Times New Roman"/>
                <w:sz w:val="20"/>
              </w:rPr>
              <w:t>955 semanas (esperado: datos desde dic 2024)</w:t>
            </w:r>
          </w:p>
        </w:tc>
      </w:tr>
      <w:tr>
        <w:tc>
          <w:tcPr>
            <w:tcW w:type="dxa" w:w="2835"/>
          </w:tcPr>
          <w:p>
            <w:pPr>
              <w:spacing w:before="40" w:after="40" w:line="276" w:lineRule="auto"/>
              <w:ind w:firstLine="0"/>
              <w:jc w:val="center"/>
            </w:pPr>
            <w:r>
              <w:rPr>
                <w:rFonts w:ascii="Times New Roman" w:hAnsi="Times New Roman"/>
                <w:sz w:val="20"/>
              </w:rPr>
              <w:t>Archivos generados</w:t>
            </w:r>
          </w:p>
        </w:tc>
        <w:tc>
          <w:tcPr>
            <w:tcW w:type="dxa" w:w="5953"/>
          </w:tcPr>
          <w:p>
            <w:pPr>
              <w:spacing w:before="40" w:after="40" w:line="276" w:lineRule="auto"/>
              <w:ind w:firstLine="0"/>
              <w:jc w:val="center"/>
            </w:pPr>
            <w:r>
              <w:rPr>
                <w:rFonts w:ascii="Times New Roman" w:hAnsi="Times New Roman"/>
                <w:sz w:val="20"/>
              </w:rPr>
              <w:t>master_weekly.csv (normalizado), master_weekly_raw.csv</w:t>
            </w:r>
          </w:p>
        </w:tc>
      </w:tr>
    </w:tbl>
    <w:p>
      <w:pPr>
        <w:spacing w:before="0" w:after="120" w:line="240" w:lineRule="auto"/>
      </w:pPr>
    </w:p>
    <w:p>
      <w:pPr>
        <w:spacing w:before="120" w:after="120" w:line="360" w:lineRule="auto"/>
        <w:ind w:firstLine="720"/>
      </w:pPr>
      <w:r>
        <w:rPr>
          <w:rFonts w:ascii="Times New Roman" w:hAnsi="Times New Roman"/>
          <w:b w:val="0"/>
          <w:i w:val="0"/>
          <w:sz w:val="22"/>
        </w:rPr>
        <w:t>El dataset se guarda en dos versiones: una normalizada (z-score sobre features) para exploración, y una sin normalizar que será la versión definitiva para el modelado, donde el scaler se ajustará exclusivamente con datos de entrenamiento.</w:t>
      </w:r>
    </w:p>
    <w:p>
      <w:pPr>
        <w:pStyle w:val="UFVEpgrafeNivel2"/>
        <w:numPr>
          <w:ilvl w:val="1"/>
          <w:numId w:val="4"/>
        </w:numPr>
        <w:rPr/>
      </w:pPr>
      <w:bookmarkStart w:id="11" w:name="__RefHeading___Toc177409332"/>
      <w:bookmarkEnd w:id="11"/>
      <w:r>
        <w:rPr/>
        <w:t>Análisis del dato</w:t>
      </w:r>
    </w:p>
    <w:p>
      <w:pPr>
        <w:pStyle w:val="UFVNormal"/>
        <w:rPr/>
      </w:pPr>
      <w:r>
        <w:rPr/>
      </w:r>
    </w:p>
    <w:p>
      <w:pPr>
        <w:pStyle w:val="UFVEpgrafeNivel3"/>
        <w:spacing w:line="360" w:lineRule="auto" w:before="240" w:after="120"/>
        <w:ind w:firstLine="0"/>
      </w:pPr>
      <w:r>
        <w:rPr>
          <w:rFonts w:ascii="Times New Roman" w:hAnsi="Times New Roman"/>
          <w:b/>
          <w:i/>
          <w:color w:val="000000"/>
          <w:sz w:val="22"/>
        </w:rPr>
        <w:t xml:space="preserve">Estrategia de modelización</w:t>
      </w:r>
    </w:p>
    <w:p>
      <w:pPr>
        <w:pStyle w:val="UFVNormal"/>
        <w:rPr>
          <w:b/>
          <w:lang w:val="en-GB"/>
        </w:rPr>
      </w:pPr>
      <w:r>
        <w:rPr>
          <w:b/>
          <w:lang w:val="en-GB"/>
        </w:rPr>
        <w:t xml:space="preserve">Este trabajo plantea un problema de aprendizaje supervisado de regresión sobre datos tabulares de series temporales financieras semanales. El objetivo es predecir el log-return de la semana siguiente para cada uno de los 10 ETFs del universo de inversión, utilizando 109 variables predictivas que capturan información de mercado, riesgo, macro, liquidez, sentimiento y noticias.</w:t>
      </w:r>
    </w:p>
    <w:p>
      <w:pPr>
        <w:pStyle w:val="UFVNormal"/>
        <w:rPr>
          <w:b/>
          <w:lang w:val="en-GB"/>
        </w:rPr>
      </w:pPr>
      <w:r>
        <w:rPr>
          <w:b/>
          <w:lang w:val="en-GB"/>
        </w:rPr>
        <w:t xml:space="preserve">La estructura de los datos (109 features numéricas, sin texto ni imágenes, con dependencia temporal) condiciona la selección de modelos. Se descartaron las redes neuronales profundas (LSTM, Transformer) por requerir más datos y ser menos interpretables para datos tabulares. Se descartó la regresión lineal como baseline porque asume relaciones lineales entre variables y no captura las interacciones ni las no-linealidades del mercado financiero; en su lugar, XGBoost con hiperparámetros por defecto cumple la función de baseline más honesto, al operar sobre la misma estructura de datos con mínima configuración.</w:t>
      </w:r>
    </w:p>
    <w:p>
      <w:pPr>
        <w:pStyle w:val="UFVNormal"/>
        <w:rPr>
          <w:b/>
          <w:lang w:val="en-GB"/>
        </w:rPr>
      </w:pPr>
      <w:r>
        <w:rPr>
          <w:b/>
          <w:lang w:val="en-GB"/>
        </w:rPr>
        <w:t xml:space="preserve">Los modelos seleccionados son XGBoost (Chen y Guestrin, 2016) y LightGBM (Ke et al., 2017), los dos principales algoritmos de gradient boosting para datos tabulares. Ambos manejan nativamente valores faltantes (NaN), son invariantes a la escala de las variables, capturan automáticamente interacciones entre features y permiten regularización para controlar el sobreajuste.</w:t>
      </w:r>
    </w:p>
    <w:p>
      <w:pPr>
        <w:pStyle w:val="UFVNormal"/>
        <w:rPr>
          <w:b/>
          <w:lang w:val="en-GB"/>
        </w:rPr>
      </w:pPr>
      <w:r>
        <w:rPr>
          <w:b/>
          <w:lang w:val="en-GB"/>
        </w:rPr>
        <w:t xml:space="preserve">La validación se realiza mediante walk-forward expanding window (Tashman, 2000) con 778 splits out-of-sample, embargo temporal de 1 semana y reentrenamiento semanal. Las predicciones alimentan un optimizador de Markowitz de media-varianza con restricciones long-only y máximo 40% por activo. La interpretabilidad se garantiza mediante SHAP (Lundberg y Lee, 2017). Se comparan 5 estrategias: XGBoost Tuned, LightGBM Tuned, Markowitz clásico, 60/40 y Equal-weight.</w:t>
      </w:r>
    </w:p>
    <w:p>
      <w:pPr>
        <w:pStyle w:val="UFVEpgrafeNivel2"/>
        <w:numPr>
          <w:ilvl w:val="1"/>
          <w:numId w:val="4"/>
        </w:numPr>
        <w:rPr/>
      </w:pPr>
      <w:bookmarkStart w:id="4" w:name="__RefHeading___Toc177409325"/>
      <w:bookmarkEnd w:id="4"/>
      <w:r>
        <w:rPr/>
        <w:t xml:space="preserve">3.3.1 Marco teórico</w:t>
      </w:r>
    </w:p>
    <w:p>
      <w:pPr>
        <w:pStyle w:val="UFVEpgrafeNivel3"/>
        <w:spacing w:line="360" w:lineRule="auto" w:before="240" w:after="120"/>
        <w:ind w:firstLine="0"/>
      </w:pPr>
      <w:r>
        <w:rPr>
          <w:rFonts w:ascii="Times New Roman" w:hAnsi="Times New Roman"/>
          <w:b/>
          <w:i/>
          <w:color w:val="000000"/>
          <w:sz w:val="22"/>
        </w:rPr>
        <w:t xml:space="preserve">Optimización de Markowitz</w:t>
      </w:r>
    </w:p>
    <w:p>
      <w:pPr>
        <w:pStyle w:val="UFVNormal"/>
        <w:rPr>
          <w:b/>
          <w:lang w:val="en-GB"/>
        </w:rPr>
      </w:pPr>
      <w:r>
        <w:rPr>
          <w:b/>
          <w:lang w:val="en-GB"/>
        </w:rPr>
        <w:t xml:space="preserve">El marco de media-varianza de Markowitz (1952) formaliza la selección de carteras como un problema de optimización. Dado un vector de retornos esperados mu y una matriz de covarianzas Sigma, el retorno esperado de una cartera con pesos w es E(Rp) = w'mu, y su varianza es sigma_p^2 = w'Sigma*w. El objetivo es maximizar el Sharpe ratio S = (Rp - Rf) / sigma_p, donde Rf = 0 (tipo libre de riesgo).</w:t>
      </w:r>
    </w:p>
    <w:p>
      <w:pPr>
        <w:pStyle w:val="UFVNormal"/>
        <w:rPr>
          <w:b/>
          <w:lang w:val="en-GB"/>
        </w:rPr>
      </w:pPr>
      <w:r>
        <w:rPr>
          <w:b/>
          <w:lang w:val="en-GB"/>
        </w:rPr>
        <w:t xml:space="preserve">En este trabajo, el optimizador resuelve: max_w (w'mu_pred) / sqrt(w'Sigma*w), sujeto a las restricciones: suma(wi) = 1, 0 &lt;= wi &lt;= 0.40 para todo i. La restricción de máximo 40% por activo evita concentraciones excesivas. Se utiliza el método SLSQP de scipy.optimize.minimize. La innovación clave es que mu_pred no es la media histórica de los retornos, sino la predicción del modelo ML para la semana siguiente, mientras que Sigma se estima con datos históricos hasta la semana actual.</w:t>
      </w:r>
    </w:p>
    <w:p>
      <w:pPr>
        <w:pStyle w:val="UFVEpgrafeNivel3"/>
        <w:spacing w:line="360" w:lineRule="auto" w:before="240" w:after="120"/>
        <w:ind w:firstLine="0"/>
      </w:pPr>
      <w:r>
        <w:rPr>
          <w:rFonts w:ascii="Times New Roman" w:hAnsi="Times New Roman"/>
          <w:b/>
          <w:i/>
          <w:color w:val="000000"/>
          <w:sz w:val="22"/>
        </w:rPr>
        <w:t xml:space="preserve">Gradient Boosting</w:t>
      </w:r>
    </w:p>
    <w:p>
      <w:pPr>
        <w:pStyle w:val="UFVNormal"/>
        <w:rPr>
          <w:b/>
          <w:lang w:val="en-GB"/>
        </w:rPr>
      </w:pPr>
      <w:r>
        <w:rPr>
          <w:b/>
          <w:lang w:val="en-GB"/>
        </w:rPr>
        <w:t xml:space="preserve">Los modelos de gradient boosting (Friedman, 2001) construyen un ensemble de árboles de decisión de forma secuencial. La predicción del ensemble es y_hat = suma(fk(x)) para k=1..K, donde cada árbol fk corrige los residuos del anterior. La función objetivo a minimizar es L(theta) = suma(l(yi, y_hat_i)) + suma(Omega(fk)), donde l es la función de pérdida (MSE para regresión) y Omega es el término de regularización: Omega(f) = gamma*T + 0.5*lambda*suma(wj^2), siendo T el número de hojas y wj los pesos de las hojas. El parámetro eta (learning rate) controla la contribución de cada árbol: y_hat_t = y_hat_(t-1) + eta * ft(x).</w:t>
      </w:r>
    </w:p>
    <w:p>
      <w:pPr>
        <w:pStyle w:val="UFVEpgrafeNivel3"/>
        <w:spacing w:line="360" w:lineRule="auto" w:before="240" w:after="120"/>
        <w:ind w:firstLine="0"/>
      </w:pPr>
      <w:r>
        <w:rPr>
          <w:rFonts w:ascii="Times New Roman" w:hAnsi="Times New Roman"/>
          <w:b/>
          <w:i/>
          <w:color w:val="000000"/>
          <w:sz w:val="22"/>
        </w:rPr>
        <w:t xml:space="preserve">XGBoost</w:t>
      </w:r>
    </w:p>
    <w:p>
      <w:pPr>
        <w:pStyle w:val="UFVNormal"/>
        <w:rPr>
          <w:b/>
          <w:lang w:val="en-GB"/>
        </w:rPr>
      </w:pPr>
      <w:r>
        <w:rPr>
          <w:b/>
          <w:lang w:val="en-GB"/>
        </w:rPr>
        <w:t xml:space="preserve">XGBoost (Chen y Guestrin, 2016) utiliza una aproximación de Taylor de segundo orden a la función de pérdida, empleando los gradientes gi = dl/dy_hat y los hessianos hi = d^2l/dy_hat^2 de cada observación. El peso óptimo de cada hoja j es wj* = -sum(gi) / (sum(hi) + lambda), y la ganancia de un split candidato es Gain = 0.5 * [GL^2/(HL+lambda) + GR^2/(HR+lambda) - (GL+GR)^2/(HL+HR+lambda)] - gamma, donde GL, GR, HL, HR son las sumas de gradientes y hessianos en los nodos hijo izquierdo y derecho. XGBoost incorpora regularización L1 (alpha) y L2 (lambda), manejo nativo de NaN (asigna las observaciones con valores faltantes al nodo que maximiza la ganancia) y early stopping para detener el entrenamiento cuando la métrica de validación deja de mejorar.</w:t>
      </w:r>
    </w:p>
    <w:p>
      <w:pPr>
        <w:pStyle w:val="UFVEpgrafeNivel3"/>
        <w:spacing w:line="360" w:lineRule="auto" w:before="240" w:after="120"/>
        <w:ind w:firstLine="0"/>
      </w:pPr>
      <w:r>
        <w:rPr>
          <w:rFonts w:ascii="Times New Roman" w:hAnsi="Times New Roman"/>
          <w:b/>
          <w:i/>
          <w:color w:val="000000"/>
          <w:sz w:val="22"/>
        </w:rPr>
        <w:t xml:space="preserve">LightGBM</w:t>
      </w:r>
    </w:p>
    <w:p>
      <w:pPr>
        <w:pStyle w:val="UFVNormal"/>
        <w:rPr>
          <w:b/>
          <w:lang w:val="en-GB"/>
        </w:rPr>
      </w:pPr>
      <w:r>
        <w:rPr>
          <w:b/>
          <w:lang w:val="en-GB"/>
        </w:rPr>
        <w:t xml:space="preserve">LightGBM (Ke et al., 2017) introduce dos innovaciones respecto a XGBoost. Primera, el crecimiento leaf-wise: en lugar de crecer el árbol nivel por nivel (level-wise), LightGBM elige la hoja con mayor ganancia potencial y la divide, lo que produce árboles más profundos y asimétricos pero más eficientes. Segunda, las técnicas GOSS (Gradient-based One-Side Sampling), que prioriza las observaciones con gradientes grandes al muestrear datos de entrenamiento, y EFB (Exclusive Feature Bundling), que agrupa features mutuamente excluyentes para reducir la dimensionalidad efectiva. Estas optimizaciones hacen que LightGBM sea significativamente más rápido que XGBoost con rendimiento comparable.</w:t>
      </w:r>
    </w:p>
    <w:p>
      <w:pPr>
        <w:pStyle w:val="UFVEpgrafeNivel3"/>
        <w:spacing w:line="360" w:lineRule="auto" w:before="240" w:after="120"/>
        <w:ind w:firstLine="0"/>
      </w:pPr>
      <w:r>
        <w:rPr>
          <w:rFonts w:ascii="Times New Roman" w:hAnsi="Times New Roman"/>
          <w:b/>
          <w:i/>
          <w:color w:val="000000"/>
          <w:sz w:val="22"/>
        </w:rPr>
        <w:t xml:space="preserve">Walk-forward validation</w:t>
      </w:r>
    </w:p>
    <w:p>
      <w:pPr>
        <w:pStyle w:val="UFVNormal"/>
        <w:rPr>
          <w:b/>
          <w:lang w:val="en-GB"/>
        </w:rPr>
      </w:pPr>
      <w:r>
        <w:rPr>
          <w:b/>
          <w:lang w:val="en-GB"/>
        </w:rPr>
        <w:t xml:space="preserve">La validación walk-forward con expanding window (Tashman, 2000; de Prado, 2018) es el protocolo estándar para evaluar modelos predictivos en series temporales financieras. En cada semana t del período de test, el modelo se entrena con todos los datos disponibles desde la semana 1 hasta la semana t-2 (expanding window), se aplica un embargo de 1 semana para evitar leakage por autocorrelación, y se predice la semana t. El entrenamiento utiliza el último 15% de los datos de entrenamiento como conjunto de validación para early stopping con 50 rondas de paciencia. Este protocolo genera 778 predicciones out-of-sample (abril 2011 a febrero 2026), asegurando que ningún dato futuro contamina las predicciones.</w:t>
      </w:r>
    </w:p>
    <w:p>
      <w:pPr>
        <w:pStyle w:val="UFVEpgrafeNivel3"/>
        <w:spacing w:line="360" w:lineRule="auto" w:before="240" w:after="120"/>
        <w:ind w:firstLine="0"/>
      </w:pPr>
      <w:r>
        <w:rPr>
          <w:rFonts w:ascii="Times New Roman" w:hAnsi="Times New Roman"/>
          <w:b/>
          <w:i/>
          <w:color w:val="000000"/>
          <w:sz w:val="22"/>
        </w:rPr>
        <w:t xml:space="preserve">SHAP: SHapley Additive exPlanations</w:t>
      </w:r>
    </w:p>
    <w:p>
      <w:pPr>
        <w:pStyle w:val="UFVNormal"/>
        <w:rPr>
          <w:b/>
          <w:lang w:val="en-GB"/>
        </w:rPr>
      </w:pPr>
      <w:r>
        <w:rPr>
          <w:b/>
          <w:lang w:val="en-GB"/>
        </w:rPr>
        <w:t xml:space="preserve">SHAP (Lundberg y Lee, 2017) asigna a cada variable i una contribución phi_i a la predicción de cada observación, basándose en la teoría de juegos cooperativos de Shapley. La propiedad fundamental es la eficiencia: suma(phi_i) = f(x) - E[f(x)], es decir, las contribuciones SHAP suman exactamente la diferencia entre la predicción individual y la media del modelo. TreeSHAP (Lundberg et al., 2020) es un algoritmo exacto con complejidad O(TLD^2) para modelos de árboles, donde T es el número de árboles, L el número de hojas y D la profundidad. Se utiliza para la interpretación global (importancia media de cada variable) y local (explicación de semanas concretas como la crisis SVB de marzo 2023).</w:t>
      </w:r>
    </w:p>
    <w:p>
      <w:pPr>
        <w:pStyle w:val="UFVEpgrafeNivel2"/>
        <w:numPr>
          <w:ilvl w:val="1"/>
          <w:numId w:val="4"/>
        </w:numPr>
        <w:rPr/>
      </w:pPr>
      <w:bookmarkStart w:id="4" w:name="__RefHeading___Toc177409325"/>
      <w:bookmarkEnd w:id="4"/>
      <w:r>
        <w:rPr/>
        <w:t xml:space="preserve">3.3.2 Modelos predictivos</w:t>
      </w:r>
    </w:p>
    <w:p>
      <w:pPr>
        <w:pStyle w:val="UFVEpgrafeNivel3"/>
        <w:spacing w:line="360" w:lineRule="auto" w:before="240" w:after="120"/>
        <w:ind w:firstLine="0"/>
      </w:pPr>
      <w:r>
        <w:rPr>
          <w:rFonts w:ascii="Times New Roman" w:hAnsi="Times New Roman"/>
          <w:b/>
          <w:i/>
          <w:color w:val="000000"/>
          <w:sz w:val="22"/>
        </w:rPr>
        <w:t xml:space="preserve">Pipeline de entrenamiento</w:t>
      </w:r>
    </w:p>
    <w:p>
      <w:pPr>
        <w:pStyle w:val="UFVNormal"/>
        <w:rPr>
          <w:b/>
          <w:lang w:val="en-GB"/>
        </w:rPr>
      </w:pPr>
      <w:r>
        <w:rPr>
          <w:b/>
          <w:lang w:val="en-GB"/>
        </w:rPr>
        <w:t xml:space="preserve">El pipeline de entrenamiento sigue una arquitectura de tres capas. La Capa 1 (infraestructura) comprende la carga de datos, el generador de splits walk-forward y el cálculo de benchmarks. La Capa 2 (entrenamiento base) entrena XGBoost y LightGBM con hiperparámetros por defecto como línea base. La Capa 3 (optimización) utiliza Optuna con el sampler TPE (Tree-structured Parzen Estimator) y MedianPruner para buscar los mejores hiperparámetros mediante 75 trials bayesianos por modelo. En cada trial, se entrena el modelo en un subconjunto reducido (3 ETFs, reentrenamiento cada 4 semanas, 195 splits) para acelerar la búsqueda, y los mejores parámetros se validan con el walk-forward completo (10 ETFs, 778 splits).</w:t>
      </w:r>
    </w:p>
    <w:p>
      <w:pPr>
        <w:pStyle w:val="UFVEpgrafeNivel3"/>
        <w:spacing w:line="360" w:lineRule="auto" w:before="240" w:after="120"/>
        <w:ind w:firstLine="0"/>
      </w:pPr>
      <w:r>
        <w:rPr>
          <w:rFonts w:ascii="Times New Roman" w:hAnsi="Times New Roman"/>
          <w:b/>
          <w:i/>
          <w:color w:val="000000"/>
          <w:sz w:val="22"/>
        </w:rPr>
        <w:t xml:space="preserve">Modelos baseline</w:t>
      </w:r>
    </w:p>
    <w:p>
      <w:pPr>
        <w:pStyle w:val="UFVNormal"/>
        <w:rPr>
          <w:b/>
          <w:lang w:val="en-GB"/>
        </w:rPr>
      </w:pPr>
      <w:r>
        <w:rPr>
          <w:b/>
          <w:lang w:val="en-GB"/>
        </w:rPr>
        <w:t xml:space="preserve">Los modelos con hiperparámetros por defecto (learning_rate=0.1, max_depth=6 para XGBoost; learning_rate=0.1, num_leaves=31 para LightGBM) establecen la línea base. Con parámetros por defecto, XGBoost alcanza un Sharpe ratio de 1.154 y LightGBM un Sharpe de 1.000, superando ya al benchmark 60/40 (Sharpe 0.847). Esto confirma que los modelos de gradient boosting aportan valor predictivo incluso sin optimización.</w:t>
      </w:r>
    </w:p>
    <w:p>
      <w:pPr>
        <w:pStyle w:val="UFVEpgrafeNivel3"/>
        <w:spacing w:line="360" w:lineRule="auto" w:before="240" w:after="120"/>
        <w:ind w:firstLine="0"/>
      </w:pPr>
      <w:r>
        <w:rPr>
          <w:rFonts w:ascii="Times New Roman" w:hAnsi="Times New Roman"/>
          <w:b/>
          <w:i/>
          <w:color w:val="000000"/>
          <w:sz w:val="22"/>
        </w:rPr>
        <w:t xml:space="preserve">Optimización con Optuna</w:t>
      </w:r>
    </w:p>
    <w:p>
      <w:pPr>
        <w:pStyle w:val="UFVNormal"/>
        <w:rPr>
          <w:b/>
          <w:lang w:val="en-GB"/>
        </w:rPr>
      </w:pPr>
      <w:r>
        <w:rPr>
          <w:b/>
          <w:lang w:val="en-GB"/>
        </w:rPr>
        <w:t xml:space="preserve">La optimización bayesiana con Optuna exploró el siguiente espacio de hiperparámetros: learning_rate [0.005, 0.3], max_depth [3, 10], subsample [0.5, 1.0], colsample_bytree [0.3, 1.0], reg_alpha [1e-8, 10], reg_lambda [1e-8, 10], min_child_weight [1, 50] para XGBoost; con num_leaves [15, 127] y min_child_samples [5, 50] adicionales para LightGBM. Se realizaron 75 trials para cada modelo con función objetivo: minimizar el RMSE medio de los 3 ETFs representativos (SPY, AGG, GLD) en el walk-forward reducido.</w:t>
      </w:r>
    </w:p>
    <w:p>
      <w:pPr>
        <w:pStyle w:val="UFVNormal"/>
        <w:rPr>
          <w:b/>
          <w:lang w:val="en-GB"/>
        </w:rPr>
      </w:pPr>
      <w:r>
        <w:rPr>
          <w:b/>
          <w:lang w:val="en-GB"/>
        </w:rPr>
        <w:t xml:space="preserve">Los mejores hiperparámetros encontrados para XGBoost fueron: learning_rate=0.022, max_depth=7, subsample=0.687, colsample_bytree=0.825, reg_alpha=2.0e-7, reg_lambda=1.3e-7, min_child_weight=20. Para LightGBM: learning_rate=0.006, num_leaves=41, max_depth=9, subsample=0.581, colsample_bytree=0.967, reg_alpha=5.4e-4, reg_lambda=0.023, min_child_samples=33. La validación con Optuna v2 (100 trials adicionales con rangos ampliados y penalización anti-overfitting) confirmó que estos parámetros representan el óptimo global: el trial semilla de v1 fue el mejor de los 100 trials de v2 para XGBoost.</w:t>
      </w:r>
    </w:p>
    <w:p>
      <w:pPr>
        <w:pStyle w:val="UFVNormal"/>
        <w:rPr>
          <w:b/>
          <w:lang w:val="en-GB"/>
        </w:rPr>
      </w:pPr>
      <w:r>
        <w:rPr>
          <w:b/>
          <w:lang w:val="en-GB"/>
        </w:rPr>
        <w:t xml:space="preserve">Tabla 3. Comparativa de hiperparámetros por defecto y optimizados.</w:t>
      </w:r>
    </w:p>
    <w:p>
      <w:pPr>
        <w:pStyle w:val="UFVNormal"/>
        <w:rPr>
          <w:b/>
          <w:lang w:val="en-GB"/>
        </w:rPr>
      </w:pPr>
      <w:r>
        <w:rPr>
          <w:b/>
          <w:lang w:val="en-GB"/>
        </w:rPr>
        <w:t xml:space="preserve">Parámetro | XGB Default | XGB Tuned | LGB Default | LGB Tuned
learning_rate | 0.100 | 0.022 | 0.100 | 0.006
max_depth | 6 | 7 | -1 | 9
subsample | 0.8 | 0.687 | 0.8 | 0.581
colsample_bytree | 0.8 | 0.825 | 0.8 | 0.967
n_estimators | 1000 | 2000 | 1000 | 2000
min_child_weight | 1 | 20 | — | —
num_leaves | — | — | 31 | 41
min_child_samples | — | — | 20 | 33
reg_alpha | 0 | 2.0e-7 | 0 | 5.4e-4
reg_lambda | 1 | 1.3e-7 | 1 | 0.023</w:t>
      </w:r>
    </w:p>
    <w:p>
      <w:pPr>
        <w:pStyle w:val="UFVEpgrafeNivel2"/>
        <w:numPr>
          <w:ilvl w:val="1"/>
          <w:numId w:val="4"/>
        </w:numPr>
        <w:rPr/>
      </w:pPr>
      <w:bookmarkStart w:id="4" w:name="__RefHeading___Toc177409325"/>
      <w:bookmarkEnd w:id="4"/>
      <w:r>
        <w:rPr/>
        <w:t xml:space="preserve">3.3.3 Métricas de evaluación</w:t>
      </w:r>
    </w:p>
    <w:p>
      <w:pPr>
        <w:pStyle w:val="UFVEpgrafeNivel3"/>
        <w:spacing w:line="360" w:lineRule="auto" w:before="240" w:after="120"/>
        <w:ind w:firstLine="0"/>
      </w:pPr>
      <w:r>
        <w:rPr>
          <w:rFonts w:ascii="Times New Roman" w:hAnsi="Times New Roman"/>
          <w:b/>
          <w:i/>
          <w:color w:val="000000"/>
          <w:sz w:val="22"/>
        </w:rPr>
        <w:t xml:space="preserve">Métricas de predicción (ML)</w:t>
      </w:r>
    </w:p>
    <w:p>
      <w:pPr>
        <w:pStyle w:val="UFVNormal"/>
        <w:rPr>
          <w:b/>
          <w:lang w:val="en-GB"/>
        </w:rPr>
      </w:pPr>
      <w:r>
        <w:rPr>
          <w:b/>
          <w:lang w:val="en-GB"/>
        </w:rPr>
        <w:t xml:space="preserve">Las métricas de evaluación de las predicciones se seleccionaron en función del problema de regresión planteado. El RMSE (Root Mean Squared Error) es la métrica primaria de entrenamiento, que penaliza proporcionalmente los errores grandes. El MAE (Mean Absolute Error) complementa al RMSE al ser menos sensible a outliers. El R² mide la proporción de varianza explicada; valores negativos son habituales en predicción financiera y no indican un modelo inútil, sino que los retornos son extremadamente ruidosos (Gu et al., 2020). La Directional Accuracy (56.8%) es la métrica más relevante en la práctica: mide el porcentaje de semanas en que el modelo acierta la dirección del retorno (positivo o negativo). No se utiliza MAPE porque explota cuando los retornos son cercanos a cero, ni AUC-ROC porque es una métrica de clasificación.</w:t>
      </w:r>
    </w:p>
    <w:p>
      <w:pPr>
        <w:pStyle w:val="UFVEpgrafeNivel3"/>
        <w:spacing w:line="360" w:lineRule="auto" w:before="240" w:after="120"/>
        <w:ind w:firstLine="0"/>
      </w:pPr>
      <w:r>
        <w:rPr>
          <w:rFonts w:ascii="Times New Roman" w:hAnsi="Times New Roman"/>
          <w:b/>
          <w:i/>
          <w:color w:val="000000"/>
          <w:sz w:val="22"/>
        </w:rPr>
        <w:t xml:space="preserve">Métricas financieras</w:t>
      </w:r>
    </w:p>
    <w:p>
      <w:pPr>
        <w:pStyle w:val="UFVNormal"/>
        <w:rPr>
          <w:b/>
          <w:lang w:val="en-GB"/>
        </w:rPr>
      </w:pPr>
      <w:r>
        <w:rPr>
          <w:b/>
          <w:lang w:val="en-GB"/>
        </w:rPr>
        <w:t xml:space="preserve">Las métricas financieras evalúan el rendimiento de las carteras resultantes. El Sharpe ratio (Sharpe, 1964) es la métrica principal: S = (Rp - Rf) / sigma_p, donde Rp es el retorno anualizado y sigma_p la volatilidad anualizada, con Rf=0. El Sortino ratio reemplaza sigma_p por la volatilidad a la baja (solo retornos negativos), penalizando exclusivamente el riesgo de pérdida. El Maximum Drawdown mide la mayor caída porcentual desde un pico hasta un valle en la curva de equity. El Calmar ratio es el cociente retorno/max_drawdown. El VaR 95% semanal (-2.11%) indica que en el 5% peor de las semanas la cartera XGBoost pierde al menos ese porcentaje, y el CVaR 95% (-3.48%) es la media de esas pérdidas extremas.</w:t>
      </w:r>
    </w:p>
    <w:p>
      <w:pPr>
        <w:pStyle w:val="UFVNormal"/>
        <w:rPr>
          <w:b/>
          <w:lang w:val="en-GB"/>
        </w:rPr>
      </w:pPr>
      <w:r>
        <w:rPr>
          <w:b/>
          <w:lang w:val="en-GB"/>
        </w:rPr>
        <w:t xml:space="preserve">Tabla 4. Comparativa de las 7 estrategias (walk-forward out-of-sample, 778 semanas).</w:t>
      </w:r>
    </w:p>
    <w:p>
      <w:pPr>
        <w:pStyle w:val="UFVNormal"/>
        <w:rPr>
          <w:b/>
          <w:lang w:val="en-GB"/>
        </w:rPr>
      </w:pPr>
      <w:r>
        <w:rPr>
          <w:b/>
          <w:lang w:val="en-GB"/>
        </w:rPr>
        <w:t xml:space="preserve">Estrategia | Sharpe | Ret.Anual | MaxDD | Sortino | Ret.Total
XGB Tuned | 1.397 | 11.09% | -14.83% | 1.992 | 425.9%
LGB Tuned | 1.313 | 10.23% | -19.60% | 1.835 | 361.8%
XGB Default | 1.154 | 8.77% | -17.44% | 1.692 | 271.5%
LGB Default | 1.000 | 8.15% | -21.86% | 1.322 | 238.3%
60/40 | 0.847 | 8.60% | -21.67% | 1.029 | 262.3%
Markowitz | 0.832 | 5.39% | -19.82% | 1.031 | 124.1%
Equal Weight | 0.649 | 7.30% | -24.21% | 0.794 | 198.1%</w:t>
      </w:r>
    </w:p>
    <w:p>
      <w:pPr>
        <w:pStyle w:val="UFVEpgrafeNivel3"/>
        <w:spacing w:line="360" w:lineRule="auto" w:before="240" w:after="120"/>
        <w:ind w:firstLine="0"/>
      </w:pPr>
      <w:r>
        <w:rPr>
          <w:rFonts w:ascii="Times New Roman" w:hAnsi="Times New Roman"/>
          <w:b/>
          <w:i/>
          <w:color w:val="000000"/>
          <w:sz w:val="22"/>
        </w:rPr>
        <w:t xml:space="preserve">Diagnóstico de overfitting</w:t>
      </w:r>
    </w:p>
    <w:p>
      <w:pPr>
        <w:pStyle w:val="UFVNormal"/>
        <w:rPr>
          <w:b/>
          <w:lang w:val="en-GB"/>
        </w:rPr>
      </w:pPr>
      <w:r>
        <w:rPr>
          <w:b/>
          <w:lang w:val="en-GB"/>
        </w:rPr>
        <w:t xml:space="preserve">El diagnóstico de sobreajuste se realizó comparando la desviación estándar de las predicciones con la de los retornos reales. El ratio medio es 0.16x (las predicciones son 6 veces menos volátiles que la realidad), confirmando que el modelo es conservador y no exagera. El ratio train_RMSE/test_RMSE medio es 0.92x, indicando ausencia de sobreajuste: el modelo no memoriza los datos de entrenamiento. Adicionalmente, la evolución temporal muestra que la cartera ML supera al 60/40 en 12 de los 16 años evaluados (75%), incluyendo años de crisis (2008 no se evalúa por ser período de entrenamiento, pero 2020 COVID y 2022 tipos sí).</w:t>
      </w:r>
    </w:p>
    <w:p>
      <w:pPr>
        <w:pStyle w:val="UFVEpgrafeNivel2"/>
        <w:numPr>
          <w:ilvl w:val="1"/>
          <w:numId w:val="4"/>
        </w:numPr>
        <w:rPr/>
      </w:pPr>
      <w:bookmarkStart w:id="4" w:name="__RefHeading___Toc177409325"/>
      <w:bookmarkEnd w:id="4"/>
      <w:r>
        <w:rPr/>
        <w:t xml:space="preserve">3.3.4 Visualización de resultados</w:t>
      </w:r>
    </w:p>
    <w:p>
      <w:pPr>
        <w:pStyle w:val="UFVNormal"/>
        <w:rPr>
          <w:b/>
          <w:lang w:val="en-GB"/>
        </w:rPr>
      </w:pPr>
      <w:r>
        <w:rPr>
          <w:b/>
          <w:lang w:val="en-GB"/>
        </w:rPr>
        <w:t xml:space="preserve">[Insertar imagen: docs/figures/comparativa_carteras_riesgo_retorno.png]</w:t>
      </w:r>
    </w:p>
    <w:p>
      <w:pPr>
        <w:pStyle w:val="UFVNormal"/>
        <w:rPr>
          <w:b/>
          <w:lang w:val="en-GB"/>
        </w:rPr>
      </w:pPr>
      <w:r>
        <w:rPr>
          <w:b/>
          <w:lang w:val="en-GB"/>
        </w:rPr>
        <w:t xml:space="preserve">Figura 10. Frontera eficiente y carteras del TFG (2011-2026). Los puntos grises representan 5.000 carteras aleatorias. Las estrellas rojas (XGBoost Tuned, Sharpe 1.397) y naranjas (LightGBM Tuned, Sharpe 1.313) superan la frontera eficiente estática gracias al rebalanceo dinámico semanal.</w:t>
      </w:r>
    </w:p>
    <w:p>
      <w:pPr>
        <w:pStyle w:val="UFVNormal"/>
        <w:rPr>
          <w:b/>
          <w:lang w:val="en-GB"/>
        </w:rPr>
      </w:pPr>
      <w:r>
        <w:rPr>
          <w:b/>
          <w:lang w:val="en-GB"/>
        </w:rPr>
        <w:t xml:space="preserve">[Insertar imagen: docs/figures/equity_curves.png]</w:t>
      </w:r>
    </w:p>
    <w:p>
      <w:pPr>
        <w:pStyle w:val="UFVNormal"/>
        <w:rPr>
          <w:b/>
          <w:lang w:val="en-GB"/>
        </w:rPr>
      </w:pPr>
      <w:r>
        <w:rPr>
          <w:b/>
          <w:lang w:val="en-GB"/>
        </w:rPr>
        <w:t xml:space="preserve">Figura 11. Evolución de 100 euros invertidos en cada cartera (2011-2026), escala logarítmica. XGBoost Tuned: 100 euros a 526 euros (+426%). Las zonas sombreadas indican periodos de crisis (COVID-19, subidas de tipos 2022).</w:t>
      </w:r>
    </w:p>
    <w:p>
      <w:pPr>
        <w:pStyle w:val="UFVNormal"/>
        <w:rPr>
          <w:b/>
          <w:lang w:val="en-GB"/>
        </w:rPr>
      </w:pPr>
      <w:r>
        <w:rPr>
          <w:b/>
          <w:lang w:val="en-GB"/>
        </w:rPr>
        <w:t xml:space="preserve">[Insertar imagen: docs/figures/shap_global_importance.png]</w:t>
      </w:r>
    </w:p>
    <w:p>
      <w:pPr>
        <w:pStyle w:val="UFVNormal"/>
        <w:rPr>
          <w:b/>
          <w:lang w:val="en-GB"/>
        </w:rPr>
      </w:pPr>
      <w:r>
        <w:rPr>
          <w:b/>
          <w:lang w:val="en-GB"/>
        </w:rPr>
        <w:t xml:space="preserve">Figura 12. Top 20 variables por importancia SHAP global (media de los 10 ETFs). Las Condiciones Financieras (NFCI) dominan con el 16.5% de la importancia total. Colores por dimensión: azul=mercado, rojo=riesgo, naranja=sentimiento.</w:t>
      </w:r>
    </w:p>
    <w:p>
      <w:pPr>
        <w:pStyle w:val="UFVNormal"/>
        <w:rPr>
          <w:b/>
          <w:lang w:val="en-GB"/>
        </w:rPr>
      </w:pPr>
      <w:r>
        <w:rPr>
          <w:b/>
          <w:lang w:val="en-GB"/>
        </w:rPr>
        <w:t xml:space="preserve">[Insertar imagen: docs/figures/shap_dimension_importance.png]</w:t>
      </w:r>
    </w:p>
    <w:p>
      <w:pPr>
        <w:pStyle w:val="UFVNormal"/>
        <w:rPr>
          <w:b/>
          <w:lang w:val="en-GB"/>
        </w:rPr>
      </w:pPr>
      <w:r>
        <w:rPr>
          <w:b/>
          <w:lang w:val="en-GB"/>
        </w:rPr>
        <w:t xml:space="preserve">Figura 13. Contribución de cada dimensión al poder predictivo. Riesgo aporta 5 veces más información por variable (5.3%/feat) que Mercado (1.1%/feat). NLP de noticias contribuye 0%.</w:t>
      </w:r>
    </w:p>
    <w:p>
      <w:pPr>
        <w:pStyle w:val="UFVNormal"/>
        <w:rPr>
          <w:b/>
          <w:lang w:val="en-GB"/>
        </w:rPr>
      </w:pPr>
      <w:r>
        <w:rPr>
          <w:b/>
          <w:lang w:val="en-GB"/>
        </w:rPr>
        <w:t xml:space="preserve">[Insertar imagen: docs/figures/shap_beeswarm_spy.png]</w:t>
      </w:r>
    </w:p>
    <w:p>
      <w:pPr>
        <w:pStyle w:val="UFVNormal"/>
        <w:rPr>
          <w:b/>
          <w:lang w:val="en-GB"/>
        </w:rPr>
      </w:pPr>
      <w:r>
        <w:rPr>
          <w:b/>
          <w:lang w:val="en-GB"/>
        </w:rPr>
        <w:t xml:space="preserve">Figura 14. SHAP beeswarm para SPY (S&amp;P 500). Dir. Accuracy: 59.6%. El NFCI alto (rojo) empuja las predicciones a la baja. El VIX alto tiene efecto negativo.</w:t>
      </w:r>
    </w:p>
    <w:p>
      <w:pPr>
        <w:pStyle w:val="UFVNormal"/>
        <w:rPr>
          <w:b/>
          <w:lang w:val="en-GB"/>
        </w:rPr>
      </w:pPr>
      <w:r>
        <w:rPr>
          <w:b/>
          <w:lang w:val="en-GB"/>
        </w:rPr>
        <w:t xml:space="preserve">[Insertar imagen: docs/figures/shap_beeswarm_agg.png]</w:t>
      </w:r>
    </w:p>
    <w:p>
      <w:pPr>
        <w:pStyle w:val="UFVNormal"/>
        <w:rPr>
          <w:b/>
          <w:lang w:val="en-GB"/>
        </w:rPr>
      </w:pPr>
      <w:r>
        <w:rPr>
          <w:b/>
          <w:lang w:val="en-GB"/>
        </w:rPr>
        <w:t xml:space="preserve">Figura 15. SHAP beeswarm para AGG (Bonos US). Dir. Accuracy: 56.9%. Escala ~100 veces menor que SPY — renta fija menos volátil.</w:t>
      </w:r>
    </w:p>
    <w:p>
      <w:pPr>
        <w:pStyle w:val="UFVNormal"/>
        <w:rPr>
          <w:b/>
          <w:lang w:val="en-GB"/>
        </w:rPr>
      </w:pPr>
      <w:r>
        <w:rPr>
          <w:b/>
          <w:lang w:val="en-GB"/>
        </w:rPr>
        <w:t xml:space="preserve">[Insertar imagen: docs/figures/shap_beeswarm_gld.png]</w:t>
      </w:r>
    </w:p>
    <w:p>
      <w:pPr>
        <w:pStyle w:val="UFVNormal"/>
        <w:rPr>
          <w:b/>
          <w:lang w:val="en-GB"/>
        </w:rPr>
      </w:pPr>
      <w:r>
        <w:rPr>
          <w:b/>
          <w:lang w:val="en-GB"/>
        </w:rPr>
        <w:t xml:space="preserve">Figura 16. SHAP beeswarm para GLD (Oro). Dir. Accuracy: 54.9%. Google:Inflación es el driver principal — el oro actúa como cobertura inflacionaria.</w:t>
      </w:r>
    </w:p>
    <w:p>
      <w:pPr>
        <w:pStyle w:val="UFVNormal"/>
        <w:rPr>
          <w:b/>
          <w:lang w:val="en-GB"/>
        </w:rPr>
      </w:pPr>
      <w:r>
        <w:rPr>
          <w:b/>
          <w:lang w:val="en-GB"/>
        </w:rPr>
        <w:t xml:space="preserve">[Insertar imagen: docs/figures/shap_etf_comparison.png]</w:t>
      </w:r>
    </w:p>
    <w:p>
      <w:pPr>
        <w:pStyle w:val="UFVNormal"/>
        <w:rPr>
          <w:b/>
          <w:lang w:val="en-GB"/>
        </w:rPr>
      </w:pPr>
      <w:r>
        <w:rPr>
          <w:b/>
          <w:lang w:val="en-GB"/>
        </w:rPr>
        <w:t xml:space="preserve">Figura 17. Importancia SHAP por variable y ETF (top 15). Las líneas blancas separan renta variable, renta fija y alternativos.</w:t>
      </w:r>
    </w:p>
    <w:p>
      <w:pPr>
        <w:pStyle w:val="UFVNormal"/>
        <w:rPr>
          <w:b/>
          <w:lang w:val="en-GB"/>
        </w:rPr>
      </w:pPr>
      <w:r>
        <w:rPr>
          <w:b/>
          <w:lang w:val="en-GB"/>
        </w:rPr>
        <w:t xml:space="preserve">[Insertar imagen: docs/figures/shap_temporal_importance.png]</w:t>
      </w:r>
    </w:p>
    <w:p>
      <w:pPr>
        <w:pStyle w:val="UFVNormal"/>
        <w:rPr>
          <w:b/>
          <w:lang w:val="en-GB"/>
        </w:rPr>
      </w:pPr>
      <w:r>
        <w:rPr>
          <w:b/>
          <w:lang w:val="en-GB"/>
        </w:rPr>
        <w:t xml:space="preserve">Figura 18. Evolución temporal de importancia SHAP en tres períodos. 2016-2020 incluye crisis COVID-19. Las Condiciones Financieras (NFCI) ganan importancia en periodos de crisis.</w:t>
      </w:r>
    </w:p>
    <w:p>
      <w:pPr>
        <w:pStyle w:val="UFVNormal"/>
        <w:rPr>
          <w:b/>
          <w:lang w:val="en-GB"/>
        </w:rPr>
      </w:pPr>
      <w:r>
        <w:rPr>
          <w:b/>
          <w:lang w:val="en-GB"/>
        </w:rPr>
        <w:t xml:space="preserve">[Insertar imagen: docs/figures/shap_waterfall_extreme.png]</w:t>
      </w:r>
    </w:p>
    <w:p>
      <w:pPr>
        <w:pStyle w:val="UFVNormal"/>
        <w:rPr>
          <w:b/>
          <w:lang w:val="en-GB"/>
        </w:rPr>
      </w:pPr>
      <w:r>
        <w:rPr>
          <w:b/>
          <w:lang w:val="en-GB"/>
        </w:rPr>
        <w:t xml:space="preserve">Figura 19. SHAP waterfall para SPY, semana del 17 de marzo de 2023 (crisis bancaria SVB). El deterioro de las condiciones financieras empuja la predicción a la baja.</w:t>
      </w:r>
    </w:p>
    <w:p>
      <w:pPr>
        <w:pStyle w:val="UFVEpgrafeNivel2"/>
        <w:numPr>
          <w:ilvl w:val="1"/>
          <w:numId w:val="4"/>
        </w:numPr>
        <w:rPr/>
      </w:pPr>
      <w:bookmarkStart w:id="4" w:name="__RefHeading___Toc177409325"/>
      <w:bookmarkEnd w:id="4"/>
      <w:r>
        <w:rPr/>
        <w:t xml:space="preserve">3.3.5 Interpretación de resultados</w:t>
      </w:r>
    </w:p>
    <w:p>
      <w:pPr>
        <w:pStyle w:val="UFVEpgrafeNivel3"/>
        <w:spacing w:line="360" w:lineRule="auto" w:before="240" w:after="120"/>
        <w:ind w:firstLine="0"/>
      </w:pPr>
      <w:r>
        <w:rPr>
          <w:rFonts w:ascii="Times New Roman" w:hAnsi="Times New Roman"/>
          <w:b/>
          <w:i/>
          <w:color w:val="000000"/>
          <w:sz w:val="22"/>
        </w:rPr>
        <w:t xml:space="preserve">Interpretación SHAP</w:t>
      </w:r>
    </w:p>
    <w:p>
      <w:pPr>
        <w:pStyle w:val="UFVNormal"/>
        <w:rPr>
          <w:b/>
          <w:lang w:val="en-GB"/>
        </w:rPr>
      </w:pPr>
      <w:r>
        <w:rPr>
          <w:b/>
          <w:lang w:val="en-GB"/>
        </w:rPr>
        <w:t xml:space="preserve">El análisis SHAP revela que las tres variables más importantes a nivel global son: las Condiciones Financieras (NFCI, 16.5% de importancia), el Drawdown de Emergentes (3.7%) y el Nivel del VIX (3.5%). La dimensión de Mercado concentra el 68.4% de la importancia total (60 features), pero la dimensión de Riesgo es 5 veces más eficiente: con solo 4 features aporta el 21.3%, lo que equivale a 5.3% por variable frente al 1.1% por variable de Mercado. Las 22 features de NLP de noticias contribuyen 0% al poder predictivo, coherente con que tienen 94.3% de valores faltantes.</w:t>
      </w:r>
    </w:p>
    <w:p>
      <w:pPr>
        <w:pStyle w:val="UFVNormal"/>
        <w:rPr>
          <w:b/>
          <w:lang w:val="en-GB"/>
        </w:rPr>
      </w:pPr>
      <w:r>
        <w:rPr>
          <w:b/>
          <w:lang w:val="en-GB"/>
        </w:rPr>
        <w:t xml:space="preserve">Cada ETF tiene drivers diferentes. El NFCI domina para los ETFs de renta variable (SPY, QQQ, IWM, EFA). El Drawdown propio domina para Emergentes (EEM). Para el Oro (GLD), Google:Inflación es la variable más importante, reflejando el papel del oro como cobertura inflacionaria. Para Bonos US (AGG), el retorno propio domina debido a la alta autocorrelación de los retornos de renta fija. El modelo se adapta a diferentes regímenes: la importancia relativa de las variables cambia entre los períodos 2011-2015, 2016-2020 (crisis COVID) y 2021-2025 (subidas de tipos).</w:t>
      </w:r>
    </w:p>
    <w:p>
      <w:pPr>
        <w:pStyle w:val="UFVEpgrafeNivel3"/>
        <w:spacing w:line="360" w:lineRule="auto" w:before="240" w:after="120"/>
        <w:ind w:firstLine="0"/>
      </w:pPr>
      <w:r>
        <w:rPr>
          <w:rFonts w:ascii="Times New Roman" w:hAnsi="Times New Roman"/>
          <w:b/>
          <w:i/>
          <w:color w:val="000000"/>
          <w:sz w:val="22"/>
        </w:rPr>
        <w:t xml:space="preserve">Experimentos de feature engineering</w:t>
      </w:r>
    </w:p>
    <w:p>
      <w:pPr>
        <w:pStyle w:val="UFVNormal"/>
        <w:rPr>
          <w:b/>
          <w:lang w:val="en-GB"/>
        </w:rPr>
      </w:pPr>
      <w:r>
        <w:rPr>
          <w:b/>
          <w:lang w:val="en-GB"/>
        </w:rPr>
        <w:t xml:space="preserve">Se realizaron dos experimentos adicionales para evaluar la robustez del dataset de 109 features. En el Experimento 1, se añadieron 12 nuevas variables (WEI, CCSA, STLFSI4, MOVE Index, spread 10Y-3M, VIX term structure, correlación SPY-AGG, dispersión de retornos). El Sharpe bajó de 1.397 a 1.203 con 121 features, indicando que las nuevas variables aportan más ruido que señal. En el Experimento 2, se eliminaron 49 features con SHAP &lt; 0.00005 (todas las NLP, la mayoría de sentimiento y algunas macro). El Sharpe bajó a 1.271 con 60 features, demostrando que las features aparentemente irrelevantes contribuyen colectivamente al poder predictivo.</w:t>
      </w:r>
    </w:p>
    <w:p>
      <w:pPr>
        <w:pStyle w:val="UFVNormal"/>
        <w:rPr>
          <w:b/>
          <w:lang w:val="en-GB"/>
        </w:rPr>
      </w:pPr>
      <w:r>
        <w:rPr>
          <w:b/>
          <w:lang w:val="en-GB"/>
        </w:rPr>
        <w:t xml:space="preserve">La conclusión es que 109 features es el óptimo: ni añadir ni eliminar mejora el resultado. Este hallazgo es metodológicamente relevante porque demuestra que XGBoost maneja eficientemente features de baja importancia individual sin necesidad de feature selection previa, y que documentar lo que no funciona es tan valioso como lo que sí.</w:t>
      </w:r>
    </w:p>
    <w:p>
      <w:pPr>
        <w:pStyle w:val="UFVEpgrafeNivel3"/>
        <w:spacing w:line="360" w:lineRule="auto" w:before="240" w:after="120"/>
        <w:ind w:firstLine="0"/>
      </w:pPr>
      <w:r>
        <w:rPr>
          <w:rFonts w:ascii="Times New Roman" w:hAnsi="Times New Roman"/>
          <w:b/>
          <w:i/>
          <w:color w:val="000000"/>
          <w:sz w:val="22"/>
        </w:rPr>
        <w:t xml:space="preserve">Valor añadido del Machine Learning</w:t>
      </w:r>
    </w:p>
    <w:p>
      <w:pPr>
        <w:pStyle w:val="UFVNormal"/>
        <w:rPr>
          <w:b/>
          <w:lang w:val="en-GB"/>
        </w:rPr>
      </w:pPr>
      <w:r>
        <w:rPr>
          <w:b/>
          <w:lang w:val="en-GB"/>
        </w:rPr>
        <w:t xml:space="preserve">Las carteras ML superan la frontera eficiente estática porque el rebalanceo dinámico semanal adapta los pesos a las condiciones cambiantes del mercado. La diferencia entre el Sharpe estático de la frontera eficiente (1.028) y el Sharpe walk-forward del XGBoost Tuned (1.397) cuantifica el valor añadido del ML: 0.369 puntos de Sharpe, equivalentes a un incremento del 36% en la eficiencia riesgo-retorno. La cartera XGBoost Tuned reduce el maximum drawdown de -24.21% (equal weight) a -14.83%, proporcionando protección significativa en periodos de crisis.</w:t>
      </w:r>
    </w:p>
    <w:p>
      <w:pPr>
        <w:pStyle w:val="UFVEpgrafeNivel3"/>
        <w:spacing w:line="360" w:lineRule="auto" w:before="240" w:after="120"/>
        <w:ind w:firstLine="0"/>
      </w:pPr>
      <w:r>
        <w:rPr>
          <w:rFonts w:ascii="Times New Roman" w:hAnsi="Times New Roman"/>
          <w:b/>
          <w:i/>
          <w:color w:val="000000"/>
          <w:sz w:val="22"/>
        </w:rPr>
        <w:t xml:space="preserve">Limitaciones</w:t>
      </w:r>
    </w:p>
    <w:p>
      <w:pPr>
        <w:pStyle w:val="UFVNormal"/>
        <w:rPr>
          <w:b/>
          <w:lang w:val="en-GB"/>
        </w:rPr>
      </w:pPr>
      <w:r>
        <w:rPr>
          <w:b/>
          <w:lang w:val="en-GB"/>
        </w:rPr>
        <w:t xml:space="preserve">Los resultados deben interpretarse considerando las siguientes limitaciones. Primero, no se incluyen costes de transacción ni slippage, que reducirían los retornos netos del rebalanceo semanal. Segundo, el período 2011-2026 fue predominantemente alcista para la renta variable estadounidense, lo que favorece las estrategias largas. Tercero, el R² negativo indica que las predicciones puntuales son débiles; el valor del modelo reside en acertar la dirección (56.8% &gt; 50%), no la magnitud exacta. Cuarto, el universo de 10 ETFs es limitado y los resultados podrían no generalizarse a universos más amplios o a mercados menos líquidos.</w:t>
      </w:r>
    </w:p>
    <w:p>
      <w:pPr>
        <w:pStyle w:val="UFVEpgrafeNivel2"/>
        <w:numPr>
          <w:ilvl w:val="1"/>
          <w:numId w:val="4"/>
        </w:numPr>
        <w:rPr/>
      </w:pPr>
      <w:bookmarkStart w:id="12" w:name="__RefHeading___Toc177409333"/>
      <w:bookmarkEnd w:id="12"/>
      <w:r>
        <w:rPr/>
        <w:t>Análisis del Negocio</w:t>
      </w:r>
    </w:p>
    <w:p>
      <w:pPr>
        <w:pStyle w:val="UFVNormal"/>
        <w:rPr/>
      </w:pPr>
      <w:r>
        <w:rPr/>
        <w:t>[POR INSERTAR]</w:t>
      </w:r>
      <w:r/>
    </w:p>
    <w:p>
      <w:pPr>
        <w:pStyle w:val="UFVEpgrafeNivel1"/>
        <w:numPr>
          <w:ilvl w:val="0"/>
          <w:numId w:val="4"/>
        </w:numPr>
        <w:ind w:hanging="0" w:start="0"/>
        <w:rPr/>
      </w:pPr>
      <w:bookmarkStart w:id="13" w:name="__RefHeading___Toc177409334"/>
      <w:bookmarkEnd w:id="13"/>
      <w:r>
        <w:rPr>
          <w:caps w:val="false"/>
          <w:smallCaps w:val="false"/>
        </w:rPr>
        <w:t>CONCLUSIONES GENERALES DEL TRABAJO</w:t>
      </w:r>
    </w:p>
    <w:p>
      <w:pPr>
        <w:pStyle w:val="UFVNormal"/>
        <w:rPr/>
      </w:pPr>
      <w:r>
        <w:rPr/>
        <w:t>[POR INSERTAR — Conclusiones, limitaciones y líneas de trabajo futuro.]</w:t>
      </w:r>
      <w:r/>
    </w:p>
    <w:p>
      <w:pPr>
        <w:pStyle w:val="UFVEpgrafeNivel1"/>
        <w:numPr>
          <w:ilvl w:val="0"/>
          <w:numId w:val="4"/>
        </w:numPr>
        <w:ind w:hanging="0" w:start="0"/>
        <w:rPr/>
      </w:pPr>
      <w:bookmarkStart w:id="14" w:name="__RefHeading___Toc177409335"/>
      <w:r>
        <w:rPr>
          <w:caps w:val="false"/>
          <w:smallCaps w:val="false"/>
        </w:rPr>
        <w:t>REFERENCIAS BIBLIOGRÁFICAS</w:t>
      </w:r>
      <w:bookmarkEnd w:id="14"/>
      <w:r>
        <w:rPr>
          <w:caps w:val="false"/>
          <w:smallCaps w:val="false"/>
        </w:rPr>
      </w:r>
    </w:p>
    <w:p>
      <w:pPr>
        <w:pStyle w:val="UFVNormal"/>
        <w:rPr/>
      </w:pPr>
      <w:r>
        <w:rPr/>
      </w:r>
      <w:r>
        <w:rPr>
          <w:b/>
        </w:rPr>
      </w:r>
      <w:r>
        <w:rPr/>
      </w:r>
    </w:p>
    <w:p>
      <w:pPr>
        <w:pStyle w:val="UFVNormal"/>
        <w:rPr/>
      </w:pPr>
      <w:r>
        <w:rPr/>
      </w:r>
    </w:p>
    <w:p>
      <w:pPr>
        <w:pStyle w:val="UFVReferencias"/>
        <w:rPr/>
      </w:pPr>
      <w:r>
        <w:rPr>
          <w:lang w:val="en-US"/>
        </w:rPr>
        <w:t>Baker, M., &amp; Wurgler, J. (2006). Investor sentiment and the cross-section of stock returns. The Journal of Finance, 61(4), 1645-1680.</w:t>
      </w:r>
      <w:r>
        <w:rPr>
          <w:i/>
          <w:lang w:val="en-US"/>
        </w:rPr>
      </w:r>
      <w:r>
        <w:rPr>
          <w:lang w:val="en-US"/>
        </w:rPr>
      </w:r>
    </w:p>
    <w:p>
      <w:pPr>
        <w:pStyle w:val="UFVReferencias"/>
        <w:rPr/>
      </w:pPr>
      <w:r>
        <w:rPr>
          <w:lang w:val="en-US"/>
        </w:rPr>
        <w:t>Ban, G. Y., El Karoui, N., &amp; Lim, A. E. (2018). Machine learning and portfolio optimization. Management Science, 64(3), 1136-1154.</w:t>
      </w:r>
      <w:r>
        <w:rPr>
          <w:i/>
          <w:lang w:val="en-US"/>
        </w:rPr>
      </w:r>
      <w:r>
        <w:rPr>
          <w:lang w:val="en-US"/>
        </w:rPr>
      </w:r>
    </w:p>
    <w:p>
      <w:pPr>
        <w:pStyle w:val="UFVReferencias"/>
        <w:rPr/>
      </w:pPr>
      <w:r>
        <w:rPr/>
        <w:t>Black, F., &amp; Litterman, R. (1992). Global portfolio optimization. Financial Analysts Journal, 48(5), 28-43.</w:t>
      </w:r>
      <w:r>
        <w:rPr>
          <w:i/>
        </w:rPr>
      </w:r>
      <w:r>
        <w:rPr/>
      </w:r>
    </w:p>
    <w:p>
      <w:pPr>
        <w:pStyle w:val="UFVReferencias"/>
        <w:rPr/>
      </w:pPr>
      <w:r>
        <w:rPr/>
        <w:t>Chen, T., &amp; Guestrin, C. (2016). XGBoost: A scalable tree boosting system. Proceedings of the 22nd ACM SIGKDD, 785-794.</w:t>
      </w:r>
      <w:r>
        <w:rPr>
          <w:i/>
        </w:rPr>
      </w:r>
      <w:r>
        <w:rPr/>
      </w:r>
    </w:p>
    <w:p>
      <w:pPr>
        <w:pStyle w:val="UFVReferencias"/>
        <w:rPr/>
      </w:pPr>
      <w:r>
        <w:rPr/>
        <w:t>Da, Z., Engelberg, J., &amp; Gao, P. (2015). The sum of all FEARS investor sentiment and asset prices. The Review of Financial Studies, 28(1), 1-32.</w:t>
      </w:r>
      <w:r>
        <w:rPr>
          <w:lang w:val="en-US"/>
        </w:rPr>
      </w:r>
      <w:r>
        <w:rPr>
          <w:i/>
          <w:lang w:val="en-US"/>
        </w:rPr>
      </w:r>
      <w:r>
        <w:rPr>
          <w:lang w:val="en-US"/>
        </w:rPr>
      </w:r>
    </w:p>
    <w:p>
      <w:pPr>
        <w:pStyle w:val="UFVReferencias"/>
        <w:rPr/>
      </w:pPr>
      <w:r>
        <w:rPr/>
        <w:t xml:space="preserve">de Prado, M. L. (2018). Advances in Financial Machine Learning. John Wiley &amp; Sons.</w:t>
      </w:r>
    </w:p>
    <w:p>
      <w:pPr>
        <w:pStyle w:val="UFVReferencias"/>
        <w:rPr/>
      </w:pPr>
      <w:r>
        <w:rPr/>
      </w:r>
    </w:p>
    <w:p>
      <w:pPr>
        <w:pStyle w:val="UFVReferencias"/>
        <w:rPr/>
      </w:pPr>
      <w:r>
        <w:rPr/>
        <w:t xml:space="preserve">Fischer, T., &amp; Krauss, C. (2018). Deep learning with LSTM networks for financial market predictions. European Journal of Operational Research, 270(2), 654-669.</w:t>
      </w:r>
    </w:p>
    <w:p>
      <w:pPr>
        <w:pStyle w:val="UFVReferencias"/>
        <w:rPr/>
      </w:pPr>
      <w:r>
        <w:rPr/>
        <w:t xml:space="preserve">Friedman, J. H. (2001). Greedy function approximation: A gradient boosting machine. The Annals of Statistics, 29(5), 1189-1232.</w:t>
      </w:r>
    </w:p>
    <w:p>
      <w:pPr>
        <w:pStyle w:val="UFVReferencias"/>
        <w:rPr/>
      </w:pPr>
      <w:r>
        <w:rPr/>
        <w:t xml:space="preserve">Gu, S., Kelly, B., &amp; Xiu, D. (2020). Empirical asset pricing via machine learning. The Review of Financial Studies, 33(5), 2223-2273.</w:t>
      </w:r>
    </w:p>
    <w:p>
      <w:pPr>
        <w:pStyle w:val="UFVReferencias"/>
        <w:rPr/>
      </w:pPr>
      <w:r>
        <w:rPr/>
        <w:t xml:space="preserve">Ke, G., et al. (2017). LightGBM: A highly efficient gradient boosting decision tree. Advances in Neural Information Processing Systems, 30.</w:t>
      </w:r>
    </w:p>
    <w:p>
      <w:pPr>
        <w:pStyle w:val="UFVReferencias"/>
        <w:rPr/>
      </w:pPr>
      <w:r>
        <w:rPr/>
        <w:t xml:space="preserve">Leippold, M., Wang, Q., &amp; Zhou, W. (2022). Machine learning in the Chinese stock market. Journal of Financial Economics, 145(2), 64-82.</w:t>
      </w:r>
    </w:p>
    <w:p>
      <w:pPr>
        <w:pStyle w:val="UFVReferencias"/>
        <w:rPr/>
      </w:pPr>
      <w:r>
        <w:rPr/>
        <w:t xml:space="preserve">Lundberg, S. M., &amp; Lee, S. I. (2017). A unified approach to interpreting model predictions. Advances in NeurIPS, 30.</w:t>
      </w:r>
    </w:p>
    <w:p>
      <w:pPr>
        <w:pStyle w:val="UFVReferencias"/>
        <w:rPr/>
      </w:pPr>
      <w:r>
        <w:rPr/>
        <w:t xml:space="preserve">Lundberg, S. M., et al. (2020). From local explanations to global understanding with explainable AI for trees. Nature Machine Intelligence, 2(1), 56-67.</w:t>
      </w:r>
    </w:p>
    <w:p>
      <w:pPr>
        <w:pStyle w:val="UFVReferencias"/>
        <w:rPr/>
      </w:pPr>
      <w:r>
        <w:rPr/>
        <w:t xml:space="preserve">Markowitz, H. (1952). Portfolio selection. The Journal of Finance, 7(1), 77-91.</w:t>
      </w:r>
    </w:p>
    <w:p>
      <w:pPr>
        <w:pStyle w:val="UFVReferencias"/>
        <w:rPr/>
      </w:pPr>
      <w:r>
        <w:rPr/>
        <w:t xml:space="preserve">Sharpe, W. F. (1964). Capital asset prices: A theory of market equilibrium. The Journal of Finance, 19(3), 425-442.</w:t>
      </w:r>
    </w:p>
    <w:p>
      <w:pPr>
        <w:pStyle w:val="UFVReferencias"/>
        <w:rPr/>
      </w:pPr>
      <w:r>
        <w:rPr/>
        <w:t xml:space="preserve">Tashman, L. J. (2000). Out-of-sample tests of forecasting accuracy. International Journal of Forecasting, 16(4), 437-450.</w:t>
      </w:r>
    </w:p>
    <w:p>
      <w:pPr>
        <w:pStyle w:val="UFVReferencias"/>
        <w:rPr/>
      </w:pPr>
      <w:r>
        <w:rPr/>
        <w:t xml:space="preserve">Yan, J. (2025). Portfolio risk management with gradient boosting: LightGBM vs XGBoost. Journal of Risk and Financial Management, 18(2), 85.</w:t>
      </w:r>
    </w:p>
    <w:p>
      <w:pPr>
        <w:pStyle w:val="UFVReferencias"/>
        <w:rPr>
          <w:lang w:val="en-GB"/>
        </w:rPr>
      </w:pPr>
      <w:r>
        <w:rPr>
          <w:lang w:val="en-GB"/>
        </w:rPr>
      </w:r>
    </w:p>
    <w:p>
      <w:pPr>
        <w:pStyle w:val="UFVNormal"/>
        <w:spacing w:before="120" w:after="120"/>
        <w:rPr/>
      </w:pPr>
      <w:r>
        <w:rPr>
          <w:b/>
          <w:color w:val="000000"/>
        </w:rPr>
        <w:t>Nota</w:t>
      </w:r>
      <w:r>
        <w:rPr>
          <w:color w:val="000000"/>
        </w:rPr>
        <w:t>:</w:t>
      </w:r>
      <w:r>
        <w:rPr>
          <w:i/>
          <w:color w:val="000000"/>
        </w:rPr>
        <w:t xml:space="preserve"> </w:t>
      </w:r>
      <w:r>
        <w:rPr>
          <w:color w:val="000000"/>
        </w:rPr>
        <w:t xml:space="preserve">La lista de referencias se genera automáticamente si se utiliza adecuadamente la administración de fuentes. Utiliza ‘Referencias’ – ‘Insertar cita’ – ‘Agregar nueva fuente’ para compilar la base de datos de fuentes citadas en el documento. Para generar la lista de documentos citados automáticamente al final de documento, selecciona ‘Bibliografía’ e inserta la lista correspondiente. Por defecto, el estilo de las mismas será APA. </w:t>
      </w:r>
    </w:p>
    <w:sectPr>
      <w:footerReference w:type="default" r:id="rId15"/>
      <w:footerReference w:type="first" r:id="rId16"/>
      <w:footnotePr>
        <w:numFmt w:val="decimal"/>
      </w:footnotePr>
      <w:type w:val="nextPage"/>
      <w:pgSz w:w="11906" w:h="16838"/>
      <w:pgMar w:left="1701" w:right="1418" w:gutter="0" w:header="0" w:top="1418" w:footer="709" w:bottom="1418"/>
      <w:pgNumType w:start="1"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variable"/>
  </w:font>
  <w:font w:name="Calibri Light">
    <w:charset w:val="00" w:characterSet="windows-1252"/>
    <w:family w:val="swiss"/>
    <w:pitch w:val="variable"/>
  </w:font>
  <w:font w:name="Courier New">
    <w:charset w:val="00" w:characterSet="windows-1252"/>
    <w:family w:val="modern"/>
    <w:pitch w:val="default"/>
  </w:font>
  <w:font w:name="Wingdings">
    <w:charset w:val="02"/>
    <w:family w:val="auto"/>
    <w:pitch w:val="variable"/>
  </w:font>
  <w:font w:name="Segoe UI">
    <w:charset w:val="00" w:characterSet="windows-1252"/>
    <w:family w:val="swiss"/>
    <w:pitch w:val="variable"/>
  </w:font>
  <w:font w:name="Aptos">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behindDoc="0" distT="0" distB="0" distL="0" distR="0" simplePos="0" locked="0" layoutInCell="0" allowOverlap="1" relativeHeight="13">
              <wp:simplePos x="0" y="0"/>
              <wp:positionH relativeFrom="margin">
                <wp:align>center</wp:align>
              </wp:positionH>
              <wp:positionV relativeFrom="paragraph">
                <wp:posOffset>635</wp:posOffset>
              </wp:positionV>
              <wp:extent cx="71755" cy="170815"/>
              <wp:effectExtent l="0" t="0" r="0" b="0"/>
              <wp:wrapSquare wrapText="bothSides"/>
              <wp:docPr id="10" name="Frame1"/>
              <a:graphic xmlns:a="http://schemas.openxmlformats.org/drawingml/2006/main">
                <a:graphicData uri="http://schemas.microsoft.com/office/word/2010/wordprocessingShape">
                  <wps:wsp>
                    <wps:cNvSpPr txBox="1"/>
                    <wps:spPr>
                      <a:xfrm>
                        <a:off x="0" y="0"/>
                        <a:ext cx="71755" cy="170815"/>
                      </a:xfrm>
                      <a:prstGeom prst="rect"/>
                      <a:solidFill>
                        <a:srgbClr val="FFFFFF">
                          <a:alpha val="0"/>
                        </a:srgbClr>
                      </a:solidFill>
                    </wps:spPr>
                    <wps:txbx>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10</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5.65pt;height:13.45pt;mso-wrap-distance-left:0pt;mso-wrap-distance-right:0pt;mso-wrap-distance-top:0pt;mso-wrap-distance-bottom:0pt;margin-top:0.05pt;mso-position-vertical-relative:text;margin-left:214.05pt;mso-position-horizontal:center;mso-position-horizontal-relative:margin">
              <v:fill opacity="0f"/>
              <v:textbox inset="0in,0in,0in,0in">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10</w:t>
                    </w:r>
                    <w:r>
                      <w:rPr>
                        <w:rStyle w:val="PageNumber"/>
                      </w:rPr>
                      <w:fldChar w:fldCharType="end"/>
                    </w:r>
                  </w:p>
                </w:txbxContent>
              </v:textbox>
              <w10:wrap type="square"/>
            </v:rect>
          </w:pict>
        </mc:Fallback>
      </mc:AlternateContent>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pPr>
        <w:rPr>
          <w:sz w:val="12"/>
        </w:rPr>
      </w:pPr>
      <w:r>
        <w:separator/>
      </w:r>
    </w:p>
  </w:footnote>
  <w:footnote w:id="1" w:type="continuationSeparator">
    <w:p>
      <w:pPr>
        <w:rPr>
          <w:sz w:val="12"/>
        </w:rPr>
      </w:pPr>
      <w:r>
        <w:continuationSeparator/>
      </w:r>
    </w:p>
  </w:footnote>
  <w:footnote w:id="2">
    <w:p>
      <w:pPr>
        <w:pStyle w:val="UFVNotaalpie"/>
        <w:rPr/>
      </w:pPr>
      <w:r>
        <w:rPr>
          <w:rStyle w:val="FootnoteCharacters"/>
        </w:rPr>
        <w:footnoteRef/>
      </w:r>
      <w:r>
        <w:rPr/>
        <w:t xml:space="preserve"> </w:t>
      </w:r>
      <w:r>
        <w:rPr/>
        <w:t>Las notas a pie de página muestran contenido adicional al cuerpo del texto, complementando o ampliando la información. Solo deben incluirse si aportan información necesaria para comprender el planteamiento, pero que no es demasiado relevante como para incluirla en el cuerpo del texto.</w:t>
      </w:r>
    </w:p>
  </w:footnote>
</w:footnote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decimal"/>
      <w:lvlText w:val="%1"/>
      <w:lvlJc w:val="start"/>
      <w:pPr>
        <w:tabs>
          <w:tab w:val="num" w:pos="0"/>
        </w:tabs>
        <w:ind w:start="432" w:hanging="432"/>
      </w:pPr>
      <w:rPr/>
    </w:lvl>
    <w:lvl w:ilvl="1">
      <w:start w:val="1"/>
      <w:numFmt w:val="decimal"/>
      <w:lvlText w:val="%1.%2"/>
      <w:lvlJc w:val="start"/>
      <w:pPr>
        <w:tabs>
          <w:tab w:val="num" w:pos="0"/>
        </w:tabs>
        <w:ind w:start="576" w:hanging="576"/>
      </w:pPr>
      <w:rPr/>
    </w:lvl>
    <w:lvl w:ilvl="2">
      <w:start w:val="1"/>
      <w:numFmt w:val="decimal"/>
      <w:lvlText w:val="%1.%2.%3"/>
      <w:lvlJc w:val="start"/>
      <w:pPr>
        <w:tabs>
          <w:tab w:val="num" w:pos="0"/>
        </w:tabs>
        <w:ind w:start="720" w:hanging="720"/>
      </w:pPr>
      <w:rPr/>
    </w:lvl>
    <w:lvl w:ilvl="3">
      <w:start w:val="1"/>
      <w:numFmt w:val="decimal"/>
      <w:lvlText w:val="%1.%2.%3.%4"/>
      <w:lvlJc w:val="start"/>
      <w:pPr>
        <w:tabs>
          <w:tab w:val="num" w:pos="0"/>
        </w:tabs>
        <w:ind w:start="864" w:hanging="864"/>
      </w:pPr>
      <w:rPr/>
    </w:lvl>
    <w:lvl w:ilvl="4">
      <w:start w:val="1"/>
      <w:numFmt w:val="decimal"/>
      <w:lvlText w:val="%1.%2.%3.%4.%5"/>
      <w:lvlJc w:val="start"/>
      <w:pPr>
        <w:tabs>
          <w:tab w:val="num" w:pos="0"/>
        </w:tabs>
        <w:ind w:start="1008" w:hanging="1008"/>
      </w:pPr>
      <w:rPr/>
    </w:lvl>
    <w:lvl w:ilvl="5">
      <w:start w:val="1"/>
      <w:numFmt w:val="decimal"/>
      <w:lvlText w:val="%1.%2.%3.%4.%5.%6"/>
      <w:lvlJc w:val="start"/>
      <w:pPr>
        <w:tabs>
          <w:tab w:val="num" w:pos="0"/>
        </w:tabs>
        <w:ind w:start="1152" w:hanging="1152"/>
      </w:pPr>
      <w:rPr/>
    </w:lvl>
    <w:lvl w:ilvl="6">
      <w:start w:val="1"/>
      <w:numFmt w:val="decimal"/>
      <w:lvlText w:val="%1.%2.%3.%4.%5.%6.%7"/>
      <w:lvlJc w:val="start"/>
      <w:pPr>
        <w:tabs>
          <w:tab w:val="num" w:pos="0"/>
        </w:tabs>
        <w:ind w:start="1296" w:hanging="1296"/>
      </w:pPr>
      <w:rPr/>
    </w:lvl>
    <w:lvl w:ilvl="7">
      <w:start w:val="1"/>
      <w:numFmt w:val="decimal"/>
      <w:lvlText w:val="%1.%2.%3.%4.%5.%6.%7.%8"/>
      <w:lvlJc w:val="start"/>
      <w:pPr>
        <w:tabs>
          <w:tab w:val="num" w:pos="0"/>
        </w:tabs>
        <w:ind w:start="1440" w:hanging="1440"/>
      </w:pPr>
      <w:rPr/>
    </w:lvl>
    <w:lvl w:ilvl="8">
      <w:start w:val="1"/>
      <w:numFmt w:val="decimal"/>
      <w:lvlText w:val="%1.%2.%3.%4.%5.%6.%7.%8.%9"/>
      <w:lvlJc w:val="start"/>
      <w:pPr>
        <w:tabs>
          <w:tab w:val="num" w:pos="0"/>
        </w:tabs>
        <w:ind w:start="1584" w:hanging="1584"/>
      </w:pPr>
      <w:rPr/>
    </w:lvl>
  </w:abstractNum>
  <w:abstractNum w:abstractNumId="3">
    <w:lvl w:ilvl="0">
      <w:start w:val="1"/>
      <w:numFmt w:val="decimal"/>
      <w:lvlText w:val="%1."/>
      <w:lvlJc w:val="start"/>
      <w:pPr>
        <w:tabs>
          <w:tab w:val="num" w:pos="0"/>
        </w:tabs>
        <w:ind w:start="720" w:hanging="360"/>
      </w:pPr>
    </w:lvl>
  </w:abstractNum>
  <w:abstractNum w:abstractNumId="4">
    <w:lvl w:ilvl="0">
      <w:start w:val="1"/>
      <w:numFmt w:val="decimal"/>
      <w:lvlText w:val="%1."/>
      <w:lvlJc w:val="start"/>
      <w:pPr>
        <w:tabs>
          <w:tab w:val="num" w:pos="0"/>
        </w:tabs>
        <w:ind w:start="720" w:hanging="360"/>
      </w:pPr>
    </w:lvl>
    <w:lvl w:ilvl="1">
      <w:start w:val="1"/>
      <w:isLgl/>
      <w:numFmt w:val="decimal"/>
      <w:lvlText w:val="%1.%2."/>
      <w:lvlJc w:val="start"/>
      <w:pPr>
        <w:tabs>
          <w:tab w:val="num" w:pos="0"/>
        </w:tabs>
        <w:ind w:start="720" w:hanging="360"/>
      </w:pPr>
      <w:rPr/>
    </w:lvl>
    <w:lvl w:ilvl="2">
      <w:start w:val="1"/>
      <w:isLgl/>
      <w:numFmt w:val="decimal"/>
      <w:lvlText w:val="%1.%2.%3."/>
      <w:lvlJc w:val="start"/>
      <w:pPr>
        <w:tabs>
          <w:tab w:val="num" w:pos="0"/>
        </w:tabs>
        <w:ind w:start="1080" w:hanging="720"/>
      </w:pPr>
      <w:rPr/>
    </w:lvl>
    <w:lvl w:ilvl="3">
      <w:start w:val="1"/>
      <w:isLgl/>
      <w:numFmt w:val="decimal"/>
      <w:lvlText w:val="%1.%2.%3.%4."/>
      <w:lvlJc w:val="start"/>
      <w:pPr>
        <w:tabs>
          <w:tab w:val="num" w:pos="0"/>
        </w:tabs>
        <w:ind w:start="1080" w:hanging="720"/>
      </w:pPr>
      <w:rPr/>
    </w:lvl>
    <w:lvl w:ilvl="4">
      <w:start w:val="1"/>
      <w:isLgl/>
      <w:numFmt w:val="decimal"/>
      <w:lvlText w:val="%1.%2.%3.%4.%5."/>
      <w:lvlJc w:val="start"/>
      <w:pPr>
        <w:tabs>
          <w:tab w:val="num" w:pos="0"/>
        </w:tabs>
        <w:ind w:start="1440" w:hanging="1080"/>
      </w:pPr>
      <w:rPr/>
    </w:lvl>
    <w:lvl w:ilvl="5">
      <w:start w:val="1"/>
      <w:isLgl/>
      <w:numFmt w:val="decimal"/>
      <w:lvlText w:val="%1.%2.%3.%4.%5.%6."/>
      <w:lvlJc w:val="start"/>
      <w:pPr>
        <w:tabs>
          <w:tab w:val="num" w:pos="0"/>
        </w:tabs>
        <w:ind w:start="1440" w:hanging="1080"/>
      </w:pPr>
      <w:rPr/>
    </w:lvl>
    <w:lvl w:ilvl="6">
      <w:start w:val="1"/>
      <w:isLgl/>
      <w:numFmt w:val="decimal"/>
      <w:lvlText w:val="%1.%2.%3.%4.%5.%6.%7."/>
      <w:lvlJc w:val="start"/>
      <w:pPr>
        <w:tabs>
          <w:tab w:val="num" w:pos="0"/>
        </w:tabs>
        <w:ind w:start="1800" w:hanging="1440"/>
      </w:pPr>
      <w:rPr/>
    </w:lvl>
    <w:lvl w:ilvl="7">
      <w:start w:val="1"/>
      <w:isLgl/>
      <w:numFmt w:val="decimal"/>
      <w:lvlText w:val="%1.%2.%3.%4.%5.%6.%7.%8."/>
      <w:lvlJc w:val="start"/>
      <w:pPr>
        <w:tabs>
          <w:tab w:val="num" w:pos="0"/>
        </w:tabs>
        <w:ind w:start="1800" w:hanging="1440"/>
      </w:pPr>
      <w:rPr/>
    </w:lvl>
    <w:lvl w:ilvl="8">
      <w:start w:val="1"/>
      <w:isLgl/>
      <w:numFmt w:val="decimal"/>
      <w:lvlText w:val="%1.%2.%3.%4.%5.%6.%7.%8.%9."/>
      <w:lvlJc w:val="start"/>
      <w:pPr>
        <w:tabs>
          <w:tab w:val="num" w:pos="0"/>
        </w:tabs>
        <w:ind w:start="2160" w:hanging="1800"/>
      </w:pPr>
      <w:rPr/>
    </w:lvl>
  </w:abstractNum>
  <w:abstractNum w:abstractNumId="5">
    <w:lvl w:ilvl="0">
      <w:start w:val="1"/>
      <w:numFmt w:val="bullet"/>
      <w:lvlText w:val=""/>
      <w:lvlJc w:val="start"/>
      <w:pPr>
        <w:tabs>
          <w:tab w:val="num" w:pos="0"/>
        </w:tabs>
        <w:ind w:start="1287" w:hanging="360"/>
      </w:pPr>
      <w:rPr>
        <w:rFonts w:ascii="Wingdings" w:hAnsi="Wingdings" w:cs="Wingdings" w:hint="default"/>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00"/>
  <w:defaultTabStop w:val="708"/>
  <w:autoHyphenation w:val="true"/>
  <w:footnotePr>
    <w:numFmt w:val="decimal"/>
    <w:footnote w:id="0"/>
    <w:footnote w:id="1"/>
  </w:footnotePr>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FreeSans"/>
        <w:sz w:val="24"/>
        <w:szCs w:val="24"/>
        <w:lang w:val="en-US" w:eastAsia="zh-CN" w:bidi="hi-IN"/>
      </w:rPr>
    </w:rPrDefault>
    <w:pPrDefault>
      <w:pPr>
        <w:suppressAutoHyphens w:val="true"/>
      </w:pPr>
    </w:pPrDefault>
  </w:docDefaults>
  <w:style w:type="paragraph" w:styleId="Normal">
    <w:name w:val="Normal"/>
    <w:qFormat/>
    <w:pPr>
      <w:widowControl/>
      <w:bidi w:val="0"/>
      <w:spacing w:lineRule="auto" w:line="256" w:before="0" w:after="160"/>
    </w:pPr>
    <w:rPr>
      <w:rFonts w:ascii="Calibri" w:hAnsi="Calibri" w:eastAsia="Calibri" w:cs="Times New Roman"/>
      <w:color w:val="auto"/>
      <w:sz w:val="22"/>
      <w:szCs w:val="22"/>
      <w:lang w:val="es-ES" w:bidi="ar-SA" w:eastAsia="zh-CN"/>
    </w:rPr>
  </w:style>
  <w:style w:type="paragraph" w:styleId="Heading1">
    <w:name w:val="Heading 1"/>
    <w:basedOn w:val="Normal"/>
    <w:next w:val="Normal"/>
    <w:qFormat/>
    <w:pPr>
      <w:keepNext w:val="true"/>
      <w:keepLines/>
      <w:numPr>
        <w:ilvl w:val="0"/>
        <w:numId w:val="2"/>
      </w:numPr>
      <w:spacing w:before="240" w:after="0"/>
      <w:outlineLvl w:val="0"/>
    </w:pPr>
    <w:rPr>
      <w:rFonts w:ascii="Calibri Light" w:hAnsi="Calibri Light" w:eastAsia="MS Gothic;ＭＳ ゴシック" w:cs="Times New Roman"/>
      <w:color w:val="2E74B5"/>
      <w:sz w:val="32"/>
      <w:szCs w:val="32"/>
    </w:rPr>
  </w:style>
  <w:style w:type="paragraph" w:styleId="Heading2">
    <w:name w:val="Heading 2"/>
    <w:basedOn w:val="Normal"/>
    <w:next w:val="Normal"/>
    <w:qFormat/>
    <w:pPr>
      <w:keepNext w:val="true"/>
      <w:keepLines/>
      <w:numPr>
        <w:ilvl w:val="1"/>
        <w:numId w:val="1"/>
      </w:numPr>
      <w:spacing w:before="40" w:after="0"/>
      <w:outlineLvl w:val="1"/>
    </w:pPr>
    <w:rPr>
      <w:rFonts w:ascii="Calibri Light" w:hAnsi="Calibri Light" w:eastAsia="MS Gothic;ＭＳ ゴシック" w:cs="Times New Roman"/>
      <w:color w:val="2E74B5"/>
      <w:sz w:val="26"/>
      <w:szCs w:val="26"/>
    </w:rPr>
  </w:style>
  <w:style w:type="paragraph" w:styleId="Heading3">
    <w:name w:val="Heading 3"/>
    <w:basedOn w:val="Normal"/>
    <w:next w:val="Normal"/>
    <w:qFormat/>
    <w:pPr>
      <w:keepNext w:val="true"/>
      <w:keepLines/>
      <w:numPr>
        <w:ilvl w:val="0"/>
        <w:numId w:val="2"/>
      </w:numPr>
      <w:spacing w:before="40" w:after="0"/>
      <w:outlineLvl w:val="2"/>
    </w:pPr>
    <w:rPr>
      <w:rFonts w:ascii="Calibri Light" w:hAnsi="Calibri Light" w:eastAsia="MS Gothic;ＭＳ ゴシック" w:cs="Times New Roman"/>
      <w:color w:val="1F4D78"/>
      <w:sz w:val="24"/>
      <w:szCs w:val="24"/>
    </w:rPr>
  </w:style>
  <w:style w:type="paragraph" w:styleId="Heading4">
    <w:name w:val="Heading 4"/>
    <w:basedOn w:val="Normal"/>
    <w:next w:val="Normal"/>
    <w:qFormat/>
    <w:pPr>
      <w:keepNext w:val="true"/>
      <w:keepLines/>
      <w:numPr>
        <w:ilvl w:val="0"/>
        <w:numId w:val="2"/>
      </w:numPr>
      <w:spacing w:before="200" w:after="0"/>
      <w:outlineLvl w:val="3"/>
    </w:pPr>
    <w:rPr>
      <w:rFonts w:ascii="Calibri Light" w:hAnsi="Calibri Light" w:eastAsia="MS Gothic;ＭＳ ゴシック" w:cs="Times New Roman"/>
      <w:b/>
      <w:bCs/>
      <w:i/>
      <w:iCs/>
      <w:color w:val="5B9BD5"/>
    </w:rPr>
  </w:style>
  <w:style w:type="paragraph" w:styleId="Heading5">
    <w:name w:val="Heading 5"/>
    <w:basedOn w:val="Normal"/>
    <w:next w:val="Normal"/>
    <w:qFormat/>
    <w:pPr>
      <w:keepNext w:val="true"/>
      <w:keepLines/>
      <w:numPr>
        <w:ilvl w:val="0"/>
        <w:numId w:val="2"/>
      </w:numPr>
      <w:spacing w:before="200" w:after="0"/>
      <w:outlineLvl w:val="4"/>
    </w:pPr>
    <w:rPr>
      <w:rFonts w:ascii="Calibri Light" w:hAnsi="Calibri Light" w:eastAsia="MS Gothic;ＭＳ ゴシック" w:cs="Times New Roman"/>
      <w:color w:val="1F4D78"/>
    </w:rPr>
  </w:style>
  <w:style w:type="paragraph" w:styleId="Heading6">
    <w:name w:val="Heading 6"/>
    <w:basedOn w:val="Normal"/>
    <w:next w:val="Normal"/>
    <w:qFormat/>
    <w:pPr>
      <w:keepNext w:val="true"/>
      <w:keepLines/>
      <w:numPr>
        <w:ilvl w:val="0"/>
        <w:numId w:val="2"/>
      </w:numPr>
      <w:spacing w:before="200" w:after="0"/>
      <w:outlineLvl w:val="5"/>
    </w:pPr>
    <w:rPr>
      <w:rFonts w:ascii="Calibri Light" w:hAnsi="Calibri Light" w:eastAsia="MS Gothic;ＭＳ ゴシック" w:cs="Times New Roman"/>
      <w:i/>
      <w:iCs/>
      <w:color w:val="1F4D78"/>
    </w:rPr>
  </w:style>
  <w:style w:type="paragraph" w:styleId="Heading7">
    <w:name w:val="Heading 7"/>
    <w:basedOn w:val="Normal"/>
    <w:next w:val="Normal"/>
    <w:qFormat/>
    <w:pPr>
      <w:keepNext w:val="true"/>
      <w:keepLines/>
      <w:numPr>
        <w:ilvl w:val="0"/>
        <w:numId w:val="2"/>
      </w:numPr>
      <w:spacing w:before="200" w:after="0"/>
      <w:outlineLvl w:val="6"/>
    </w:pPr>
    <w:rPr>
      <w:rFonts w:ascii="Calibri Light" w:hAnsi="Calibri Light" w:eastAsia="MS Gothic;ＭＳ ゴシック" w:cs="Times New Roman"/>
      <w:i/>
      <w:iCs/>
      <w:color w:val="404040"/>
    </w:rPr>
  </w:style>
  <w:style w:type="paragraph" w:styleId="Heading8">
    <w:name w:val="Heading 8"/>
    <w:basedOn w:val="Normal"/>
    <w:next w:val="Normal"/>
    <w:qFormat/>
    <w:pPr>
      <w:keepNext w:val="true"/>
      <w:keepLines/>
      <w:numPr>
        <w:ilvl w:val="0"/>
        <w:numId w:val="2"/>
      </w:numPr>
      <w:spacing w:before="200" w:after="0"/>
      <w:outlineLvl w:val="7"/>
    </w:pPr>
    <w:rPr>
      <w:rFonts w:ascii="Calibri Light" w:hAnsi="Calibri Light" w:eastAsia="MS Gothic;ＭＳ ゴシック" w:cs="Times New Roman"/>
      <w:color w:val="404040"/>
      <w:sz w:val="20"/>
      <w:szCs w:val="20"/>
    </w:rPr>
  </w:style>
  <w:style w:type="paragraph" w:styleId="Heading9">
    <w:name w:val="Heading 9"/>
    <w:basedOn w:val="Normal"/>
    <w:next w:val="Normal"/>
    <w:qFormat/>
    <w:pPr>
      <w:keepNext w:val="true"/>
      <w:keepLines/>
      <w:numPr>
        <w:ilvl w:val="0"/>
        <w:numId w:val="2"/>
      </w:numPr>
      <w:spacing w:before="200" w:after="0"/>
      <w:outlineLvl w:val="8"/>
    </w:pPr>
    <w:rPr>
      <w:rFonts w:ascii="Calibri Light" w:hAnsi="Calibri Light" w:eastAsia="MS Gothic;ＭＳ ゴシック" w:cs="Times New Roman"/>
      <w:i/>
      <w:iCs/>
      <w:color w:val="404040"/>
      <w:sz w:val="20"/>
      <w:szCs w:val="20"/>
    </w:rPr>
  </w:style>
  <w:style w:type="character" w:styleId="WW8Num1z0">
    <w:name w:val="WW8Num1z0"/>
    <w:qFormat/>
    <w:rPr>
      <w:rFonts w:ascii="Symbol" w:hAnsi="Symbol" w:cs="Symbol"/>
    </w:rPr>
  </w:style>
  <w:style w:type="character" w:styleId="WW8Num1z2">
    <w:name w:val="WW8Num1z2"/>
    <w:qFormat/>
    <w:rPr>
      <w:rFonts w:ascii="Courier New" w:hAnsi="Courier New" w:cs="Courier New"/>
    </w:rPr>
  </w:style>
  <w:style w:type="character" w:styleId="WW8Num1z3">
    <w:name w:val="WW8Num1z3"/>
    <w:qFormat/>
    <w:rPr>
      <w:rFonts w:ascii="Wingdings" w:hAnsi="Wingdings" w:cs="Wingdings"/>
    </w:rPr>
  </w:style>
  <w:style w:type="character" w:styleId="WW8Num2z0">
    <w:name w:val="WW8Num2z0"/>
    <w:qFormat/>
    <w:rPr/>
  </w:style>
  <w:style w:type="character" w:styleId="WW8Num3z0">
    <w:name w:val="WW8Num3z0"/>
    <w:qFormat/>
    <w:rPr>
      <w:rFonts w:ascii="Calibri" w:hAnsi="Calibri" w:eastAsia="Calibri" w:cs="Times New Roman"/>
    </w:rPr>
  </w:style>
  <w:style w:type="character" w:styleId="WW8Num3z1">
    <w:name w:val="WW8Num3z1"/>
    <w:qFormat/>
    <w:rPr>
      <w:rFonts w:ascii="Courier New" w:hAnsi="Courier New" w:cs="Courier New"/>
    </w:rPr>
  </w:style>
  <w:style w:type="character" w:styleId="WW8Num3z2">
    <w:name w:val="WW8Num3z2"/>
    <w:qFormat/>
    <w:rPr>
      <w:rFonts w:ascii="Wingdings" w:hAnsi="Wingdings" w:cs="Wingdings"/>
    </w:rPr>
  </w:style>
  <w:style w:type="character" w:styleId="WW8Num3z3">
    <w:name w:val="WW8Num3z3"/>
    <w:qFormat/>
    <w:rPr>
      <w:rFonts w:ascii="Symbol" w:hAnsi="Symbol" w:cs="Symbol"/>
    </w:rPr>
  </w:style>
  <w:style w:type="character" w:styleId="WW8Num4z0">
    <w:name w:val="WW8Num4z0"/>
    <w:qFormat/>
    <w:rPr>
      <w:rFonts w:ascii="Symbol" w:hAnsi="Symbol" w:cs="Symbol"/>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WW8Num5z1">
    <w:name w:val="WW8Num5z1"/>
    <w:qFormat/>
    <w:rPr/>
  </w:style>
  <w:style w:type="character" w:styleId="WW8Num6z0">
    <w:name w:val="WW8Num6z0"/>
    <w:qFormat/>
    <w:rPr/>
  </w:style>
  <w:style w:type="character" w:styleId="WW8Num8z0">
    <w:name w:val="WW8Num8z0"/>
    <w:qFormat/>
    <w:rPr/>
  </w:style>
  <w:style w:type="character" w:styleId="WW8Num10z1">
    <w:name w:val="WW8Num10z1"/>
    <w:qFormat/>
    <w:rPr/>
  </w:style>
  <w:style w:type="character" w:styleId="WW8Num11z0">
    <w:name w:val="WW8Num11z0"/>
    <w:qFormat/>
    <w:rPr>
      <w:rFonts w:ascii="Wingdings" w:hAnsi="Wingdings" w:cs="Wingdings"/>
    </w:rPr>
  </w:style>
  <w:style w:type="character" w:styleId="WW8Num11z1">
    <w:name w:val="WW8Num11z1"/>
    <w:qFormat/>
    <w:rPr>
      <w:rFonts w:ascii="Courier New" w:hAnsi="Courier New" w:cs="Courier New"/>
    </w:rPr>
  </w:style>
  <w:style w:type="character" w:styleId="WW8Num11z3">
    <w:name w:val="WW8Num11z3"/>
    <w:qFormat/>
    <w:rPr>
      <w:rFonts w:ascii="Symbol" w:hAnsi="Symbol" w:cs="Symbol"/>
    </w:rPr>
  </w:style>
  <w:style w:type="character" w:styleId="WW8Num12z0">
    <w:name w:val="WW8Num12z0"/>
    <w:qFormat/>
    <w:rPr>
      <w:rFonts w:ascii="Calibri" w:hAnsi="Calibri" w:eastAsia="Calibri" w:cs="Times New Roman"/>
    </w:rPr>
  </w:style>
  <w:style w:type="character" w:styleId="WW8Num12z1">
    <w:name w:val="WW8Num12z1"/>
    <w:qFormat/>
    <w:rPr>
      <w:rFonts w:ascii="Courier New" w:hAnsi="Courier New" w:cs="Courier New"/>
    </w:rPr>
  </w:style>
  <w:style w:type="character" w:styleId="WW8Num12z2">
    <w:name w:val="WW8Num12z2"/>
    <w:qFormat/>
    <w:rPr>
      <w:rFonts w:ascii="Wingdings" w:hAnsi="Wingdings" w:cs="Wingdings"/>
    </w:rPr>
  </w:style>
  <w:style w:type="character" w:styleId="WW8Num12z3">
    <w:name w:val="WW8Num12z3"/>
    <w:qFormat/>
    <w:rPr>
      <w:rFonts w:ascii="Symbol" w:hAnsi="Symbol" w:cs="Symbol"/>
    </w:rPr>
  </w:style>
  <w:style w:type="character" w:styleId="WW8Num14z0">
    <w:name w:val="WW8Num14z0"/>
    <w:qFormat/>
    <w:rPr>
      <w:rFonts w:ascii="Wingdings" w:hAnsi="Wingdings" w:cs="Wingdings"/>
    </w:rPr>
  </w:style>
  <w:style w:type="character" w:styleId="WW8Num14z1">
    <w:name w:val="WW8Num14z1"/>
    <w:qFormat/>
    <w:rPr>
      <w:rFonts w:ascii="Courier New" w:hAnsi="Courier New" w:cs="Courier New"/>
    </w:rPr>
  </w:style>
  <w:style w:type="character" w:styleId="WW8Num14z3">
    <w:name w:val="WW8Num14z3"/>
    <w:qFormat/>
    <w:rPr>
      <w:rFonts w:ascii="Symbol" w:hAnsi="Symbol" w:cs="Symbol"/>
    </w:rPr>
  </w:style>
  <w:style w:type="character" w:styleId="WW8Num15z0">
    <w:name w:val="WW8Num15z0"/>
    <w:qFormat/>
    <w:rPr/>
  </w:style>
  <w:style w:type="character" w:styleId="WW8Num16z0">
    <w:name w:val="WW8Num16z0"/>
    <w:qFormat/>
    <w:rPr>
      <w:rFonts w:ascii="Symbol" w:hAnsi="Symbol" w:cs="Symbol"/>
    </w:rPr>
  </w:style>
  <w:style w:type="character" w:styleId="WW8Num16z1">
    <w:name w:val="WW8Num16z1"/>
    <w:qFormat/>
    <w:rPr>
      <w:rFonts w:ascii="Courier New" w:hAnsi="Courier New" w:cs="Courier New"/>
    </w:rPr>
  </w:style>
  <w:style w:type="character" w:styleId="WW8Num16z2">
    <w:name w:val="WW8Num16z2"/>
    <w:qFormat/>
    <w:rPr>
      <w:rFonts w:ascii="Wingdings" w:hAnsi="Wingdings" w:cs="Wingdings"/>
    </w:rPr>
  </w:style>
  <w:style w:type="character" w:styleId="WW8Num17z0">
    <w:name w:val="WW8Num17z0"/>
    <w:qFormat/>
    <w:rPr/>
  </w:style>
  <w:style w:type="character" w:styleId="WW8Num20z0">
    <w:name w:val="WW8Num20z0"/>
    <w:qFormat/>
    <w:rPr>
      <w:rFonts w:ascii="Wingdings" w:hAnsi="Wingdings" w:cs="Wingdings"/>
    </w:rPr>
  </w:style>
  <w:style w:type="character" w:styleId="WW8Num20z1">
    <w:name w:val="WW8Num20z1"/>
    <w:qFormat/>
    <w:rPr>
      <w:rFonts w:ascii="Courier New" w:hAnsi="Courier New" w:cs="Courier New"/>
    </w:rPr>
  </w:style>
  <w:style w:type="character" w:styleId="WW8Num20z3">
    <w:name w:val="WW8Num20z3"/>
    <w:qFormat/>
    <w:rPr>
      <w:rFonts w:ascii="Symbol" w:hAnsi="Symbol" w:cs="Symbol"/>
    </w:rPr>
  </w:style>
  <w:style w:type="character" w:styleId="WW8Num21z0">
    <w:name w:val="WW8Num21z0"/>
    <w:qFormat/>
    <w:rPr/>
  </w:style>
  <w:style w:type="character" w:styleId="WW8Num22z0">
    <w:name w:val="WW8Num22z0"/>
    <w:qFormat/>
    <w:rPr/>
  </w:style>
  <w:style w:type="character" w:styleId="Fuentedeprrafopredeter">
    <w:name w:val="Fuente de párrafo predeter."/>
    <w:qFormat/>
    <w:rPr/>
  </w:style>
  <w:style w:type="character" w:styleId="UFVNormalCar">
    <w:name w:val="UFV_Normal Car"/>
    <w:qFormat/>
    <w:rPr>
      <w:rFonts w:ascii="Times New Roman" w:hAnsi="Times New Roman" w:cs="Times New Roman"/>
      <w:sz w:val="24"/>
      <w:szCs w:val="24"/>
    </w:rPr>
  </w:style>
  <w:style w:type="character" w:styleId="Ttulo1Car">
    <w:name w:val="Título 1 Car"/>
    <w:qFormat/>
    <w:rPr>
      <w:rFonts w:ascii="Calibri Light" w:hAnsi="Calibri Light" w:eastAsia="MS Gothic;ＭＳ ゴシック" w:cs="Times New Roman"/>
      <w:color w:val="2E74B5"/>
      <w:sz w:val="32"/>
      <w:szCs w:val="32"/>
    </w:rPr>
  </w:style>
  <w:style w:type="character" w:styleId="UFVEpgrafeNivel1Car">
    <w:name w:val="UFV_Epígrafe_Nivel_1 Car"/>
    <w:qFormat/>
    <w:rPr>
      <w:rFonts w:ascii="Times New Roman" w:hAnsi="Times New Roman" w:eastAsia="MS Gothic;ＭＳ ゴシック" w:cs="Times New Roman"/>
      <w:b/>
      <w:caps/>
      <w:sz w:val="24"/>
      <w:szCs w:val="32"/>
    </w:rPr>
  </w:style>
  <w:style w:type="character" w:styleId="TextodegloboCar">
    <w:name w:val="Texto de globo Car"/>
    <w:qFormat/>
    <w:rPr>
      <w:rFonts w:ascii="Segoe UI" w:hAnsi="Segoe UI" w:cs="Segoe UI"/>
      <w:sz w:val="18"/>
      <w:szCs w:val="18"/>
    </w:rPr>
  </w:style>
  <w:style w:type="character" w:styleId="Ttulo2Car">
    <w:name w:val="Título 2 Car"/>
    <w:qFormat/>
    <w:rPr>
      <w:rFonts w:ascii="Calibri Light" w:hAnsi="Calibri Light" w:eastAsia="MS Gothic;ＭＳ ゴシック" w:cs="Times New Roman"/>
      <w:color w:val="2E74B5"/>
      <w:sz w:val="26"/>
      <w:szCs w:val="26"/>
    </w:rPr>
  </w:style>
  <w:style w:type="character" w:styleId="UFVEpgrafeNivel2Car">
    <w:name w:val="UFV_Epígrafe_Nivel_2 Car"/>
    <w:qFormat/>
    <w:rPr>
      <w:rFonts w:ascii="Times New Roman" w:hAnsi="Times New Roman" w:eastAsia="MS Gothic;ＭＳ ゴシック" w:cs="Times New Roman"/>
      <w:b/>
      <w:sz w:val="24"/>
      <w:szCs w:val="26"/>
    </w:rPr>
  </w:style>
  <w:style w:type="character" w:styleId="Ttulo3Car">
    <w:name w:val="Título 3 Car"/>
    <w:qFormat/>
    <w:rPr>
      <w:rFonts w:ascii="Calibri Light" w:hAnsi="Calibri Light" w:eastAsia="MS Gothic;ＭＳ ゴシック" w:cs="Times New Roman"/>
      <w:color w:val="1F4D78"/>
      <w:sz w:val="24"/>
      <w:szCs w:val="24"/>
    </w:rPr>
  </w:style>
  <w:style w:type="character" w:styleId="UFVEpgrafeNivel3Car">
    <w:name w:val="UFV_Epígrafe_Nivel_3 Car"/>
    <w:qFormat/>
    <w:rPr>
      <w:rFonts w:ascii="Times New Roman" w:hAnsi="Times New Roman" w:eastAsia="MS Gothic;ＭＳ ゴシック" w:cs="Times New Roman"/>
      <w:b/>
      <w:i/>
      <w:sz w:val="24"/>
      <w:szCs w:val="24"/>
    </w:rPr>
  </w:style>
  <w:style w:type="character" w:styleId="TtuloCar">
    <w:name w:val="Título Car"/>
    <w:qFormat/>
    <w:rPr>
      <w:rFonts w:ascii="Calibri Light" w:hAnsi="Calibri Light" w:eastAsia="MS Gothic;ＭＳ ゴシック" w:cs="Times New Roman"/>
      <w:spacing w:val="-10"/>
      <w:kern w:val="2"/>
      <w:sz w:val="56"/>
      <w:szCs w:val="56"/>
    </w:rPr>
  </w:style>
  <w:style w:type="character" w:styleId="UFVTtuloCar">
    <w:name w:val="UFV_Título Car"/>
    <w:qFormat/>
    <w:rPr>
      <w:rFonts w:ascii="Times New Roman" w:hAnsi="Times New Roman" w:eastAsia="MS Gothic;ＭＳ ゴシック" w:cs="Times New Roman"/>
      <w:b/>
      <w:caps/>
      <w:spacing w:val="-10"/>
      <w:kern w:val="2"/>
      <w:sz w:val="28"/>
      <w:szCs w:val="56"/>
    </w:rPr>
  </w:style>
  <w:style w:type="character" w:styleId="UFVAutorCar">
    <w:name w:val="UFV_Autor Car"/>
    <w:qFormat/>
    <w:rPr>
      <w:rFonts w:ascii="Times New Roman" w:hAnsi="Times New Roman" w:cs="Times New Roman"/>
      <w:b/>
      <w:sz w:val="24"/>
      <w:szCs w:val="24"/>
    </w:rPr>
  </w:style>
  <w:style w:type="character" w:styleId="Tablanormal3">
    <w:name w:val="Tabla normal 3"/>
    <w:qFormat/>
    <w:rPr>
      <w:i/>
      <w:iCs/>
      <w:color w:val="404040"/>
    </w:rPr>
  </w:style>
  <w:style w:type="character" w:styleId="Hyperlink">
    <w:name w:val="Hyperlink"/>
    <w:rPr>
      <w:color w:val="0563C1"/>
      <w:u w:val="single"/>
    </w:rPr>
  </w:style>
  <w:style w:type="character" w:styleId="TextonotapieCar">
    <w:name w:val="Texto nota pie Car"/>
    <w:qFormat/>
    <w:rPr>
      <w:sz w:val="20"/>
      <w:szCs w:val="20"/>
    </w:rPr>
  </w:style>
  <w:style w:type="character" w:styleId="FootnoteCharacters">
    <w:name w:val="Footnote Characters"/>
    <w:qFormat/>
    <w:rPr>
      <w:vertAlign w:val="superscript"/>
    </w:rPr>
  </w:style>
  <w:style w:type="character" w:styleId="UFVNotaalpieCar">
    <w:name w:val="UFV_Nota_al_pie Car"/>
    <w:qFormat/>
    <w:rPr>
      <w:rFonts w:ascii="Times New Roman" w:hAnsi="Times New Roman" w:cs="Times New Roman"/>
      <w:sz w:val="20"/>
      <w:szCs w:val="20"/>
    </w:rPr>
  </w:style>
  <w:style w:type="character" w:styleId="EncabezadoCar">
    <w:name w:val="Encabezado Car"/>
    <w:basedOn w:val="Fuentedeprrafopredeter"/>
    <w:qFormat/>
    <w:rPr/>
  </w:style>
  <w:style w:type="character" w:styleId="PiedepginaCar">
    <w:name w:val="Pie de página Car"/>
    <w:basedOn w:val="Fuentedeprrafopredeter"/>
    <w:qFormat/>
    <w:rPr/>
  </w:style>
  <w:style w:type="character" w:styleId="Ttulo4Car">
    <w:name w:val="Título 4 Car"/>
    <w:qFormat/>
    <w:rPr>
      <w:rFonts w:ascii="Calibri Light" w:hAnsi="Calibri Light" w:eastAsia="MS Gothic;ＭＳ ゴシック" w:cs="Times New Roman"/>
      <w:b/>
      <w:bCs/>
      <w:i/>
      <w:iCs/>
      <w:color w:val="5B9BD5"/>
    </w:rPr>
  </w:style>
  <w:style w:type="character" w:styleId="Ttulo5Car">
    <w:name w:val="Título 5 Car"/>
    <w:qFormat/>
    <w:rPr>
      <w:rFonts w:ascii="Calibri Light" w:hAnsi="Calibri Light" w:eastAsia="MS Gothic;ＭＳ ゴシック" w:cs="Times New Roman"/>
      <w:color w:val="1F4D78"/>
    </w:rPr>
  </w:style>
  <w:style w:type="character" w:styleId="Ttulo6Car">
    <w:name w:val="Título 6 Car"/>
    <w:qFormat/>
    <w:rPr>
      <w:rFonts w:ascii="Calibri Light" w:hAnsi="Calibri Light" w:eastAsia="MS Gothic;ＭＳ ゴシック" w:cs="Times New Roman"/>
      <w:i/>
      <w:iCs/>
      <w:color w:val="1F4D78"/>
    </w:rPr>
  </w:style>
  <w:style w:type="character" w:styleId="Ttulo7Car">
    <w:name w:val="Título 7 Car"/>
    <w:qFormat/>
    <w:rPr>
      <w:rFonts w:ascii="Calibri Light" w:hAnsi="Calibri Light" w:eastAsia="MS Gothic;ＭＳ ゴシック" w:cs="Times New Roman"/>
      <w:i/>
      <w:iCs/>
      <w:color w:val="404040"/>
    </w:rPr>
  </w:style>
  <w:style w:type="character" w:styleId="Ttulo8Car">
    <w:name w:val="Título 8 Car"/>
    <w:qFormat/>
    <w:rPr>
      <w:rFonts w:ascii="Calibri Light" w:hAnsi="Calibri Light" w:eastAsia="MS Gothic;ＭＳ ゴシック" w:cs="Times New Roman"/>
      <w:color w:val="404040"/>
      <w:sz w:val="20"/>
      <w:szCs w:val="20"/>
    </w:rPr>
  </w:style>
  <w:style w:type="character" w:styleId="Ttulo9Car">
    <w:name w:val="Título 9 Car"/>
    <w:qFormat/>
    <w:rPr>
      <w:rFonts w:ascii="Calibri Light" w:hAnsi="Calibri Light" w:eastAsia="MS Gothic;ＭＳ ゴシック" w:cs="Times New Roman"/>
      <w:i/>
      <w:iCs/>
      <w:color w:val="404040"/>
      <w:sz w:val="20"/>
      <w:szCs w:val="20"/>
    </w:rPr>
  </w:style>
  <w:style w:type="character" w:styleId="UFVEncabezadoTablaCar">
    <w:name w:val="UFV_Encabezado_Tabla Car"/>
    <w:qFormat/>
    <w:rPr>
      <w:rFonts w:ascii="Times New Roman" w:hAnsi="Times New Roman" w:eastAsia="Cambria" w:cs="Times New Roman"/>
      <w:szCs w:val="24"/>
      <w:lang w:val="es-ES_tradnl"/>
    </w:rPr>
  </w:style>
  <w:style w:type="character" w:styleId="UFVTabladeContenidoCar">
    <w:name w:val="UFV_Tabla_de_Contenido Car"/>
    <w:qFormat/>
    <w:rPr>
      <w:rFonts w:ascii="Times New Roman" w:hAnsi="Times New Roman" w:cs="Times New Roman"/>
      <w:sz w:val="24"/>
      <w:lang w:val="en-US" w:eastAsia="en-US"/>
    </w:rPr>
  </w:style>
  <w:style w:type="character" w:styleId="UFVFiguraCar">
    <w:name w:val="UFV_Figura Car"/>
    <w:qFormat/>
    <w:rPr>
      <w:rFonts w:ascii="Times New Roman" w:hAnsi="Times New Roman" w:cs="Times New Roman"/>
    </w:rPr>
  </w:style>
  <w:style w:type="character" w:styleId="UFVCitasCar">
    <w:name w:val="UFV_Citas Car"/>
    <w:qFormat/>
    <w:rPr>
      <w:rFonts w:ascii="Times New Roman" w:hAnsi="Times New Roman" w:eastAsia="Cambria" w:cs="Times New Roman"/>
      <w:szCs w:val="24"/>
      <w:lang w:val="es-ES_tradnl"/>
    </w:rPr>
  </w:style>
  <w:style w:type="character" w:styleId="Refdecomentario">
    <w:name w:val="Ref. de comentario"/>
    <w:qFormat/>
    <w:rPr>
      <w:sz w:val="16"/>
      <w:szCs w:val="16"/>
    </w:rPr>
  </w:style>
  <w:style w:type="character" w:styleId="TextocomentarioCar">
    <w:name w:val="Texto comentario Car"/>
    <w:qFormat/>
    <w:rPr>
      <w:sz w:val="20"/>
      <w:szCs w:val="20"/>
    </w:rPr>
  </w:style>
  <w:style w:type="character" w:styleId="AsuntodelcomentarioCar">
    <w:name w:val="Asunto del comentario Car"/>
    <w:qFormat/>
    <w:rPr>
      <w:b/>
      <w:bCs/>
      <w:sz w:val="20"/>
      <w:szCs w:val="20"/>
    </w:rPr>
  </w:style>
  <w:style w:type="character" w:styleId="PageNumber">
    <w:name w:val="Page Number"/>
    <w:basedOn w:val="Fuentedeprrafopredeter"/>
    <w:rPr/>
  </w:style>
  <w:style w:type="character" w:styleId="FACEDUNotadetablaCar">
    <w:name w:val="FACEDU_Nota_de_tabla Car"/>
    <w:qFormat/>
    <w:rPr>
      <w:rFonts w:ascii="Times New Roman" w:hAnsi="Times New Roman" w:cs="Times New Roman"/>
      <w:sz w:val="20"/>
      <w:szCs w:val="20"/>
    </w:rPr>
  </w:style>
  <w:style w:type="character" w:styleId="FollowedHyperlink">
    <w:name w:val="FollowedHyperlink"/>
    <w:rPr>
      <w:color w:val="954F72"/>
      <w:u w:val="single"/>
    </w:rPr>
  </w:style>
  <w:style w:type="character" w:styleId="Mencinsinresolver">
    <w:name w:val="Mención sin resolver"/>
    <w:qFormat/>
    <w:rPr>
      <w:color w:val="605E5C"/>
      <w:shd w:fill="E1DFDD" w:val="clear"/>
    </w:rPr>
  </w:style>
  <w:style w:type="character" w:styleId="IndexLink">
    <w:name w:val="Index Link"/>
    <w:qFormat/>
    <w:rPr/>
  </w:style>
  <w:style w:type="character" w:styleId="FootnoteReference">
    <w:name w:val="Footnote Reference"/>
    <w:rPr>
      <w:vertAlign w:val="superscript"/>
    </w:rPr>
  </w:style>
  <w:style w:type="character" w:styleId="EndnoteReference">
    <w:name w:val="Endnote Reference"/>
    <w:rPr>
      <w:vertAlign w:val="superscript"/>
    </w:rPr>
  </w:style>
  <w:style w:type="character" w:styleId="EndnoteCharacters">
    <w:name w:val="Endnote Characters"/>
    <w:qFormat/>
    <w:rPr/>
  </w:style>
  <w:style w:type="paragraph" w:styleId="Heading">
    <w:name w:val="Heading"/>
    <w:basedOn w:val="Normal"/>
    <w:next w:val="Normal"/>
    <w:qFormat/>
    <w:pPr>
      <w:spacing w:lineRule="auto" w:line="240" w:before="0" w:after="0"/>
      <w:contextualSpacing/>
    </w:pPr>
    <w:rPr>
      <w:rFonts w:ascii="Calibri Light" w:hAnsi="Calibri Light" w:eastAsia="MS Gothic;ＭＳ ゴシック" w:cs="Times New Roman"/>
      <w:spacing w:val="-10"/>
      <w:kern w:val="2"/>
      <w:sz w:val="56"/>
      <w:szCs w:val="56"/>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Listavistosa-nfasis1">
    <w:name w:val="Lista vistosa - Énfasis 1"/>
    <w:basedOn w:val="Normal"/>
    <w:qFormat/>
    <w:pPr>
      <w:spacing w:before="0" w:after="160"/>
      <w:ind w:hanging="0" w:start="720" w:end="0"/>
      <w:contextualSpacing/>
    </w:pPr>
    <w:rPr/>
  </w:style>
  <w:style w:type="paragraph" w:styleId="UFVNormal">
    <w:name w:val="UFV_Normal"/>
    <w:basedOn w:val="Normal"/>
    <w:qFormat/>
    <w:pPr>
      <w:spacing w:lineRule="auto" w:line="360" w:before="120" w:after="120"/>
      <w:ind w:firstLine="709" w:start="0" w:end="0"/>
      <w:jc w:val="both"/>
    </w:pPr>
    <w:rPr>
      <w:rFonts w:ascii="Times New Roman" w:hAnsi="Times New Roman" w:cs="Times New Roman"/>
      <w:sz w:val="24"/>
      <w:szCs w:val="24"/>
    </w:rPr>
  </w:style>
  <w:style w:type="paragraph" w:styleId="UFVEpgrafeNivel1">
    <w:name w:val="UFV_Epígrafe_Nivel_1"/>
    <w:basedOn w:val="Heading1"/>
    <w:qFormat/>
    <w:pPr>
      <w:keepNext w:val="false"/>
      <w:keepLines w:val="false"/>
      <w:numPr>
        <w:ilvl w:val="0"/>
        <w:numId w:val="4"/>
      </w:numPr>
      <w:spacing w:lineRule="auto" w:line="360" w:before="120" w:after="120"/>
    </w:pPr>
    <w:rPr>
      <w:rFonts w:ascii="Times New Roman" w:hAnsi="Times New Roman" w:cs="Times New Roman"/>
      <w:b/>
      <w:caps/>
      <w:color w:val="000000"/>
      <w:sz w:val="24"/>
    </w:rPr>
  </w:style>
  <w:style w:type="paragraph" w:styleId="Textodeglobo">
    <w:name w:val="Texto de globo"/>
    <w:basedOn w:val="Normal"/>
    <w:qFormat/>
    <w:pPr>
      <w:spacing w:lineRule="auto" w:line="240" w:before="0" w:after="0"/>
    </w:pPr>
    <w:rPr>
      <w:rFonts w:ascii="Segoe UI" w:hAnsi="Segoe UI" w:cs="Segoe UI"/>
      <w:sz w:val="18"/>
      <w:szCs w:val="18"/>
    </w:rPr>
  </w:style>
  <w:style w:type="paragraph" w:styleId="UFVEpgrafeNivel2">
    <w:name w:val="UFV_Epígrafe_Nivel_2"/>
    <w:basedOn w:val="Heading2"/>
    <w:qFormat/>
    <w:pPr>
      <w:keepNext w:val="false"/>
      <w:keepLines w:val="false"/>
      <w:numPr>
        <w:ilvl w:val="0"/>
        <w:numId w:val="4"/>
      </w:numPr>
      <w:tabs>
        <w:tab w:val="clear" w:pos="708"/>
        <w:tab w:val="left" w:pos="284" w:leader="none"/>
      </w:tabs>
      <w:spacing w:lineRule="auto" w:line="360" w:before="120" w:after="120"/>
      <w:ind w:hanging="357" w:start="714" w:end="0"/>
      <w:jc w:val="both"/>
      <w:outlineLvl w:val="9"/>
    </w:pPr>
    <w:rPr>
      <w:rFonts w:ascii="Times New Roman" w:hAnsi="Times New Roman" w:cs="Times New Roman"/>
      <w:b/>
      <w:color w:val="000000"/>
      <w:sz w:val="24"/>
    </w:rPr>
  </w:style>
  <w:style w:type="paragraph" w:styleId="UFVEpgrafeNivel3">
    <w:name w:val="UFV_Epígrafe_Nivel_3"/>
    <w:basedOn w:val="Heading3"/>
    <w:qFormat/>
    <w:pPr>
      <w:numPr>
        <w:ilvl w:val="0"/>
        <w:numId w:val="0"/>
      </w:numPr>
      <w:spacing w:lineRule="auto" w:line="360" w:before="120" w:after="120"/>
      <w:ind w:hanging="357" w:start="714" w:end="0"/>
      <w:jc w:val="both"/>
    </w:pPr>
    <w:rPr>
      <w:rFonts w:ascii="Times New Roman" w:hAnsi="Times New Roman" w:cs="Times New Roman"/>
      <w:b/>
      <w:i/>
      <w:color w:val="000000"/>
    </w:rPr>
  </w:style>
  <w:style w:type="paragraph" w:styleId="Estilo1">
    <w:name w:val="Estilo1"/>
    <w:basedOn w:val="UFVEpgrafeNivel1"/>
    <w:qFormat/>
    <w:pPr>
      <w:numPr>
        <w:ilvl w:val="0"/>
        <w:numId w:val="4"/>
      </w:numPr>
    </w:pPr>
    <w:rPr/>
  </w:style>
  <w:style w:type="paragraph" w:styleId="UFVTtulo">
    <w:name w:val="UFV_Título"/>
    <w:basedOn w:val="Heading"/>
    <w:next w:val="UFVNormal"/>
    <w:qFormat/>
    <w:pPr>
      <w:spacing w:lineRule="auto" w:line="360" w:before="120" w:after="120"/>
      <w:contextualSpacing/>
      <w:jc w:val="center"/>
    </w:pPr>
    <w:rPr>
      <w:rFonts w:ascii="Times New Roman" w:hAnsi="Times New Roman" w:cs="Times New Roman"/>
      <w:b/>
      <w:caps/>
      <w:sz w:val="28"/>
    </w:rPr>
  </w:style>
  <w:style w:type="paragraph" w:styleId="UFVAutor">
    <w:name w:val="UFV_Autor"/>
    <w:basedOn w:val="UFVNormal"/>
    <w:next w:val="UFVEpgrafeNivel1"/>
    <w:qFormat/>
    <w:pPr>
      <w:spacing w:lineRule="auto" w:line="240"/>
      <w:jc w:val="end"/>
    </w:pPr>
    <w:rPr>
      <w:b/>
    </w:rPr>
  </w:style>
  <w:style w:type="paragraph" w:styleId="Encabezadodetabladecontenido">
    <w:name w:val="Encabezado de tabla de contenido"/>
    <w:basedOn w:val="Heading1"/>
    <w:next w:val="Normal"/>
    <w:qFormat/>
    <w:pPr>
      <w:numPr>
        <w:ilvl w:val="0"/>
        <w:numId w:val="2"/>
      </w:numPr>
      <w:outlineLvl w:val="9"/>
    </w:pPr>
    <w:rPr/>
  </w:style>
  <w:style w:type="paragraph" w:styleId="UFVTabladeContenido">
    <w:name w:val="UFV_Tabla_de_Contenido"/>
    <w:basedOn w:val="Normal"/>
    <w:qFormat/>
    <w:pPr>
      <w:spacing w:lineRule="auto" w:line="240" w:before="120" w:after="0"/>
      <w:ind w:hanging="0" w:start="221" w:end="0"/>
      <w:jc w:val="both"/>
    </w:pPr>
    <w:rPr>
      <w:rFonts w:ascii="Times New Roman" w:hAnsi="Times New Roman" w:cs="Times New Roman"/>
      <w:sz w:val="24"/>
      <w:lang w:val="en-US" w:eastAsia="en-US"/>
    </w:rPr>
  </w:style>
  <w:style w:type="paragraph" w:styleId="FootnoteText">
    <w:name w:val="Footnote Text"/>
    <w:basedOn w:val="Normal"/>
    <w:pPr>
      <w:spacing w:lineRule="auto" w:line="240" w:before="0" w:after="0"/>
    </w:pPr>
    <w:rPr>
      <w:sz w:val="20"/>
      <w:szCs w:val="20"/>
    </w:rPr>
  </w:style>
  <w:style w:type="paragraph" w:styleId="UFVNotaalpie">
    <w:name w:val="UFV_Nota_al_pie"/>
    <w:basedOn w:val="FootnoteText"/>
    <w:qFormat/>
    <w:pPr>
      <w:jc w:val="both"/>
    </w:pPr>
    <w:rPr>
      <w:rFonts w:ascii="Times New Roman" w:hAnsi="Times New Roman" w:cs="Times New Roman"/>
    </w:rPr>
  </w:style>
  <w:style w:type="paragraph" w:styleId="UFVTabla">
    <w:name w:val="UFV_Tabla"/>
    <w:basedOn w:val="Normal"/>
    <w:next w:val="UFVNormal"/>
    <w:qFormat/>
    <w:pPr>
      <w:spacing w:lineRule="auto" w:line="240" w:before="0" w:after="0"/>
      <w:jc w:val="both"/>
    </w:pPr>
    <w:rPr>
      <w:rFonts w:ascii="Times New Roman" w:hAnsi="Times New Roman" w:eastAsia="Cambria" w:cs="Times New Roman"/>
      <w:sz w:val="24"/>
      <w:szCs w:val="24"/>
      <w:lang w:val="es-ES_tradnl"/>
    </w:rPr>
  </w:style>
  <w:style w:type="paragraph" w:styleId="UFVEncabezadoTabla">
    <w:name w:val="UFV_Encabezado_Tabla"/>
    <w:basedOn w:val="Normal"/>
    <w:qFormat/>
    <w:pPr>
      <w:keepNext w:val="true"/>
      <w:spacing w:lineRule="auto" w:line="240" w:before="120" w:after="120"/>
      <w:jc w:val="center"/>
    </w:pPr>
    <w:rPr>
      <w:rFonts w:ascii="Times New Roman" w:hAnsi="Times New Roman" w:eastAsia="Cambria" w:cs="Times New Roman"/>
      <w:szCs w:val="24"/>
      <w:lang w:val="es-ES_tradnl"/>
    </w:rPr>
  </w:style>
  <w:style w:type="paragraph" w:styleId="UFVFigura">
    <w:name w:val="UFV_Figura"/>
    <w:basedOn w:val="Normal"/>
    <w:next w:val="UFVNormal"/>
    <w:qFormat/>
    <w:pPr>
      <w:spacing w:lineRule="auto" w:line="240" w:before="0" w:after="120"/>
      <w:jc w:val="center"/>
    </w:pPr>
    <w:rPr>
      <w:rFonts w:ascii="Times New Roman" w:hAnsi="Times New Roman" w:cs="Times New Roman"/>
    </w:rPr>
  </w:style>
  <w:style w:type="paragraph" w:styleId="UFVReferencias">
    <w:name w:val="UFV_Referencias"/>
    <w:basedOn w:val="UFVNormal"/>
    <w:qFormat/>
    <w:pPr>
      <w:keepLines/>
      <w:spacing w:lineRule="auto" w:line="240" w:before="240" w:after="240"/>
      <w:ind w:hanging="357" w:start="357" w:end="0"/>
    </w:pPr>
    <w:rPr>
      <w:sz w:val="22"/>
    </w:rPr>
  </w:style>
  <w:style w:type="paragraph" w:styleId="HeaderandFooter">
    <w:name w:val="Header and Footer"/>
    <w:basedOn w:val="Normal"/>
    <w:qFormat/>
    <w:pPr>
      <w:suppressLineNumbers/>
      <w:tabs>
        <w:tab w:val="clear" w:pos="708"/>
        <w:tab w:val="center" w:pos="4819" w:leader="none"/>
        <w:tab w:val="right" w:pos="9638" w:leader="none"/>
      </w:tabs>
    </w:pPr>
    <w:rPr/>
  </w:style>
  <w:style w:type="paragraph" w:styleId="Header">
    <w:name w:val="Header"/>
    <w:basedOn w:val="Normal"/>
    <w:pPr>
      <w:spacing w:lineRule="auto" w:line="240" w:before="0" w:after="0"/>
    </w:pPr>
    <w:rPr/>
  </w:style>
  <w:style w:type="paragraph" w:styleId="Footer">
    <w:name w:val="Footer"/>
    <w:basedOn w:val="Normal"/>
    <w:pPr>
      <w:spacing w:lineRule="auto" w:line="240" w:before="0" w:after="0"/>
    </w:pPr>
    <w:rPr/>
  </w:style>
  <w:style w:type="paragraph" w:styleId="TOC1">
    <w:name w:val="TOC 1"/>
    <w:basedOn w:val="Normal"/>
    <w:next w:val="Normal"/>
    <w:pPr>
      <w:spacing w:before="0" w:after="100"/>
    </w:pPr>
    <w:rPr/>
  </w:style>
  <w:style w:type="paragraph" w:styleId="TOC2">
    <w:name w:val="TOC 2"/>
    <w:basedOn w:val="Normal"/>
    <w:next w:val="Normal"/>
    <w:pPr>
      <w:spacing w:before="0" w:after="100"/>
      <w:ind w:hanging="0" w:start="220" w:end="0"/>
    </w:pPr>
    <w:rPr/>
  </w:style>
  <w:style w:type="paragraph" w:styleId="UFVCitas">
    <w:name w:val="UFV_Citas"/>
    <w:next w:val="UFVNormal"/>
    <w:qFormat/>
    <w:pPr>
      <w:widowControl/>
      <w:bidi w:val="0"/>
      <w:spacing w:before="120" w:after="120"/>
      <w:ind w:hanging="0" w:start="709" w:end="0"/>
      <w:jc w:val="both"/>
    </w:pPr>
    <w:rPr>
      <w:rFonts w:ascii="Times New Roman" w:hAnsi="Times New Roman" w:eastAsia="Cambria" w:cs="Times New Roman"/>
      <w:color w:val="auto"/>
      <w:sz w:val="22"/>
      <w:szCs w:val="24"/>
      <w:lang w:val="es-ES_tradnl" w:bidi="ar-SA" w:eastAsia="zh-CN"/>
    </w:rPr>
  </w:style>
  <w:style w:type="paragraph" w:styleId="TOC3">
    <w:name w:val="TOC 3"/>
    <w:basedOn w:val="Normal"/>
    <w:next w:val="Normal"/>
    <w:pPr>
      <w:spacing w:before="0" w:after="100"/>
      <w:ind w:hanging="0" w:start="440" w:end="0"/>
    </w:pPr>
    <w:rPr/>
  </w:style>
  <w:style w:type="paragraph" w:styleId="Tabladecuadrcula2">
    <w:name w:val="Tabla de cuadrícula 2"/>
    <w:basedOn w:val="Normal"/>
    <w:next w:val="Normal"/>
    <w:qFormat/>
    <w:pPr/>
    <w:rPr/>
  </w:style>
  <w:style w:type="paragraph" w:styleId="Textocomentario">
    <w:name w:val="Texto comentario"/>
    <w:basedOn w:val="Normal"/>
    <w:qFormat/>
    <w:pPr>
      <w:spacing w:lineRule="auto" w:line="240"/>
    </w:pPr>
    <w:rPr>
      <w:sz w:val="20"/>
      <w:szCs w:val="20"/>
    </w:rPr>
  </w:style>
  <w:style w:type="paragraph" w:styleId="Asuntodelcomentario">
    <w:name w:val="Asunto del comentario"/>
    <w:basedOn w:val="Textocomentario"/>
    <w:next w:val="Textocomentario"/>
    <w:qFormat/>
    <w:pPr/>
    <w:rPr>
      <w:b/>
      <w:bCs/>
    </w:rPr>
  </w:style>
  <w:style w:type="paragraph" w:styleId="Descripcin">
    <w:name w:val="Descripción"/>
    <w:basedOn w:val="Normal"/>
    <w:next w:val="Normal"/>
    <w:qFormat/>
    <w:pPr>
      <w:spacing w:lineRule="auto" w:line="240" w:before="0" w:after="200"/>
    </w:pPr>
    <w:rPr>
      <w:b/>
      <w:bCs/>
      <w:color w:val="5B9BD5"/>
      <w:sz w:val="18"/>
      <w:szCs w:val="18"/>
    </w:rPr>
  </w:style>
  <w:style w:type="paragraph" w:styleId="FACEDUNotadetabla">
    <w:name w:val="FACEDU_Nota_de_tabla"/>
    <w:basedOn w:val="UFVNotaalpie"/>
    <w:qFormat/>
    <w:pPr>
      <w:spacing w:before="120" w:after="120"/>
    </w:pPr>
    <w:rPr/>
  </w:style>
  <w:style w:type="paragraph" w:styleId="UFVResumen">
    <w:name w:val="UFV_Resumen"/>
    <w:basedOn w:val="UFVNormal"/>
    <w:qFormat/>
    <w:pPr/>
    <w:rPr/>
  </w:style>
  <w:style w:type="paragraph" w:styleId="NormalWeb">
    <w:name w:val="Normal (Web)"/>
    <w:basedOn w:val="Normal"/>
    <w:qFormat/>
    <w:pPr/>
    <w:rPr>
      <w:rFonts w:ascii="Times New Roman" w:hAnsi="Times New Roman" w:cs="Times New Roman"/>
      <w:sz w:val="24"/>
      <w:szCs w:val="24"/>
    </w:rPr>
  </w:style>
  <w:style w:type="paragraph" w:styleId="Sombreadovistoso-nfasis1">
    <w:name w:val="Sombreado vistoso - Énfasis 1"/>
    <w:qFormat/>
    <w:pPr>
      <w:widowControl/>
      <w:bidi w:val="0"/>
    </w:pPr>
    <w:rPr>
      <w:rFonts w:ascii="Calibri" w:hAnsi="Calibri" w:eastAsia="Calibri" w:cs="Times New Roman"/>
      <w:color w:val="auto"/>
      <w:sz w:val="22"/>
      <w:szCs w:val="22"/>
      <w:lang w:val="es-ES" w:bidi="ar-SA" w:eastAsia="zh-CN"/>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footer" Target="footer3.xml"/><Relationship Id="rId7" Type="http://schemas.openxmlformats.org/officeDocument/2006/relationships/hyperlink" Target="https://apastyle.apa.org/" TargetMode="External"/><Relationship Id="rId8" Type="http://schemas.openxmlformats.org/officeDocument/2006/relationships/image" Target="media/image3.png"/><Relationship Id="rId9" Type="http://schemas.openxmlformats.org/officeDocument/2006/relationships/image" Target="media/image4.jpeg"/><Relationship Id="rId10" Type="http://schemas.openxmlformats.org/officeDocument/2006/relationships/image" Target="media/image5.png"/><Relationship Id="rId11" Type="http://schemas.openxmlformats.org/officeDocument/2006/relationships/image" Target="media/image6.png"/><Relationship Id="rId12" Type="http://schemas.openxmlformats.org/officeDocument/2006/relationships/image" Target="media/image7.png"/><Relationship Id="rId13" Type="http://schemas.openxmlformats.org/officeDocument/2006/relationships/image" Target="media/image8.png"/><Relationship Id="rId14" Type="http://schemas.openxmlformats.org/officeDocument/2006/relationships/image" Target="media/image9.png"/><Relationship Id="rId15" Type="http://schemas.openxmlformats.org/officeDocument/2006/relationships/footer" Target="footer4.xml"/><Relationship Id="rId16" Type="http://schemas.openxmlformats.org/officeDocument/2006/relationships/footer" Target="footer5.xml"/><Relationship Id="rId17" Type="http://schemas.openxmlformats.org/officeDocument/2006/relationships/footnotes" Target="footnotes.xml"/><Relationship Id="rId18" Type="http://schemas.openxmlformats.org/officeDocument/2006/relationships/numbering" Target="numbering.xml"/><Relationship Id="rId19" Type="http://schemas.openxmlformats.org/officeDocument/2006/relationships/fontTable" Target="fontTable.xml"/><Relationship Id="rId20" Type="http://schemas.openxmlformats.org/officeDocument/2006/relationships/settings" Target="settings.xml"/><Relationship Id="rId21" Type="http://schemas.openxmlformats.org/officeDocument/2006/relationships/theme" Target="theme/theme1.xml"/><Relationship Id="rId22" Type="http://schemas.openxmlformats.org/officeDocument/2006/relationships/image" Target="media/image3.png"/><Relationship Id="rId23" Type="http://schemas.openxmlformats.org/officeDocument/2006/relationships/image" Target="media/image4.png"/><Relationship Id="rId24" Type="http://schemas.openxmlformats.org/officeDocument/2006/relationships/image" Target="media/image5.png"/><Relationship Id="rId25" Type="http://schemas.openxmlformats.org/officeDocument/2006/relationships/image" Target="media/image6.png"/><Relationship Id="rId26" Type="http://schemas.openxmlformats.org/officeDocument/2006/relationships/image" Target="media/image7.png"/><Relationship Id="rId27" Type="http://schemas.openxmlformats.org/officeDocument/2006/relationships/image" Target="media/image8.png"/><Relationship Id="rId28" Type="http://schemas.openxmlformats.org/officeDocument/2006/relationships/image" Target="media/image9.png"/><Relationship Id="rId29" Type="http://schemas.openxmlformats.org/officeDocument/2006/relationships/image" Target="media/image10.png"/><Relationship Id="rId30" Type="http://schemas.openxmlformats.org/officeDocument/2006/relationships/image" Target="media/image11.png"/></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144</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2024-09-11T08:15:00Z</dcterms:created>
  <dc:creator>usuario</dc:creator>
  <dc:description/>
  <cp:keywords/>
  <dc:language>en-US</dc:language>
  <cp:lastModifiedBy>Ana Lazcano de Rojas</cp:lastModifiedBy>
  <dcterms:modified xsi:type="dcterms:W3CDTF">2024-09-16T18:01:00Z</dcterms:modified>
  <cp:revision>24</cp:revision>
  <dc:subject/>
  <dc:title> </dc:title>
</cp:coreProperties>
</file>