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numPr>
          <w:ilvl w:val="0"/>
          <w:numId w:val="4"/>
        </w:numPr>
        <w:ind w:hanging="0" w:start="0"/>
        <w:rPr/>
      </w:pPr>
      <w:bookmarkStart w:id="3" w:name="__RefHeading___Toc177409324"/>
      <w:bookmarkEnd w:id="3"/>
      <w:r>
        <w:rPr/>
        <w:t>2. CUERPO DE LA MEMORIA</w:t>
      </w:r>
    </w:p>
    <w:p>
      <w:pPr>
        <w:pStyle w:val="UFVEpgrafeNivel2"/>
        <w:numPr>
          <w:ilvl w:val="1"/>
          <w:numId w:val="4"/>
        </w:numPr>
        <w:rPr/>
      </w:pPr>
      <w:bookmarkStart w:id="4" w:name="__RefHeading___Toc177409325"/>
      <w:bookmarkEnd w:id="4"/>
      <w:r>
        <w:rPr/>
        <w:t>2.1. 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2.2. 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2.3. 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2.4. Marco teórico</w:t>
      </w:r>
    </w:p>
    <w:p>
      <w:pPr>
        <w:pStyle w:val="UFVNormal"/>
        <w:rPr/>
      </w:pPr>
      <w:r>
        <w:rPr/>
        <w:t>[Marco teórico incluido en la sección 3.3 Análisis del dato]</w:t>
      </w:r>
    </w:p>
    <w:p>
      <w:pPr>
        <w:pStyle w:val="UFVEpgrafeNivel1"/>
        <w:numPr>
          <w:ilvl w:val="0"/>
          <w:numId w:val="4"/>
        </w:numPr>
        <w:ind w:hanging="0" w:start="0"/>
        <w:rPr/>
      </w:pPr>
      <w:bookmarkStart w:id="8" w:name="__RefHeading___Toc177409329"/>
      <w:bookmarkEnd w:id="8"/>
      <w:r>
        <w:rPr/>
        <w:t>3. TRABAJO TÉCNICO</w:t>
      </w:r>
    </w:p>
    <w:p>
      <w:pPr>
        <w:pStyle w:val="UFVEpgrafeNivel2"/>
        <w:numPr>
          <w:ilvl w:val="1"/>
          <w:numId w:val="4"/>
        </w:numPr>
        <w:rPr/>
      </w:pPr>
      <w:bookmarkStart w:id="9" w:name="__RefHeading___Toc177409330"/>
      <w:bookmarkEnd w:id="9"/>
      <w:r>
        <w:rPr/>
        <w:t>3.1. 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3.2. Ingeniería del dato</w:t>
      </w:r>
    </w:p>
    <w:p>
      <w:pPr>
        <w:pStyle w:val="UFVNormal"/>
        <w:rPr/>
      </w:pPr>
      <w:r>
        <w:rPr/>
      </w:r>
    </w:p>
    <w:p>
      <w:pPr>
        <w:pStyle w:val="UFVEpgrafeNivel2"/>
        <w:spacing w:line="360" w:lineRule="auto" w:before="360" w:after="160"/>
        <w:ind w:firstLine="0"/>
      </w:pPr>
      <w:r>
        <w:rPr>
          <w:rFonts w:ascii="Times New Roman" w:hAnsi="Times New Roman"/>
          <w:b/>
          <w:i w:val="0"/>
          <w:color w:val="000000"/>
          <w:sz w:val="24"/>
        </w:rPr>
        <w:t>3.2.1.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UFVEpgrafeNivel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UFVEpgrafeNivel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22"/>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3.2.3. Limpieza y tratamiento de datos</w:t>
      </w:r>
    </w:p>
    <w:p>
      <w:pPr>
        <w:pStyle w:val="UFVEpgrafeNivel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23"/>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UFVEpgrafeNivel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24"/>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UFVEpgrafeNivel2"/>
        <w:spacing w:line="360" w:lineRule="auto" w:before="360" w:after="160"/>
        <w:ind w:firstLine="0"/>
      </w:pPr>
      <w:r>
        <w:rPr>
          <w:rFonts w:ascii="Times New Roman" w:hAnsi="Times New Roman"/>
          <w:b/>
          <w:i w:val="0"/>
          <w:color w:val="000000"/>
          <w:sz w:val="24"/>
        </w:rPr>
        <w:t>3.2.4.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UFVEpgrafeNivel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UFVEpgrafeNivel2"/>
        <w:spacing w:line="360" w:lineRule="auto" w:before="360" w:after="160"/>
        <w:ind w:firstLine="0"/>
      </w:pPr>
      <w:r>
        <w:rPr>
          <w:rFonts w:ascii="Times New Roman" w:hAnsi="Times New Roman"/>
          <w:b/>
          <w:i w:val="0"/>
          <w:color w:val="000000"/>
          <w:sz w:val="24"/>
        </w:rPr>
        <w:t>3.2.5.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UFVEpgrafeNivel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25"/>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26"/>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27"/>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28"/>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9"/>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30"/>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3.2.6. Dataset maestro</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p>
      <w:pPr>
        <w:pStyle w:val="UFVEpgrafeNivel2"/>
        <w:numPr>
          <w:ilvl w:val="1"/>
          <w:numId w:val="4"/>
        </w:numPr>
        <w:rPr/>
      </w:pPr>
      <w:bookmarkStart w:id="11" w:name="__RefHeading___Toc177409332"/>
      <w:bookmarkEnd w:id="11"/>
      <w:r>
        <w:rPr/>
        <w:t>3.3. Análisis del dato</w:t>
      </w:r>
    </w:p>
    <w:p>
      <w:pPr>
        <w:pStyle w:val="UFVNormal"/>
        <w:rPr/>
      </w:pPr>
      <w:r>
        <w:rPr/>
      </w:r>
    </w:p>
    <w:p>
      <w:pPr>
        <w:pStyle w:val="UFVEpgrafeNivel3"/>
        <w:spacing w:line="360" w:lineRule="auto" w:before="240" w:after="120"/>
        <w:ind w:firstLine="0"/>
      </w:pPr>
      <w:r>
        <w:rPr>
          <w:rFonts w:ascii="Times New Roman" w:hAnsi="Times New Roman"/>
          <w:b/>
          <w:i/>
          <w:color w:val="000000"/>
          <w:sz w:val="22"/>
        </w:rPr>
        <w:t xml:space="preserve">Estrategia de modelización</w:t>
      </w:r>
    </w:p>
    <w:p>
      <w:pPr>
        <w:pStyle w:val="UFVNormal"/>
        <w:rPr>
          <w:b/>
          <w:lang w:val="en-GB"/>
        </w:rPr>
      </w:pPr>
      <w:r>
        <w:rPr>
          <w:b/>
          <w:lang w:val="en-GB"/>
        </w:rPr>
        <w:t xml:space="preserve">Este trabajo plantea un problema de aprendizaje supervisado de regresión sobre datos tabulares de series temporales financieras semanales. El objetivo es predecir el log-return de la semana siguiente para cada uno de los 10 ETFs del universo de inversión, utilizando 109 variables predictivas que capturan información de mercado, riesgo, macro, liquidez, sentimiento y noticias.</w:t>
      </w:r>
    </w:p>
    <w:p>
      <w:pPr>
        <w:pStyle w:val="UFVNormal"/>
        <w:rPr>
          <w:b/>
          <w:lang w:val="en-GB"/>
        </w:rPr>
      </w:pPr>
      <w:r>
        <w:rPr>
          <w:b/>
          <w:lang w:val="en-GB"/>
        </w:rPr>
        <w:t xml:space="preserve">La estructura de los datos (109 features numéricas, sin texto ni imágenes, con dependencia temporal) condiciona la selección de modelos. Se descartaron las redes neuronales profundas (LSTM, Transformer) por requerir más datos y ser menos interpretables para datos tabulares. Se descartó la regresión lineal como baseline porque asume relaciones lineales entre variables y no captura las interacciones ni las no-linealidades del mercado financiero; en su lugar, XGBoost con hiperparámetros por defecto cumple la función de baseline más honesto, al operar sobre la misma estructura de datos con mínima configuración.</w:t>
      </w:r>
    </w:p>
    <w:p>
      <w:pPr>
        <w:pStyle w:val="UFVNormal"/>
        <w:rPr>
          <w:b/>
          <w:lang w:val="en-GB"/>
        </w:rPr>
      </w:pPr>
      <w:r>
        <w:rPr>
          <w:b/>
          <w:lang w:val="en-GB"/>
        </w:rPr>
        <w:t xml:space="preserve">Los modelos seleccionados son XGBoost (Chen y Guestrin, 2016) y LightGBM (Ke et al., 2017), los dos principales algoritmos de gradient boosting para datos tabulares. Ambos manejan nativamente valores faltantes (NaN), son invariantes a la escala de las variables, capturan automáticamente interacciones entre features y permiten regularización para controlar el sobreajuste.</w:t>
      </w:r>
    </w:p>
    <w:p>
      <w:pPr>
        <w:pStyle w:val="UFVNormal"/>
        <w:rPr>
          <w:b/>
          <w:lang w:val="en-GB"/>
        </w:rPr>
      </w:pPr>
      <w:r>
        <w:rPr>
          <w:b/>
          <w:lang w:val="en-GB"/>
        </w:rPr>
        <w:t xml:space="preserve">La validación se realiza mediante walk-forward expanding window (Tashman, 2000) con 778 splits out-of-sample, embargo temporal de 1 semana y reentrenamiento semanal. Las predicciones alimentan un optimizador de Markowitz de media-varianza con restricciones long-only y máximo 40% por activo. La interpretabilidad se garantiza mediante SHAP (Lundberg y Lee, 2017). Se comparan 5 estrategias: XGBoost Tuned, LightGBM Tuned, Markowitz clásico, 60/40 y Equal-weight.</w:t>
      </w:r>
    </w:p>
    <w:p>
      <w:pPr>
        <w:pStyle w:val="UFVEpgrafeNivel2"/>
        <w:numPr>
          <w:ilvl w:val="1"/>
          <w:numId w:val="4"/>
        </w:numPr>
        <w:rPr/>
      </w:pPr>
      <w:bookmarkStart w:id="4" w:name="__RefHeading___Toc177409325"/>
      <w:bookmarkEnd w:id="4"/>
      <w:r>
        <w:rPr/>
        <w:t>3.3.1. Marco teórico</w:t>
      </w:r>
    </w:p>
    <w:p>
      <w:pPr>
        <w:pStyle w:val="UFVEpgrafeNivel3"/>
        <w:spacing w:line="360" w:lineRule="auto" w:before="240" w:after="120"/>
        <w:ind w:firstLine="0"/>
      </w:pPr>
      <w:r>
        <w:rPr>
          <w:rFonts w:ascii="Times New Roman" w:hAnsi="Times New Roman"/>
          <w:b/>
          <w:i/>
          <w:color w:val="000000"/>
          <w:sz w:val="22"/>
        </w:rPr>
        <w:t xml:space="preserve">Optimización de Markowitz</w:t>
      </w:r>
    </w:p>
    <w:p>
      <w:pPr>
        <w:pStyle w:val="UFVNormal"/>
        <w:rPr>
          <w:b/>
          <w:lang w:val="en-GB"/>
        </w:rPr>
      </w:pPr>
      <w:r>
        <w:rPr>
          <w:b/>
          <w:lang w:val="en-GB"/>
        </w:rPr>
        <w:t xml:space="preserve">El marco de media-varianza de Markowitz (1952) formaliza la selección de carteras como un problema de optimización. Dado un vector de retornos esperados mu y una matriz de covarianzas Sigma, el retorno esperado de una cartera con pesos w es E(Rp) = w'mu, y su varianza es sigma_p^2 = w'Sigma*w. El objetivo es maximizar el Sharpe ratio S = (Rp - Rf) / sigma_p, donde Rf = 0 (tipo libre de riesgo).</w:t>
      </w:r>
    </w:p>
    <w:p>
      <w:pPr>
        <w:pStyle w:val="UFVNormal"/>
        <w:rPr>
          <w:b/>
          <w:lang w:val="en-GB"/>
        </w:rPr>
      </w:pPr>
      <w:r>
        <w:rPr>
          <w:b/>
          <w:lang w:val="en-GB"/>
        </w:rPr>
        <w:t xml:space="preserve">En este trabajo, el optimizador resuelve: max_w (w'mu_pred) / sqrt(w'Sigma*w), sujeto a las restricciones: suma(wi) = 1, 0 &lt;= wi &lt;= 0.40 para todo i. La restricción de máximo 40% por activo evita concentraciones excesivas. Se utiliza el método SLSQP de scipy.optimize.minimize. La innovación clave es que mu_pred no es la media histórica de los retornos, sino la predicción del modelo ML para la semana siguiente, mientras que Sigma se estima con datos históricos hasta la semana actual.</w:t>
      </w:r>
    </w:p>
    <w:p>
      <w:pPr>
        <w:pStyle w:val="UFVEpgrafeNivel3"/>
        <w:spacing w:line="360" w:lineRule="auto" w:before="240" w:after="120"/>
        <w:ind w:firstLine="0"/>
      </w:pPr>
      <w:r>
        <w:rPr>
          <w:rFonts w:ascii="Times New Roman" w:hAnsi="Times New Roman"/>
          <w:b/>
          <w:i/>
          <w:color w:val="000000"/>
          <w:sz w:val="22"/>
        </w:rPr>
        <w:t xml:space="preserve">Gradient Boosting</w:t>
      </w:r>
    </w:p>
    <w:p>
      <w:pPr>
        <w:pStyle w:val="UFVNormal"/>
        <w:rPr>
          <w:b/>
          <w:lang w:val="en-GB"/>
        </w:rPr>
      </w:pPr>
      <w:r>
        <w:rPr>
          <w:b/>
          <w:lang w:val="en-GB"/>
        </w:rPr>
        <w:t xml:space="preserve">Los modelos de gradient boosting (Friedman, 2001) construyen un ensemble de árboles de decisión de forma secuencial. La predicción del ensemble es y_hat = suma(fk(x)) para k=1..K, donde cada árbol fk corrige los residuos del anterior. La función objetivo a minimizar es L(theta) = suma(l(yi, y_hat_i)) + suma(Omega(fk)), donde l es la función de pérdida (MSE para regresión) y Omega es el término de regularización: Omega(f) = gamma*T + 0.5*lambda*suma(wj^2), siendo T el número de hojas y wj los pesos de las hojas. El parámetro eta (learning rate) controla la contribución de cada árbol: y_hat_t = y_hat_(t-1) + eta * ft(x).</w:t>
      </w:r>
    </w:p>
    <w:p>
      <w:pPr>
        <w:pStyle w:val="UFVEpgrafeNivel3"/>
        <w:spacing w:line="360" w:lineRule="auto" w:before="240" w:after="120"/>
        <w:ind w:firstLine="0"/>
      </w:pPr>
      <w:r>
        <w:rPr>
          <w:rFonts w:ascii="Times New Roman" w:hAnsi="Times New Roman"/>
          <w:b/>
          <w:i/>
          <w:color w:val="000000"/>
          <w:sz w:val="22"/>
        </w:rPr>
        <w:t xml:space="preserve">XGBoost</w:t>
      </w:r>
    </w:p>
    <w:p>
      <w:pPr>
        <w:pStyle w:val="UFVNormal"/>
        <w:rPr>
          <w:b/>
          <w:lang w:val="en-GB"/>
        </w:rPr>
      </w:pPr>
      <w:r>
        <w:rPr>
          <w:b/>
          <w:lang w:val="en-GB"/>
        </w:rPr>
        <w:t xml:space="preserve">XGBoost (Chen y Guestrin, 2016) utiliza una aproximación de Taylor de segundo orden a la función de pérdida, empleando los gradientes gi = dl/dy_hat y los hessianos hi = d^2l/dy_hat^2 de cada observación. El peso óptimo de cada hoja j es wj* = -sum(gi) / (sum(hi) + lambda), y la ganancia de un split candidato es Gain = 0.5 * [GL^2/(HL+lambda) + GR^2/(HR+lambda) - (GL+GR)^2/(HL+HR+lambda)] - gamma, donde GL, GR, HL, HR son las sumas de gradientes y hessianos en los nodos hijo izquierdo y derecho. XGBoost incorpora regularización L1 (alpha) y L2 (lambda), manejo nativo de NaN (asigna las observaciones con valores faltantes al nodo que maximiza la ganancia) y early stopping para detener el entrenamiento cuando la métrica de validación deja de mejorar.</w:t>
      </w:r>
    </w:p>
    <w:p>
      <w:pPr>
        <w:pStyle w:val="UFVEpgrafeNivel3"/>
        <w:spacing w:line="360" w:lineRule="auto" w:before="240" w:after="120"/>
        <w:ind w:firstLine="0"/>
      </w:pPr>
      <w:r>
        <w:rPr>
          <w:rFonts w:ascii="Times New Roman" w:hAnsi="Times New Roman"/>
          <w:b/>
          <w:i/>
          <w:color w:val="000000"/>
          <w:sz w:val="22"/>
        </w:rPr>
        <w:t xml:space="preserve">LightGBM</w:t>
      </w:r>
    </w:p>
    <w:p>
      <w:pPr>
        <w:pStyle w:val="UFVNormal"/>
        <w:rPr>
          <w:b/>
          <w:lang w:val="en-GB"/>
        </w:rPr>
      </w:pPr>
      <w:r>
        <w:rPr>
          <w:b/>
          <w:lang w:val="en-GB"/>
        </w:rPr>
        <w:t xml:space="preserve">LightGBM (Ke et al., 2017) introduce dos innovaciones respecto a XGBoost. Primera, el crecimiento leaf-wise: en lugar de crecer el árbol nivel por nivel (level-wise), LightGBM elige la hoja con mayor ganancia potencial y la divide, lo que produce árboles más profundos y asimétricos pero más eficientes. Segunda, las técnicas GOSS (Gradient-based One-Side Sampling), que prioriza las observaciones con gradientes grandes al muestrear datos de entrenamiento, y EFB (Exclusive Feature Bundling), que agrupa features mutuamente excluyentes para reducir la dimensionalidad efectiva. Estas optimizaciones hacen que LightGBM sea significativamente más rápido que XGBoost con rendimiento comparable.</w:t>
      </w:r>
    </w:p>
    <w:p>
      <w:pPr>
        <w:pStyle w:val="UFVEpgrafeNivel3"/>
        <w:spacing w:line="360" w:lineRule="auto" w:before="240" w:after="120"/>
        <w:ind w:firstLine="0"/>
      </w:pPr>
      <w:r>
        <w:rPr>
          <w:rFonts w:ascii="Times New Roman" w:hAnsi="Times New Roman"/>
          <w:b/>
          <w:i/>
          <w:color w:val="000000"/>
          <w:sz w:val="22"/>
        </w:rPr>
        <w:t xml:space="preserve">Walk-forward validation</w:t>
      </w:r>
    </w:p>
    <w:p>
      <w:pPr>
        <w:pStyle w:val="UFVNormal"/>
        <w:rPr>
          <w:b/>
          <w:lang w:val="en-GB"/>
        </w:rPr>
      </w:pPr>
      <w:r>
        <w:rPr>
          <w:b/>
          <w:lang w:val="en-GB"/>
        </w:rPr>
        <w:t xml:space="preserve">La validación walk-forward con expanding window (Tashman, 2000; de Prado, 2018) es el protocolo estándar para evaluar modelos predictivos en series temporales financieras. En cada semana t del período de test, el modelo se entrena con todos los datos disponibles desde la semana 1 hasta la semana t-2 (expanding window), se aplica un embargo de 1 semana para evitar leakage por autocorrelación, y se predice la semana t. El entrenamiento utiliza el último 15% de los datos de entrenamiento como conjunto de validación para early stopping con 50 rondas de paciencia. Este protocolo genera 778 predicciones out-of-sample (abril 2011 a febrero 2026), asegurando que ningún dato futuro contamina las predicciones.</w:t>
      </w:r>
    </w:p>
    <w:p>
      <w:pPr>
        <w:pStyle w:val="UFVEpgrafeNivel3"/>
        <w:spacing w:line="360" w:lineRule="auto" w:before="240" w:after="120"/>
        <w:ind w:firstLine="0"/>
      </w:pPr>
      <w:r>
        <w:rPr>
          <w:rFonts w:ascii="Times New Roman" w:hAnsi="Times New Roman"/>
          <w:b/>
          <w:i/>
          <w:color w:val="000000"/>
          <w:sz w:val="22"/>
        </w:rPr>
        <w:t xml:space="preserve">SHAP: SHapley Additive exPlanations</w:t>
      </w:r>
    </w:p>
    <w:p>
      <w:pPr>
        <w:pStyle w:val="UFVNormal"/>
        <w:rPr>
          <w:b/>
          <w:lang w:val="en-GB"/>
        </w:rPr>
      </w:pPr>
      <w:r>
        <w:rPr>
          <w:b/>
          <w:lang w:val="en-GB"/>
        </w:rPr>
        <w:t xml:space="preserve">SHAP (Lundberg y Lee, 2017) asigna a cada variable i una contribución phi_i a la predicción de cada observación, basándose en la teoría de juegos cooperativos de Shapley. La propiedad fundamental es la eficiencia: suma(phi_i) = f(x) - E[f(x)], es decir, las contribuciones SHAP suman exactamente la diferencia entre la predicción individual y la media del modelo. TreeSHAP (Lundberg et al., 2020) es un algoritmo exacto con complejidad O(TLD^2) para modelos de árboles, donde T es el número de árboles, L el número de hojas y D la profundidad. Se utiliza para la interpretación global (importancia media de cada variable) y local (explicación de semanas concretas como la crisis SVB de marzo 2023).</w:t>
      </w:r>
    </w:p>
    <w:p>
      <w:pPr>
        <w:pStyle w:val="UFVEpgrafeNivel2"/>
        <w:numPr>
          <w:ilvl w:val="1"/>
          <w:numId w:val="4"/>
        </w:numPr>
        <w:rPr/>
      </w:pPr>
      <w:bookmarkStart w:id="4" w:name="__RefHeading___Toc177409325"/>
      <w:bookmarkEnd w:id="4"/>
      <w:r>
        <w:rPr/>
        <w:t>3.3.2. Modelos predictivos</w:t>
      </w:r>
    </w:p>
    <w:p>
      <w:pPr>
        <w:pStyle w:val="UFVEpgrafeNivel3"/>
        <w:spacing w:line="360" w:lineRule="auto" w:before="240" w:after="120"/>
        <w:ind w:firstLine="0"/>
      </w:pPr>
      <w:r>
        <w:rPr>
          <w:rFonts w:ascii="Times New Roman" w:hAnsi="Times New Roman"/>
          <w:b/>
          <w:i/>
          <w:color w:val="000000"/>
          <w:sz w:val="22"/>
        </w:rPr>
        <w:t xml:space="preserve">Pipeline de entrenamiento</w:t>
      </w:r>
    </w:p>
    <w:p>
      <w:pPr>
        <w:pStyle w:val="UFVNormal"/>
        <w:rPr>
          <w:b/>
          <w:lang w:val="en-GB"/>
        </w:rPr>
      </w:pPr>
      <w:r>
        <w:rPr>
          <w:b/>
          <w:lang w:val="en-GB"/>
        </w:rPr>
        <w:t xml:space="preserve">El pipeline de entrenamiento sigue una arquitectura de tres capas. La Capa 1 (infraestructura) comprende la carga de datos, el generador de splits walk-forward y el cálculo de benchmarks. La Capa 2 (entrenamiento base) entrena XGBoost y LightGBM con hiperparámetros por defecto como línea base. La Capa 3 (optimización) utiliza Optuna con el sampler TPE (Tree-structured Parzen Estimator) y MedianPruner para buscar los mejores hiperparámetros mediante 75 trials bayesianos por modelo. En cada trial, se entrena el modelo en un subconjunto reducido (3 ETFs, reentrenamiento cada 4 semanas, 195 splits) para acelerar la búsqueda, y los mejores parámetros se validan con el walk-forward completo (10 ETFs, 778 splits).</w:t>
      </w:r>
    </w:p>
    <w:p>
      <w:pPr>
        <w:pStyle w:val="UFVEpgrafeNivel3"/>
        <w:spacing w:line="360" w:lineRule="auto" w:before="240" w:after="120"/>
        <w:ind w:firstLine="0"/>
      </w:pPr>
      <w:r>
        <w:rPr>
          <w:rFonts w:ascii="Times New Roman" w:hAnsi="Times New Roman"/>
          <w:b/>
          <w:i/>
          <w:color w:val="000000"/>
          <w:sz w:val="22"/>
        </w:rPr>
        <w:t xml:space="preserve">Modelos baseline</w:t>
      </w:r>
    </w:p>
    <w:p>
      <w:pPr>
        <w:pStyle w:val="UFVNormal"/>
        <w:rPr>
          <w:b/>
          <w:lang w:val="en-GB"/>
        </w:rPr>
      </w:pPr>
      <w:r>
        <w:rPr>
          <w:b/>
          <w:lang w:val="en-GB"/>
        </w:rPr>
        <w:t xml:space="preserve">Los modelos con hiperparámetros por defecto (learning_rate=0.1, max_depth=6 para XGBoost; learning_rate=0.1, num_leaves=31 para LightGBM) establecen la línea base. Con parámetros por defecto, XGBoost alcanza un Sharpe ratio de 1.154 y LightGBM un Sharpe de 1.000, superando ya al benchmark 60/40 (Sharpe 0.847). Esto confirma que los modelos de gradient boosting aportan valor predictivo incluso sin optimización.</w:t>
      </w:r>
    </w:p>
    <w:p>
      <w:pPr>
        <w:pStyle w:val="UFVEpgrafeNivel3"/>
        <w:spacing w:line="360" w:lineRule="auto" w:before="240" w:after="120"/>
        <w:ind w:firstLine="0"/>
      </w:pPr>
      <w:r>
        <w:rPr>
          <w:rFonts w:ascii="Times New Roman" w:hAnsi="Times New Roman"/>
          <w:b/>
          <w:i/>
          <w:color w:val="000000"/>
          <w:sz w:val="22"/>
        </w:rPr>
        <w:t xml:space="preserve">Optimización con Optuna</w:t>
      </w:r>
    </w:p>
    <w:p>
      <w:pPr>
        <w:pStyle w:val="UFVNormal"/>
        <w:rPr>
          <w:b/>
          <w:lang w:val="en-GB"/>
        </w:rPr>
      </w:pPr>
      <w:r>
        <w:rPr>
          <w:b/>
          <w:lang w:val="en-GB"/>
        </w:rPr>
        <w:t xml:space="preserve">La optimización bayesiana con Optuna exploró el siguiente espacio de hiperparámetros: learning_rate [0.005, 0.3], max_depth [3, 10], subsample [0.5, 1.0], colsample_bytree [0.3, 1.0], reg_alpha [1e-8, 10], reg_lambda [1e-8, 10], min_child_weight [1, 50] para XGBoost; con num_leaves [15, 127] y min_child_samples [5, 50] adicionales para LightGBM. Se realizaron 75 trials para cada modelo con función objetivo: minimizar el RMSE medio de los 3 ETFs representativos (SPY, AGG, GLD) en el walk-forward reducido.</w:t>
      </w:r>
    </w:p>
    <w:p>
      <w:pPr>
        <w:pStyle w:val="UFVNormal"/>
        <w:rPr>
          <w:b/>
          <w:lang w:val="en-GB"/>
        </w:rPr>
      </w:pPr>
      <w:r>
        <w:rPr>
          <w:b/>
          <w:lang w:val="en-GB"/>
        </w:rPr>
        <w:t xml:space="preserve">Los mejores hiperparámetros encontrados para XGBoost fueron: learning_rate=0.022, max_depth=7, subsample=0.687, colsample_bytree=0.825, reg_alpha=2.0e-7, reg_lambda=1.3e-7, min_child_weight=20. Para LightGBM: learning_rate=0.006, num_leaves=41, max_depth=9, subsample=0.581, colsample_bytree=0.967, reg_alpha=5.4e-4, reg_lambda=0.023, min_child_samples=33. La validación con Optuna v2 (100 trials adicionales con rangos ampliados y penalización anti-overfitting) confirmó que estos parámetros representan el óptimo global: el trial semilla de v1 fue el mejor de los 100 trials de v2 para XGBoost.</w:t>
      </w:r>
    </w:p>
    <w:p>
      <w:pPr>
        <w:pStyle w:val="UFVNormal"/>
        <w:rPr>
          <w:b/>
          <w:lang w:val="en-GB"/>
        </w:rPr>
      </w:pPr>
      <w:r>
        <w:rPr>
          <w:b/>
          <w:lang w:val="en-GB"/>
        </w:rPr>
        <w:t xml:space="preserve">Tabla 3. Comparativa de hiperparámetros por defecto y optimizados.</w:t>
      </w:r>
    </w:p>
    <w:tbl>
      <w:tblPr>
        <w:tblW w:type="auto" w:w="0"/>
        <w:tblLook w:firstColumn="1" w:firstRow="1" w:lastColumn="0" w:lastRow="0" w:noHBand="0" w:noVBand="1" w:val="04A0"/>
      </w:tblPr>
      <w:tblGrid>
        <w:gridCol w:w="1757"/>
        <w:gridCol w:w="1757"/>
        <w:gridCol w:w="1757"/>
        <w:gridCol w:w="1757"/>
        <w:gridCol w:w="1757"/>
      </w:tblGrid>
      <w:tr>
        <w:tc>
          <w:tcPr>
            <w:tcW w:type="dxa" w:w="1757"/>
          </w:tcPr>
          <w:p>
            <w:pPr>
              <w:spacing w:after="40" w:before="40"/>
            </w:pPr>
            <w:r>
              <w:rPr>
                <w:rFonts w:ascii="Times New Roman" w:hAnsi="Times New Roman"/>
                <w:b/>
                <w:sz w:val="20"/>
              </w:rPr>
              <w:t>Parámetro</w:t>
            </w:r>
          </w:p>
        </w:tc>
        <w:tc>
          <w:tcPr>
            <w:tcW w:type="dxa" w:w="1757"/>
          </w:tcPr>
          <w:p>
            <w:pPr>
              <w:spacing w:after="40" w:before="40"/>
            </w:pPr>
            <w:r>
              <w:rPr>
                <w:rFonts w:ascii="Times New Roman" w:hAnsi="Times New Roman"/>
                <w:b/>
                <w:sz w:val="20"/>
              </w:rPr>
              <w:t>XGB Default</w:t>
            </w:r>
          </w:p>
        </w:tc>
        <w:tc>
          <w:tcPr>
            <w:tcW w:type="dxa" w:w="1757"/>
          </w:tcPr>
          <w:p>
            <w:pPr>
              <w:spacing w:after="40" w:before="40"/>
            </w:pPr>
            <w:r>
              <w:rPr>
                <w:rFonts w:ascii="Times New Roman" w:hAnsi="Times New Roman"/>
                <w:b/>
                <w:sz w:val="20"/>
              </w:rPr>
              <w:t>XGB Tuned</w:t>
            </w:r>
          </w:p>
        </w:tc>
        <w:tc>
          <w:tcPr>
            <w:tcW w:type="dxa" w:w="1757"/>
          </w:tcPr>
          <w:p>
            <w:pPr>
              <w:spacing w:after="40" w:before="40"/>
            </w:pPr>
            <w:r>
              <w:rPr>
                <w:rFonts w:ascii="Times New Roman" w:hAnsi="Times New Roman"/>
                <w:b/>
                <w:sz w:val="20"/>
              </w:rPr>
              <w:t>LGB Default</w:t>
            </w:r>
          </w:p>
        </w:tc>
        <w:tc>
          <w:tcPr>
            <w:tcW w:type="dxa" w:w="1757"/>
          </w:tcPr>
          <w:p>
            <w:pPr>
              <w:spacing w:after="40" w:before="40"/>
            </w:pPr>
            <w:r>
              <w:rPr>
                <w:rFonts w:ascii="Times New Roman" w:hAnsi="Times New Roman"/>
                <w:b/>
                <w:sz w:val="20"/>
              </w:rPr>
              <w:t>LGB Tuned</w:t>
            </w:r>
          </w:p>
        </w:tc>
      </w:tr>
      <w:tr>
        <w:tc>
          <w:tcPr>
            <w:tcW w:type="dxa" w:w="1757"/>
          </w:tcPr>
          <w:p>
            <w:pPr>
              <w:spacing w:after="40" w:before="40"/>
            </w:pPr>
            <w:r>
              <w:rPr>
                <w:rFonts w:ascii="Times New Roman" w:hAnsi="Times New Roman"/>
                <w:sz w:val="20"/>
              </w:rPr>
              <w:t>learning_rate</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0.022</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0.006</w:t>
            </w:r>
          </w:p>
        </w:tc>
      </w:tr>
      <w:tr>
        <w:tc>
          <w:tcPr>
            <w:tcW w:type="dxa" w:w="1757"/>
          </w:tcPr>
          <w:p>
            <w:pPr>
              <w:spacing w:after="40" w:before="40"/>
            </w:pPr>
            <w:r>
              <w:rPr>
                <w:rFonts w:ascii="Times New Roman" w:hAnsi="Times New Roman"/>
                <w:sz w:val="20"/>
              </w:rPr>
              <w:t>max_depth</w:t>
            </w:r>
          </w:p>
        </w:tc>
        <w:tc>
          <w:tcPr>
            <w:tcW w:type="dxa" w:w="1757"/>
          </w:tcPr>
          <w:p>
            <w:pPr>
              <w:spacing w:after="40" w:before="40"/>
            </w:pPr>
            <w:r>
              <w:rPr>
                <w:rFonts w:ascii="Times New Roman" w:hAnsi="Times New Roman"/>
                <w:sz w:val="20"/>
              </w:rPr>
              <w:t>6</w:t>
            </w:r>
          </w:p>
        </w:tc>
        <w:tc>
          <w:tcPr>
            <w:tcW w:type="dxa" w:w="1757"/>
          </w:tcPr>
          <w:p>
            <w:pPr>
              <w:spacing w:after="40" w:before="40"/>
            </w:pPr>
            <w:r>
              <w:rPr>
                <w:rFonts w:ascii="Times New Roman" w:hAnsi="Times New Roman"/>
                <w:sz w:val="20"/>
              </w:rPr>
              <w:t>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9</w:t>
            </w:r>
          </w:p>
        </w:tc>
      </w:tr>
      <w:tr>
        <w:tc>
          <w:tcPr>
            <w:tcW w:type="dxa" w:w="1757"/>
          </w:tcPr>
          <w:p>
            <w:pPr>
              <w:spacing w:after="40" w:before="40"/>
            </w:pPr>
            <w:r>
              <w:rPr>
                <w:rFonts w:ascii="Times New Roman" w:hAnsi="Times New Roman"/>
                <w:sz w:val="20"/>
              </w:rPr>
              <w:t>subsample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0.687</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0.581</w:t>
            </w:r>
          </w:p>
        </w:tc>
      </w:tr>
      <w:tr>
        <w:tc>
          <w:tcPr>
            <w:tcW w:type="dxa" w:w="1757"/>
          </w:tcPr>
          <w:p>
            <w:pPr>
              <w:spacing w:after="40" w:before="40"/>
            </w:pPr>
            <w:r>
              <w:rPr>
                <w:rFonts w:ascii="Times New Roman" w:hAnsi="Times New Roman"/>
                <w:sz w:val="20"/>
              </w:rPr>
              <w:t>colsample_bytree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0.825</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0.967</w:t>
            </w:r>
          </w:p>
        </w:tc>
      </w:tr>
      <w:tr>
        <w:tc>
          <w:tcPr>
            <w:tcW w:type="dxa" w:w="1757"/>
          </w:tcPr>
          <w:p>
            <w:pPr>
              <w:spacing w:after="40" w:before="40"/>
            </w:pPr>
            <w:r>
              <w:rPr>
                <w:rFonts w:ascii="Times New Roman" w:hAnsi="Times New Roman"/>
                <w:sz w:val="20"/>
              </w:rPr>
              <w:t>n_estimators</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r>
      <w:tr>
        <w:tc>
          <w:tcPr>
            <w:tcW w:type="dxa" w:w="1757"/>
          </w:tcPr>
          <w:p>
            <w:pPr>
              <w:spacing w:after="40" w:before="40"/>
            </w:pPr>
            <w:r>
              <w:rPr>
                <w:rFonts w:ascii="Times New Roman" w:hAnsi="Times New Roman"/>
                <w:sz w:val="20"/>
              </w:rPr>
              <w:t>min_child_weight</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r>
      <w:tr>
        <w:tc>
          <w:tcPr>
            <w:tcW w:type="dxa" w:w="1757"/>
          </w:tcPr>
          <w:p>
            <w:pPr>
              <w:spacing w:after="40" w:before="40"/>
            </w:pPr>
            <w:r>
              <w:rPr>
                <w:rFonts w:ascii="Times New Roman" w:hAnsi="Times New Roman"/>
                <w:sz w:val="20"/>
              </w:rPr>
              <w:t>num_leaves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31</w:t>
            </w:r>
          </w:p>
        </w:tc>
        <w:tc>
          <w:tcPr>
            <w:tcW w:type="dxa" w:w="1757"/>
          </w:tcPr>
          <w:p>
            <w:pPr>
              <w:spacing w:after="40" w:before="40"/>
            </w:pPr>
            <w:r>
              <w:rPr>
                <w:rFonts w:ascii="Times New Roman" w:hAnsi="Times New Roman"/>
                <w:sz w:val="20"/>
              </w:rPr>
              <w:t>41</w:t>
            </w:r>
          </w:p>
        </w:tc>
      </w:tr>
      <w:tr>
        <w:tc>
          <w:tcPr>
            <w:tcW w:type="dxa" w:w="1757"/>
          </w:tcPr>
          <w:p>
            <w:pPr>
              <w:spacing w:after="40" w:before="40"/>
            </w:pPr>
            <w:r>
              <w:rPr>
                <w:rFonts w:ascii="Times New Roman" w:hAnsi="Times New Roman"/>
                <w:sz w:val="20"/>
              </w:rPr>
              <w:t>min_child_samples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33</w:t>
            </w:r>
          </w:p>
        </w:tc>
      </w:tr>
      <w:tr>
        <w:tc>
          <w:tcPr>
            <w:tcW w:type="dxa" w:w="1757"/>
          </w:tcPr>
          <w:p>
            <w:pPr>
              <w:spacing w:after="40" w:before="40"/>
            </w:pPr>
            <w:r>
              <w:rPr>
                <w:rFonts w:ascii="Times New Roman" w:hAnsi="Times New Roman"/>
                <w:sz w:val="20"/>
              </w:rPr>
              <w:t>reg_alpha</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2.0e-7</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5.4e-4</w:t>
            </w:r>
          </w:p>
        </w:tc>
      </w:tr>
      <w:tr>
        <w:tc>
          <w:tcPr>
            <w:tcW w:type="dxa" w:w="1757"/>
          </w:tcPr>
          <w:p>
            <w:pPr>
              <w:spacing w:after="40" w:before="40"/>
            </w:pPr>
            <w:r>
              <w:rPr>
                <w:rFonts w:ascii="Times New Roman" w:hAnsi="Times New Roman"/>
                <w:sz w:val="20"/>
              </w:rPr>
              <w:t>reg_lambda</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1.3e-7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0.023</w:t>
            </w:r>
          </w:p>
        </w:tc>
      </w:tr>
    </w:tbl>
    <w:p>
      <w:pPr>
        <w:pStyle w:val="UFVEpgrafeNivel2"/>
        <w:numPr>
          <w:ilvl w:val="1"/>
          <w:numId w:val="4"/>
        </w:numPr>
        <w:rPr/>
      </w:pPr>
      <w:bookmarkStart w:id="4" w:name="__RefHeading___Toc177409325"/>
      <w:bookmarkEnd w:id="4"/>
      <w:r>
        <w:rPr/>
        <w:t>3.3.3. Métricas de evaluación</w:t>
      </w:r>
    </w:p>
    <w:p>
      <w:pPr>
        <w:pStyle w:val="UFVEpgrafeNivel3"/>
        <w:spacing w:line="360" w:lineRule="auto" w:before="240" w:after="120"/>
        <w:ind w:firstLine="0"/>
      </w:pPr>
      <w:r>
        <w:rPr>
          <w:rFonts w:ascii="Times New Roman" w:hAnsi="Times New Roman"/>
          <w:b/>
          <w:i/>
          <w:color w:val="000000"/>
          <w:sz w:val="22"/>
        </w:rPr>
        <w:t xml:space="preserve">Métricas de predicción (ML)</w:t>
      </w:r>
    </w:p>
    <w:p>
      <w:pPr>
        <w:pStyle w:val="UFVNormal"/>
        <w:rPr>
          <w:b/>
          <w:lang w:val="en-GB"/>
        </w:rPr>
      </w:pPr>
      <w:r>
        <w:rPr>
          <w:b/>
          <w:lang w:val="en-GB"/>
        </w:rPr>
        <w:t xml:space="preserve">Las métricas de evaluación de las predicciones se seleccionaron en función del problema de regresión planteado. El RMSE (Root Mean Squared Error) es la métrica primaria de entrenamiento, que penaliza proporcionalmente los errores grandes. El MAE (Mean Absolute Error) complementa al RMSE al ser menos sensible a outliers. El R² mide la proporción de varianza explicada; valores negativos son habituales en predicción financiera y no indican un modelo inútil, sino que los retornos son extremadamente ruidosos (Gu et al., 2020). La Directional Accuracy (56.8%) es la métrica más relevante en la práctica: mide el porcentaje de semanas en que el modelo acierta la dirección del retorno (positivo o negativo). No se utiliza MAPE porque explota cuando los retornos son cercanos a cero, ni AUC-ROC porque es una métrica de clasificación.</w:t>
      </w:r>
    </w:p>
    <w:p>
      <w:pPr>
        <w:pStyle w:val="UFVEpgrafeNivel3"/>
        <w:spacing w:line="360" w:lineRule="auto" w:before="240" w:after="120"/>
        <w:ind w:firstLine="0"/>
      </w:pPr>
      <w:r>
        <w:rPr>
          <w:rFonts w:ascii="Times New Roman" w:hAnsi="Times New Roman"/>
          <w:b/>
          <w:i/>
          <w:color w:val="000000"/>
          <w:sz w:val="22"/>
        </w:rPr>
        <w:t xml:space="preserve">Métricas financieras</w:t>
      </w:r>
    </w:p>
    <w:p>
      <w:pPr>
        <w:pStyle w:val="UFVNormal"/>
        <w:rPr>
          <w:b/>
          <w:lang w:val="en-GB"/>
        </w:rPr>
      </w:pPr>
      <w:r>
        <w:rPr>
          <w:b/>
          <w:lang w:val="en-GB"/>
        </w:rPr>
        <w:t xml:space="preserve">Las métricas financieras evalúan el rendimiento de las carteras resultantes. El Sharpe ratio (Sharpe, 1964) es la métrica principal: S = (Rp - Rf) / sigma_p, donde Rp es el retorno anualizado y sigma_p la volatilidad anualizada, con Rf=0. El Sortino ratio reemplaza sigma_p por la volatilidad a la baja (solo retornos negativos), penalizando exclusivamente el riesgo de pérdida. El Maximum Drawdown mide la mayor caída porcentual desde un pico hasta un valle en la curva de equity. El Calmar ratio es el cociente retorno/max_drawdown. El VaR 95% semanal (-2.11%) indica que en el 5% peor de las semanas la cartera XGBoost pierde al menos ese porcentaje, y el CVaR 95% (-3.48%) es la media de esas pérdidas extremas.</w:t>
      </w:r>
    </w:p>
    <w:p>
      <w:pPr>
        <w:pStyle w:val="UFVNormal"/>
        <w:rPr>
          <w:b/>
          <w:lang w:val="en-GB"/>
        </w:rPr>
      </w:pPr>
      <w:r>
        <w:rPr>
          <w:b/>
          <w:lang w:val="en-GB"/>
        </w:rPr>
        <w:t xml:space="preserve">Tabla 4. Comparativa de las 7 estrategias (walk-forward out-of-sample, 778 semanas).</w:t>
      </w:r>
    </w:p>
    <w:tbl>
      <w:tblPr>
        <w:tblW w:type="auto" w:w="0"/>
        <w:tblLook w:firstColumn="1" w:firstRow="1" w:lastColumn="0" w:lastRow="0" w:noHBand="0" w:noVBand="1" w:val="04A0"/>
      </w:tblPr>
      <w:tblGrid>
        <w:gridCol w:w="1464"/>
        <w:gridCol w:w="1464"/>
        <w:gridCol w:w="1464"/>
        <w:gridCol w:w="1464"/>
        <w:gridCol w:w="1464"/>
        <w:gridCol w:w="1464"/>
      </w:tblGrid>
      <w:tr>
        <w:tc>
          <w:tcPr>
            <w:tcW w:type="dxa" w:w="1464"/>
          </w:tcPr>
          <w:p>
            <w:pPr>
              <w:spacing w:after="40" w:before="40"/>
            </w:pPr>
            <w:r>
              <w:rPr>
                <w:rFonts w:ascii="Times New Roman" w:hAnsi="Times New Roman"/>
                <w:b/>
                <w:sz w:val="20"/>
              </w:rPr>
              <w:t>Estrategia</w:t>
            </w:r>
          </w:p>
        </w:tc>
        <w:tc>
          <w:tcPr>
            <w:tcW w:type="dxa" w:w="1464"/>
          </w:tcPr>
          <w:p>
            <w:pPr>
              <w:spacing w:after="40" w:before="40"/>
            </w:pPr>
            <w:r>
              <w:rPr>
                <w:rFonts w:ascii="Times New Roman" w:hAnsi="Times New Roman"/>
                <w:b/>
                <w:sz w:val="20"/>
              </w:rPr>
              <w:t>Sharpe</w:t>
            </w:r>
          </w:p>
        </w:tc>
        <w:tc>
          <w:tcPr>
            <w:tcW w:type="dxa" w:w="1464"/>
          </w:tcPr>
          <w:p>
            <w:pPr>
              <w:spacing w:after="40" w:before="40"/>
            </w:pPr>
            <w:r>
              <w:rPr>
                <w:rFonts w:ascii="Times New Roman" w:hAnsi="Times New Roman"/>
                <w:b/>
                <w:sz w:val="20"/>
              </w:rPr>
              <w:t>Ret.Anual</w:t>
            </w:r>
          </w:p>
        </w:tc>
        <w:tc>
          <w:tcPr>
            <w:tcW w:type="dxa" w:w="1464"/>
          </w:tcPr>
          <w:p>
            <w:pPr>
              <w:spacing w:after="40" w:before="40"/>
            </w:pPr>
            <w:r>
              <w:rPr>
                <w:rFonts w:ascii="Times New Roman" w:hAnsi="Times New Roman"/>
                <w:b/>
                <w:sz w:val="20"/>
              </w:rPr>
              <w:t>MaxDD</w:t>
            </w:r>
          </w:p>
        </w:tc>
        <w:tc>
          <w:tcPr>
            <w:tcW w:type="dxa" w:w="1464"/>
          </w:tcPr>
          <w:p>
            <w:pPr>
              <w:spacing w:after="40" w:before="40"/>
            </w:pPr>
            <w:r>
              <w:rPr>
                <w:rFonts w:ascii="Times New Roman" w:hAnsi="Times New Roman"/>
                <w:b/>
                <w:sz w:val="20"/>
              </w:rPr>
              <w:t>Sortino</w:t>
            </w:r>
          </w:p>
        </w:tc>
        <w:tc>
          <w:tcPr>
            <w:tcW w:type="dxa" w:w="1464"/>
          </w:tcPr>
          <w:p>
            <w:pPr>
              <w:spacing w:after="40" w:before="40"/>
            </w:pPr>
            <w:r>
              <w:rPr>
                <w:rFonts w:ascii="Times New Roman" w:hAnsi="Times New Roman"/>
                <w:b/>
                <w:sz w:val="20"/>
              </w:rPr>
              <w:t>Ret.Total</w:t>
            </w:r>
          </w:p>
        </w:tc>
      </w:tr>
      <w:tr>
        <w:tc>
          <w:tcPr>
            <w:tcW w:type="dxa" w:w="1464"/>
          </w:tcPr>
          <w:p>
            <w:pPr>
              <w:spacing w:after="40" w:before="40"/>
            </w:pPr>
            <w:r>
              <w:rPr>
                <w:rFonts w:ascii="Times New Roman" w:hAnsi="Times New Roman"/>
                <w:sz w:val="20"/>
              </w:rPr>
              <w:t>XGB Tuned</w:t>
            </w:r>
          </w:p>
        </w:tc>
        <w:tc>
          <w:tcPr>
            <w:tcW w:type="dxa" w:w="1464"/>
          </w:tcPr>
          <w:p>
            <w:pPr>
              <w:spacing w:after="40" w:before="40"/>
            </w:pPr>
            <w:r>
              <w:rPr>
                <w:rFonts w:ascii="Times New Roman" w:hAnsi="Times New Roman"/>
                <w:sz w:val="20"/>
              </w:rPr>
              <w:t>1.397</w:t>
            </w:r>
          </w:p>
        </w:tc>
        <w:tc>
          <w:tcPr>
            <w:tcW w:type="dxa" w:w="1464"/>
          </w:tcPr>
          <w:p>
            <w:pPr>
              <w:spacing w:after="40" w:before="40"/>
            </w:pPr>
            <w:r>
              <w:rPr>
                <w:rFonts w:ascii="Times New Roman" w:hAnsi="Times New Roman"/>
                <w:sz w:val="20"/>
              </w:rPr>
              <w:t>11.09%</w:t>
            </w:r>
          </w:p>
        </w:tc>
        <w:tc>
          <w:tcPr>
            <w:tcW w:type="dxa" w:w="1464"/>
          </w:tcPr>
          <w:p>
            <w:pPr>
              <w:spacing w:after="40" w:before="40"/>
            </w:pPr>
            <w:r>
              <w:rPr>
                <w:rFonts w:ascii="Times New Roman" w:hAnsi="Times New Roman"/>
                <w:sz w:val="20"/>
              </w:rPr>
              <w:t>-14.83%</w:t>
            </w:r>
          </w:p>
        </w:tc>
        <w:tc>
          <w:tcPr>
            <w:tcW w:type="dxa" w:w="1464"/>
          </w:tcPr>
          <w:p>
            <w:pPr>
              <w:spacing w:after="40" w:before="40"/>
            </w:pPr>
            <w:r>
              <w:rPr>
                <w:rFonts w:ascii="Times New Roman" w:hAnsi="Times New Roman"/>
                <w:sz w:val="20"/>
              </w:rPr>
              <w:t>1.992</w:t>
            </w:r>
          </w:p>
        </w:tc>
        <w:tc>
          <w:tcPr>
            <w:tcW w:type="dxa" w:w="1464"/>
          </w:tcPr>
          <w:p>
            <w:pPr>
              <w:spacing w:after="40" w:before="40"/>
            </w:pPr>
            <w:r>
              <w:rPr>
                <w:rFonts w:ascii="Times New Roman" w:hAnsi="Times New Roman"/>
                <w:sz w:val="20"/>
              </w:rPr>
              <w:t>425.9%</w:t>
            </w:r>
          </w:p>
        </w:tc>
      </w:tr>
      <w:tr>
        <w:tc>
          <w:tcPr>
            <w:tcW w:type="dxa" w:w="1464"/>
          </w:tcPr>
          <w:p>
            <w:pPr>
              <w:spacing w:after="40" w:before="40"/>
            </w:pPr>
            <w:r>
              <w:rPr>
                <w:rFonts w:ascii="Times New Roman" w:hAnsi="Times New Roman"/>
                <w:sz w:val="20"/>
              </w:rPr>
              <w:t>LGB Tuned</w:t>
            </w:r>
          </w:p>
        </w:tc>
        <w:tc>
          <w:tcPr>
            <w:tcW w:type="dxa" w:w="1464"/>
          </w:tcPr>
          <w:p>
            <w:pPr>
              <w:spacing w:after="40" w:before="40"/>
            </w:pPr>
            <w:r>
              <w:rPr>
                <w:rFonts w:ascii="Times New Roman" w:hAnsi="Times New Roman"/>
                <w:sz w:val="20"/>
              </w:rPr>
              <w:t>1.313</w:t>
            </w:r>
          </w:p>
        </w:tc>
        <w:tc>
          <w:tcPr>
            <w:tcW w:type="dxa" w:w="1464"/>
          </w:tcPr>
          <w:p>
            <w:pPr>
              <w:spacing w:after="40" w:before="40"/>
            </w:pPr>
            <w:r>
              <w:rPr>
                <w:rFonts w:ascii="Times New Roman" w:hAnsi="Times New Roman"/>
                <w:sz w:val="20"/>
              </w:rPr>
              <w:t>10.23%</w:t>
            </w:r>
          </w:p>
        </w:tc>
        <w:tc>
          <w:tcPr>
            <w:tcW w:type="dxa" w:w="1464"/>
          </w:tcPr>
          <w:p>
            <w:pPr>
              <w:spacing w:after="40" w:before="40"/>
            </w:pPr>
            <w:r>
              <w:rPr>
                <w:rFonts w:ascii="Times New Roman" w:hAnsi="Times New Roman"/>
                <w:sz w:val="20"/>
              </w:rPr>
              <w:t>-19.60%</w:t>
            </w:r>
          </w:p>
        </w:tc>
        <w:tc>
          <w:tcPr>
            <w:tcW w:type="dxa" w:w="1464"/>
          </w:tcPr>
          <w:p>
            <w:pPr>
              <w:spacing w:after="40" w:before="40"/>
            </w:pPr>
            <w:r>
              <w:rPr>
                <w:rFonts w:ascii="Times New Roman" w:hAnsi="Times New Roman"/>
                <w:sz w:val="20"/>
              </w:rPr>
              <w:t>1.835</w:t>
            </w:r>
          </w:p>
        </w:tc>
        <w:tc>
          <w:tcPr>
            <w:tcW w:type="dxa" w:w="1464"/>
          </w:tcPr>
          <w:p>
            <w:pPr>
              <w:spacing w:after="40" w:before="40"/>
            </w:pPr>
            <w:r>
              <w:rPr>
                <w:rFonts w:ascii="Times New Roman" w:hAnsi="Times New Roman"/>
                <w:sz w:val="20"/>
              </w:rPr>
              <w:t>361.8%</w:t>
            </w:r>
          </w:p>
        </w:tc>
      </w:tr>
      <w:tr>
        <w:tc>
          <w:tcPr>
            <w:tcW w:type="dxa" w:w="1464"/>
          </w:tcPr>
          <w:p>
            <w:pPr>
              <w:spacing w:after="40" w:before="40"/>
            </w:pPr>
            <w:r>
              <w:rPr>
                <w:rFonts w:ascii="Times New Roman" w:hAnsi="Times New Roman"/>
                <w:sz w:val="20"/>
              </w:rPr>
              <w:t>XGB Default</w:t>
            </w:r>
          </w:p>
        </w:tc>
        <w:tc>
          <w:tcPr>
            <w:tcW w:type="dxa" w:w="1464"/>
          </w:tcPr>
          <w:p>
            <w:pPr>
              <w:spacing w:after="40" w:before="40"/>
            </w:pPr>
            <w:r>
              <w:rPr>
                <w:rFonts w:ascii="Times New Roman" w:hAnsi="Times New Roman"/>
                <w:sz w:val="20"/>
              </w:rPr>
              <w:t>1.154</w:t>
            </w:r>
          </w:p>
        </w:tc>
        <w:tc>
          <w:tcPr>
            <w:tcW w:type="dxa" w:w="1464"/>
          </w:tcPr>
          <w:p>
            <w:pPr>
              <w:spacing w:after="40" w:before="40"/>
            </w:pPr>
            <w:r>
              <w:rPr>
                <w:rFonts w:ascii="Times New Roman" w:hAnsi="Times New Roman"/>
                <w:sz w:val="20"/>
              </w:rPr>
              <w:t>8.77%</w:t>
            </w:r>
          </w:p>
        </w:tc>
        <w:tc>
          <w:tcPr>
            <w:tcW w:type="dxa" w:w="1464"/>
          </w:tcPr>
          <w:p>
            <w:pPr>
              <w:spacing w:after="40" w:before="40"/>
            </w:pPr>
            <w:r>
              <w:rPr>
                <w:rFonts w:ascii="Times New Roman" w:hAnsi="Times New Roman"/>
                <w:sz w:val="20"/>
              </w:rPr>
              <w:t>-17.44%</w:t>
            </w:r>
          </w:p>
        </w:tc>
        <w:tc>
          <w:tcPr>
            <w:tcW w:type="dxa" w:w="1464"/>
          </w:tcPr>
          <w:p>
            <w:pPr>
              <w:spacing w:after="40" w:before="40"/>
            </w:pPr>
            <w:r>
              <w:rPr>
                <w:rFonts w:ascii="Times New Roman" w:hAnsi="Times New Roman"/>
                <w:sz w:val="20"/>
              </w:rPr>
              <w:t>1.692</w:t>
            </w:r>
          </w:p>
        </w:tc>
        <w:tc>
          <w:tcPr>
            <w:tcW w:type="dxa" w:w="1464"/>
          </w:tcPr>
          <w:p>
            <w:pPr>
              <w:spacing w:after="40" w:before="40"/>
            </w:pPr>
            <w:r>
              <w:rPr>
                <w:rFonts w:ascii="Times New Roman" w:hAnsi="Times New Roman"/>
                <w:sz w:val="20"/>
              </w:rPr>
              <w:t>271.5%</w:t>
            </w:r>
          </w:p>
        </w:tc>
      </w:tr>
      <w:tr>
        <w:tc>
          <w:tcPr>
            <w:tcW w:type="dxa" w:w="1464"/>
          </w:tcPr>
          <w:p>
            <w:pPr>
              <w:spacing w:after="40" w:before="40"/>
            </w:pPr>
            <w:r>
              <w:rPr>
                <w:rFonts w:ascii="Times New Roman" w:hAnsi="Times New Roman"/>
                <w:sz w:val="20"/>
              </w:rPr>
              <w:t>LGB Default</w:t>
            </w:r>
          </w:p>
        </w:tc>
        <w:tc>
          <w:tcPr>
            <w:tcW w:type="dxa" w:w="1464"/>
          </w:tcPr>
          <w:p>
            <w:pPr>
              <w:spacing w:after="40" w:before="40"/>
            </w:pPr>
            <w:r>
              <w:rPr>
                <w:rFonts w:ascii="Times New Roman" w:hAnsi="Times New Roman"/>
                <w:sz w:val="20"/>
              </w:rPr>
              <w:t>1.000</w:t>
            </w:r>
          </w:p>
        </w:tc>
        <w:tc>
          <w:tcPr>
            <w:tcW w:type="dxa" w:w="1464"/>
          </w:tcPr>
          <w:p>
            <w:pPr>
              <w:spacing w:after="40" w:before="40"/>
            </w:pPr>
            <w:r>
              <w:rPr>
                <w:rFonts w:ascii="Times New Roman" w:hAnsi="Times New Roman"/>
                <w:sz w:val="20"/>
              </w:rPr>
              <w:t>8.15%</w:t>
            </w:r>
          </w:p>
        </w:tc>
        <w:tc>
          <w:tcPr>
            <w:tcW w:type="dxa" w:w="1464"/>
          </w:tcPr>
          <w:p>
            <w:pPr>
              <w:spacing w:after="40" w:before="40"/>
            </w:pPr>
            <w:r>
              <w:rPr>
                <w:rFonts w:ascii="Times New Roman" w:hAnsi="Times New Roman"/>
                <w:sz w:val="20"/>
              </w:rPr>
              <w:t>-21.86%</w:t>
            </w:r>
          </w:p>
        </w:tc>
        <w:tc>
          <w:tcPr>
            <w:tcW w:type="dxa" w:w="1464"/>
          </w:tcPr>
          <w:p>
            <w:pPr>
              <w:spacing w:after="40" w:before="40"/>
            </w:pPr>
            <w:r>
              <w:rPr>
                <w:rFonts w:ascii="Times New Roman" w:hAnsi="Times New Roman"/>
                <w:sz w:val="20"/>
              </w:rPr>
              <w:t>1.322</w:t>
            </w:r>
          </w:p>
        </w:tc>
        <w:tc>
          <w:tcPr>
            <w:tcW w:type="dxa" w:w="1464"/>
          </w:tcPr>
          <w:p>
            <w:pPr>
              <w:spacing w:after="40" w:before="40"/>
            </w:pPr>
            <w:r>
              <w:rPr>
                <w:rFonts w:ascii="Times New Roman" w:hAnsi="Times New Roman"/>
                <w:sz w:val="20"/>
              </w:rPr>
              <w:t>238.3%</w:t>
            </w:r>
          </w:p>
        </w:tc>
      </w:tr>
      <w:tr>
        <w:tc>
          <w:tcPr>
            <w:tcW w:type="dxa" w:w="1464"/>
          </w:tcPr>
          <w:p>
            <w:pPr>
              <w:spacing w:after="40" w:before="40"/>
            </w:pPr>
            <w:r>
              <w:rPr>
                <w:rFonts w:ascii="Times New Roman" w:hAnsi="Times New Roman"/>
                <w:sz w:val="20"/>
              </w:rPr>
              <w:t>60/40</w:t>
            </w:r>
          </w:p>
        </w:tc>
        <w:tc>
          <w:tcPr>
            <w:tcW w:type="dxa" w:w="1464"/>
          </w:tcPr>
          <w:p>
            <w:pPr>
              <w:spacing w:after="40" w:before="40"/>
            </w:pPr>
            <w:r>
              <w:rPr>
                <w:rFonts w:ascii="Times New Roman" w:hAnsi="Times New Roman"/>
                <w:sz w:val="20"/>
              </w:rPr>
              <w:t>0.847</w:t>
            </w:r>
          </w:p>
        </w:tc>
        <w:tc>
          <w:tcPr>
            <w:tcW w:type="dxa" w:w="1464"/>
          </w:tcPr>
          <w:p>
            <w:pPr>
              <w:spacing w:after="40" w:before="40"/>
            </w:pPr>
            <w:r>
              <w:rPr>
                <w:rFonts w:ascii="Times New Roman" w:hAnsi="Times New Roman"/>
                <w:sz w:val="20"/>
              </w:rPr>
              <w:t>8.60%</w:t>
            </w:r>
          </w:p>
        </w:tc>
        <w:tc>
          <w:tcPr>
            <w:tcW w:type="dxa" w:w="1464"/>
          </w:tcPr>
          <w:p>
            <w:pPr>
              <w:spacing w:after="40" w:before="40"/>
            </w:pPr>
            <w:r>
              <w:rPr>
                <w:rFonts w:ascii="Times New Roman" w:hAnsi="Times New Roman"/>
                <w:sz w:val="20"/>
              </w:rPr>
              <w:t>-21.67%</w:t>
            </w:r>
          </w:p>
        </w:tc>
        <w:tc>
          <w:tcPr>
            <w:tcW w:type="dxa" w:w="1464"/>
          </w:tcPr>
          <w:p>
            <w:pPr>
              <w:spacing w:after="40" w:before="40"/>
            </w:pPr>
            <w:r>
              <w:rPr>
                <w:rFonts w:ascii="Times New Roman" w:hAnsi="Times New Roman"/>
                <w:sz w:val="20"/>
              </w:rPr>
              <w:t>1.029</w:t>
            </w:r>
          </w:p>
        </w:tc>
        <w:tc>
          <w:tcPr>
            <w:tcW w:type="dxa" w:w="1464"/>
          </w:tcPr>
          <w:p>
            <w:pPr>
              <w:spacing w:after="40" w:before="40"/>
            </w:pPr>
            <w:r>
              <w:rPr>
                <w:rFonts w:ascii="Times New Roman" w:hAnsi="Times New Roman"/>
                <w:sz w:val="20"/>
              </w:rPr>
              <w:t>262.3%</w:t>
            </w:r>
          </w:p>
        </w:tc>
      </w:tr>
      <w:tr>
        <w:tc>
          <w:tcPr>
            <w:tcW w:type="dxa" w:w="1464"/>
          </w:tcPr>
          <w:p>
            <w:pPr>
              <w:spacing w:after="40" w:before="40"/>
            </w:pPr>
            <w:r>
              <w:rPr>
                <w:rFonts w:ascii="Times New Roman" w:hAnsi="Times New Roman"/>
                <w:sz w:val="20"/>
              </w:rPr>
              <w:t>Markowitz</w:t>
            </w:r>
          </w:p>
        </w:tc>
        <w:tc>
          <w:tcPr>
            <w:tcW w:type="dxa" w:w="1464"/>
          </w:tcPr>
          <w:p>
            <w:pPr>
              <w:spacing w:after="40" w:before="40"/>
            </w:pPr>
            <w:r>
              <w:rPr>
                <w:rFonts w:ascii="Times New Roman" w:hAnsi="Times New Roman"/>
                <w:sz w:val="20"/>
              </w:rPr>
              <w:t>0.832</w:t>
            </w:r>
          </w:p>
        </w:tc>
        <w:tc>
          <w:tcPr>
            <w:tcW w:type="dxa" w:w="1464"/>
          </w:tcPr>
          <w:p>
            <w:pPr>
              <w:spacing w:after="40" w:before="40"/>
            </w:pPr>
            <w:r>
              <w:rPr>
                <w:rFonts w:ascii="Times New Roman" w:hAnsi="Times New Roman"/>
                <w:sz w:val="20"/>
              </w:rPr>
              <w:t>5.39%</w:t>
            </w:r>
          </w:p>
        </w:tc>
        <w:tc>
          <w:tcPr>
            <w:tcW w:type="dxa" w:w="1464"/>
          </w:tcPr>
          <w:p>
            <w:pPr>
              <w:spacing w:after="40" w:before="40"/>
            </w:pPr>
            <w:r>
              <w:rPr>
                <w:rFonts w:ascii="Times New Roman" w:hAnsi="Times New Roman"/>
                <w:sz w:val="20"/>
              </w:rPr>
              <w:t>-19.82%</w:t>
            </w:r>
          </w:p>
        </w:tc>
        <w:tc>
          <w:tcPr>
            <w:tcW w:type="dxa" w:w="1464"/>
          </w:tcPr>
          <w:p>
            <w:pPr>
              <w:spacing w:after="40" w:before="40"/>
            </w:pPr>
            <w:r>
              <w:rPr>
                <w:rFonts w:ascii="Times New Roman" w:hAnsi="Times New Roman"/>
                <w:sz w:val="20"/>
              </w:rPr>
              <w:t>1.031</w:t>
            </w:r>
          </w:p>
        </w:tc>
        <w:tc>
          <w:tcPr>
            <w:tcW w:type="dxa" w:w="1464"/>
          </w:tcPr>
          <w:p>
            <w:pPr>
              <w:spacing w:after="40" w:before="40"/>
            </w:pPr>
            <w:r>
              <w:rPr>
                <w:rFonts w:ascii="Times New Roman" w:hAnsi="Times New Roman"/>
                <w:sz w:val="20"/>
              </w:rPr>
              <w:t>124.1%</w:t>
            </w:r>
          </w:p>
        </w:tc>
      </w:tr>
      <w:tr>
        <w:tc>
          <w:tcPr>
            <w:tcW w:type="dxa" w:w="1464"/>
          </w:tcPr>
          <w:p>
            <w:pPr>
              <w:spacing w:after="40" w:before="40"/>
            </w:pPr>
            <w:r>
              <w:rPr>
                <w:rFonts w:ascii="Times New Roman" w:hAnsi="Times New Roman"/>
                <w:sz w:val="20"/>
              </w:rPr>
              <w:t>Equal Weight</w:t>
            </w:r>
          </w:p>
        </w:tc>
        <w:tc>
          <w:tcPr>
            <w:tcW w:type="dxa" w:w="1464"/>
          </w:tcPr>
          <w:p>
            <w:pPr>
              <w:spacing w:after="40" w:before="40"/>
            </w:pPr>
            <w:r>
              <w:rPr>
                <w:rFonts w:ascii="Times New Roman" w:hAnsi="Times New Roman"/>
                <w:sz w:val="20"/>
              </w:rPr>
              <w:t>0.649</w:t>
            </w:r>
          </w:p>
        </w:tc>
        <w:tc>
          <w:tcPr>
            <w:tcW w:type="dxa" w:w="1464"/>
          </w:tcPr>
          <w:p>
            <w:pPr>
              <w:spacing w:after="40" w:before="40"/>
            </w:pPr>
            <w:r>
              <w:rPr>
                <w:rFonts w:ascii="Times New Roman" w:hAnsi="Times New Roman"/>
                <w:sz w:val="20"/>
              </w:rPr>
              <w:t>7.30%</w:t>
            </w:r>
          </w:p>
        </w:tc>
        <w:tc>
          <w:tcPr>
            <w:tcW w:type="dxa" w:w="1464"/>
          </w:tcPr>
          <w:p>
            <w:pPr>
              <w:spacing w:after="40" w:before="40"/>
            </w:pPr>
            <w:r>
              <w:rPr>
                <w:rFonts w:ascii="Times New Roman" w:hAnsi="Times New Roman"/>
                <w:sz w:val="20"/>
              </w:rPr>
              <w:t>-24.21%</w:t>
            </w:r>
          </w:p>
        </w:tc>
        <w:tc>
          <w:tcPr>
            <w:tcW w:type="dxa" w:w="1464"/>
          </w:tcPr>
          <w:p>
            <w:pPr>
              <w:spacing w:after="40" w:before="40"/>
            </w:pPr>
            <w:r>
              <w:rPr>
                <w:rFonts w:ascii="Times New Roman" w:hAnsi="Times New Roman"/>
                <w:sz w:val="20"/>
              </w:rPr>
              <w:t>0.794</w:t>
            </w:r>
          </w:p>
        </w:tc>
        <w:tc>
          <w:tcPr>
            <w:tcW w:type="dxa" w:w="1464"/>
          </w:tcPr>
          <w:p>
            <w:pPr>
              <w:spacing w:after="40" w:before="40"/>
            </w:pPr>
            <w:r>
              <w:rPr>
                <w:rFonts w:ascii="Times New Roman" w:hAnsi="Times New Roman"/>
                <w:sz w:val="20"/>
              </w:rPr>
              <w:t>198.1%</w:t>
            </w:r>
          </w:p>
        </w:tc>
      </w:tr>
    </w:tbl>
    <w:p>
      <w:pPr>
        <w:pStyle w:val="UFVEpgrafeNivel3"/>
        <w:spacing w:line="360" w:lineRule="auto" w:before="240" w:after="120"/>
        <w:ind w:firstLine="0"/>
      </w:pPr>
      <w:r>
        <w:rPr>
          <w:rFonts w:ascii="Times New Roman" w:hAnsi="Times New Roman"/>
          <w:b/>
          <w:i/>
          <w:color w:val="000000"/>
          <w:sz w:val="22"/>
        </w:rPr>
        <w:t xml:space="preserve">Diagnóstico de overfitting</w:t>
      </w:r>
    </w:p>
    <w:p>
      <w:pPr>
        <w:pStyle w:val="UFVNormal"/>
        <w:rPr>
          <w:b/>
          <w:lang w:val="en-GB"/>
        </w:rPr>
      </w:pPr>
      <w:r>
        <w:rPr>
          <w:b/>
          <w:lang w:val="en-GB"/>
        </w:rPr>
        <w:t xml:space="preserve">El diagnóstico de sobreajuste se realizó comparando la desviación estándar de las predicciones con la de los retornos reales. El ratio medio es 0.16x (las predicciones son 6 veces menos volátiles que la realidad), confirmando que el modelo es conservador y no exagera. El ratio train_RMSE/test_RMSE medio es 0.92x, indicando ausencia de sobreajuste: el modelo no memoriza los datos de entrenamiento. Adicionalmente, la evolución temporal muestra que la cartera ML supera al 60/40 en 12 de los 16 años evaluados (75%), incluyendo años de crisis (2008 no se evalúa por ser período de entrenamiento, pero 2020 COVID y 2022 tipos sí).</w:t>
      </w:r>
    </w:p>
    <w:p>
      <w:pPr>
        <w:pStyle w:val="UFVEpgrafeNivel2"/>
        <w:numPr>
          <w:ilvl w:val="1"/>
          <w:numId w:val="4"/>
        </w:numPr>
        <w:rPr/>
      </w:pPr>
      <w:bookmarkStart w:id="4" w:name="__RefHeading___Toc177409325"/>
      <w:bookmarkEnd w:id="4"/>
      <w:r>
        <w:rPr/>
        <w:t>3.3.4. Visualización de resultados</w:t>
      </w:r>
    </w:p>
    <w:p>
      <w:pPr>
        <w:pStyle w:val="UFVNormal"/>
        <w:rPr>
          <w:b/>
          <w:lang w:val="en-GB"/>
        </w:rPr>
      </w:pPr>
      <w:r>
        <w:rPr>
          <w:b/>
          <w:lang w:val="en-GB"/>
        </w:rPr>
        <w:t xml:space="preserve">[Insertar imagen: docs/figures/comparativa_carteras_riesgo_retorno.png]</w:t>
      </w:r>
    </w:p>
    <w:p>
      <w:pPr>
        <w:pStyle w:val="UFVNormal"/>
        <w:rPr>
          <w:b/>
          <w:lang w:val="en-GB"/>
        </w:rPr>
      </w:pPr>
      <w:r>
        <w:rPr>
          <w:b/>
          <w:lang w:val="en-GB"/>
        </w:rPr>
        <w:t xml:space="preserve">Figura 10. Frontera eficiente y carteras del TFG (2011-2026). Los puntos grises representan 5.000 carteras aleatorias. Las estrellas rojas (XGBoost Tuned, Sharpe 1.397) y naranjas (LightGBM Tuned, Sharpe 1.313) superan la frontera eficiente estática gracias al rebalanceo dinámico semanal.</w:t>
      </w:r>
    </w:p>
    <w:p>
      <w:pPr>
        <w:pStyle w:val="UFVNormal"/>
        <w:rPr>
          <w:b/>
          <w:lang w:val="en-GB"/>
        </w:rPr>
      </w:pPr>
      <w:r>
        <w:rPr>
          <w:b/>
          <w:lang w:val="en-GB"/>
        </w:rPr>
        <w:t xml:space="preserve">[Insertar imagen: docs/figures/equity_curves.png]</w:t>
      </w:r>
    </w:p>
    <w:p>
      <w:pPr>
        <w:pStyle w:val="UFVNormal"/>
        <w:rPr>
          <w:b/>
          <w:lang w:val="en-GB"/>
        </w:rPr>
      </w:pPr>
      <w:r>
        <w:rPr>
          <w:b/>
          <w:lang w:val="en-GB"/>
        </w:rPr>
        <w:t xml:space="preserve">Figura 11. Evolución de 100 euros invertidos en cada cartera (2011-2026), escala logarítmica. XGBoost Tuned: 100 euros a 526 euros (+426%). Las zonas sombreadas indican periodos de crisis (COVID-19, subidas de tipos 2022).</w:t>
      </w:r>
    </w:p>
    <w:p>
      <w:pPr>
        <w:pStyle w:val="UFVNormal"/>
        <w:rPr>
          <w:b/>
          <w:lang w:val="en-GB"/>
        </w:rPr>
      </w:pPr>
      <w:r>
        <w:rPr>
          <w:b/>
          <w:lang w:val="en-GB"/>
        </w:rPr>
        <w:t xml:space="preserve">[Insertar imagen: docs/figures/shap_global_importance.png]</w:t>
      </w:r>
    </w:p>
    <w:p>
      <w:pPr>
        <w:pStyle w:val="UFVNormal"/>
        <w:rPr>
          <w:b/>
          <w:lang w:val="en-GB"/>
        </w:rPr>
      </w:pPr>
      <w:r>
        <w:rPr>
          <w:b/>
          <w:lang w:val="en-GB"/>
        </w:rPr>
        <w:t xml:space="preserve">Figura 12. Top 20 variables por importancia SHAP global (media de los 10 ETFs). Las Condiciones Financieras (NFCI) dominan con el 16.5% de la importancia total. Colores por dimensión: azul=mercado, rojo=riesgo, naranja=sentimiento.</w:t>
      </w:r>
    </w:p>
    <w:p>
      <w:pPr>
        <w:pStyle w:val="UFVNormal"/>
        <w:rPr>
          <w:b/>
          <w:lang w:val="en-GB"/>
        </w:rPr>
      </w:pPr>
      <w:r>
        <w:rPr>
          <w:b/>
          <w:lang w:val="en-GB"/>
        </w:rPr>
        <w:t xml:space="preserve">[Insertar imagen: docs/figures/shap_dimension_importance.png]</w:t>
      </w:r>
    </w:p>
    <w:p>
      <w:pPr>
        <w:pStyle w:val="UFVNormal"/>
        <w:rPr>
          <w:b/>
          <w:lang w:val="en-GB"/>
        </w:rPr>
      </w:pPr>
      <w:r>
        <w:rPr>
          <w:b/>
          <w:lang w:val="en-GB"/>
        </w:rPr>
        <w:t xml:space="preserve">Figura 13. Contribución de cada dimensión al poder predictivo. Riesgo aporta 5 veces más información por variable (5.3%/feat) que Mercado (1.1%/feat). NLP de noticias contribuye 0%.</w:t>
      </w:r>
    </w:p>
    <w:p>
      <w:pPr>
        <w:pStyle w:val="UFVNormal"/>
        <w:rPr>
          <w:b/>
          <w:lang w:val="en-GB"/>
        </w:rPr>
      </w:pPr>
      <w:r>
        <w:rPr>
          <w:b/>
          <w:lang w:val="en-GB"/>
        </w:rPr>
        <w:t xml:space="preserve">[Insertar imagen: docs/figures/shap_beeswarm_spy.png]</w:t>
      </w:r>
    </w:p>
    <w:p>
      <w:pPr>
        <w:pStyle w:val="UFVNormal"/>
        <w:rPr>
          <w:b/>
          <w:lang w:val="en-GB"/>
        </w:rPr>
      </w:pPr>
      <w:r>
        <w:rPr>
          <w:b/>
          <w:lang w:val="en-GB"/>
        </w:rPr>
        <w:t xml:space="preserve">Figura 14. SHAP beeswarm para SPY (S&amp;P 500). Dir. Accuracy: 59.6%. El NFCI alto (rojo) empuja las predicciones a la baja. El VIX alto tiene efecto negativo.</w:t>
      </w:r>
    </w:p>
    <w:p>
      <w:pPr>
        <w:pStyle w:val="UFVNormal"/>
        <w:rPr>
          <w:b/>
          <w:lang w:val="en-GB"/>
        </w:rPr>
      </w:pPr>
      <w:r>
        <w:rPr>
          <w:b/>
          <w:lang w:val="en-GB"/>
        </w:rPr>
        <w:t xml:space="preserve">[Insertar imagen: docs/figures/shap_beeswarm_agg.png]</w:t>
      </w:r>
    </w:p>
    <w:p>
      <w:pPr>
        <w:pStyle w:val="UFVNormal"/>
        <w:rPr>
          <w:b/>
          <w:lang w:val="en-GB"/>
        </w:rPr>
      </w:pPr>
      <w:r>
        <w:rPr>
          <w:b/>
          <w:lang w:val="en-GB"/>
        </w:rPr>
        <w:t xml:space="preserve">Figura 15. SHAP beeswarm para AGG (Bonos US). Dir. Accuracy: 56.9%. Escala ~100 veces menor que SPY — renta fija menos volátil.</w:t>
      </w:r>
    </w:p>
    <w:p>
      <w:pPr>
        <w:pStyle w:val="UFVNormal"/>
        <w:rPr>
          <w:b/>
          <w:lang w:val="en-GB"/>
        </w:rPr>
      </w:pPr>
      <w:r>
        <w:rPr>
          <w:b/>
          <w:lang w:val="en-GB"/>
        </w:rPr>
        <w:t xml:space="preserve">[Insertar imagen: docs/figures/shap_beeswarm_gld.png]</w:t>
      </w:r>
    </w:p>
    <w:p>
      <w:pPr>
        <w:pStyle w:val="UFVNormal"/>
        <w:rPr>
          <w:b/>
          <w:lang w:val="en-GB"/>
        </w:rPr>
      </w:pPr>
      <w:r>
        <w:rPr>
          <w:b/>
          <w:lang w:val="en-GB"/>
        </w:rPr>
        <w:t xml:space="preserve">Figura 16. SHAP beeswarm para GLD (Oro). Dir. Accuracy: 54.9%. Google:Inflación es el driver principal — el oro actúa como cobertura inflacionaria.</w:t>
      </w:r>
    </w:p>
    <w:p>
      <w:pPr>
        <w:pStyle w:val="UFVNormal"/>
        <w:rPr>
          <w:b/>
          <w:lang w:val="en-GB"/>
        </w:rPr>
      </w:pPr>
      <w:r>
        <w:rPr>
          <w:b/>
          <w:lang w:val="en-GB"/>
        </w:rPr>
        <w:t xml:space="preserve">[Insertar imagen: docs/figures/shap_etf_comparison.png]</w:t>
      </w:r>
    </w:p>
    <w:p>
      <w:pPr>
        <w:pStyle w:val="UFVNormal"/>
        <w:rPr>
          <w:b/>
          <w:lang w:val="en-GB"/>
        </w:rPr>
      </w:pPr>
      <w:r>
        <w:rPr>
          <w:b/>
          <w:lang w:val="en-GB"/>
        </w:rPr>
        <w:t xml:space="preserve">Figura 17. Importancia SHAP por variable y ETF (top 15). Las líneas blancas separan renta variable, renta fija y alternativos.</w:t>
      </w:r>
    </w:p>
    <w:p>
      <w:pPr>
        <w:pStyle w:val="UFVNormal"/>
        <w:rPr>
          <w:b/>
          <w:lang w:val="en-GB"/>
        </w:rPr>
      </w:pPr>
      <w:r>
        <w:rPr>
          <w:b/>
          <w:lang w:val="en-GB"/>
        </w:rPr>
        <w:t xml:space="preserve">[Insertar imagen: docs/figures/shap_temporal_importance.png]</w:t>
      </w:r>
    </w:p>
    <w:p>
      <w:pPr>
        <w:pStyle w:val="UFVNormal"/>
        <w:rPr>
          <w:b/>
          <w:lang w:val="en-GB"/>
        </w:rPr>
      </w:pPr>
      <w:r>
        <w:rPr>
          <w:b/>
          <w:lang w:val="en-GB"/>
        </w:rPr>
        <w:t xml:space="preserve">Figura 18. Evolución temporal de importancia SHAP en tres períodos. 2016-2020 incluye crisis COVID-19. Las Condiciones Financieras (NFCI) ganan importancia en periodos de crisis.</w:t>
      </w:r>
    </w:p>
    <w:p>
      <w:pPr>
        <w:pStyle w:val="UFVNormal"/>
        <w:rPr>
          <w:b/>
          <w:lang w:val="en-GB"/>
        </w:rPr>
      </w:pPr>
      <w:r>
        <w:rPr>
          <w:b/>
          <w:lang w:val="en-GB"/>
        </w:rPr>
        <w:t xml:space="preserve">[Insertar imagen: docs/figures/shap_waterfall_extreme.png]</w:t>
      </w:r>
    </w:p>
    <w:p>
      <w:pPr>
        <w:pStyle w:val="UFVNormal"/>
        <w:rPr>
          <w:b/>
          <w:lang w:val="en-GB"/>
        </w:rPr>
      </w:pPr>
      <w:r>
        <w:rPr>
          <w:b/>
          <w:lang w:val="en-GB"/>
        </w:rPr>
        <w:t xml:space="preserve">Figura 19. SHAP waterfall para SPY, semana del 17 de marzo de 2023 (crisis bancaria SVB). El deterioro de las condiciones financieras empuja la predicción a la baja.</w:t>
      </w:r>
    </w:p>
    <w:p>
      <w:pPr>
        <w:pStyle w:val="UFVEpgrafeNivel2"/>
        <w:numPr>
          <w:ilvl w:val="1"/>
          <w:numId w:val="4"/>
        </w:numPr>
        <w:rPr/>
      </w:pPr>
      <w:bookmarkStart w:id="4" w:name="__RefHeading___Toc177409325"/>
      <w:bookmarkEnd w:id="4"/>
      <w:r>
        <w:rPr/>
        <w:t>3.3.5. Interpretación de resultados</w:t>
      </w:r>
    </w:p>
    <w:p>
      <w:pPr>
        <w:pStyle w:val="UFVEpgrafeNivel3"/>
        <w:spacing w:line="360" w:lineRule="auto" w:before="240" w:after="120"/>
        <w:ind w:firstLine="0"/>
      </w:pPr>
      <w:r>
        <w:rPr>
          <w:rFonts w:ascii="Times New Roman" w:hAnsi="Times New Roman"/>
          <w:b/>
          <w:i/>
          <w:color w:val="000000"/>
          <w:sz w:val="22"/>
        </w:rPr>
        <w:t xml:space="preserve">Interpretación SHAP</w:t>
      </w:r>
    </w:p>
    <w:p>
      <w:pPr>
        <w:pStyle w:val="UFVNormal"/>
        <w:rPr>
          <w:b/>
          <w:lang w:val="en-GB"/>
        </w:rPr>
      </w:pPr>
      <w:r>
        <w:rPr>
          <w:b/>
          <w:lang w:val="en-GB"/>
        </w:rPr>
        <w:t xml:space="preserve">El análisis SHAP revela que las tres variables más importantes a nivel global son: las Condiciones Financieras (NFCI, 16.5% de importancia), el Drawdown de Emergentes (3.7%) y el Nivel del VIX (3.5%). La dimensión de Mercado concentra el 68.4% de la importancia total (60 features), pero la dimensión de Riesgo es 5 veces más eficiente: con solo 4 features aporta el 21.3%, lo que equivale a 5.3% por variable frente al 1.1% por variable de Mercado. Las 22 features de NLP de noticias contribuyen 0% al poder predictivo, coherente con que tienen 94.3% de valores faltantes.</w:t>
      </w:r>
    </w:p>
    <w:p>
      <w:pPr>
        <w:pStyle w:val="UFVNormal"/>
        <w:rPr>
          <w:b/>
          <w:lang w:val="en-GB"/>
        </w:rPr>
      </w:pPr>
      <w:r>
        <w:rPr>
          <w:b/>
          <w:lang w:val="en-GB"/>
        </w:rPr>
        <w:t xml:space="preserve">Cada ETF tiene drivers diferentes. El NFCI domina para los ETFs de renta variable (SPY, QQQ, IWM, EFA). El Drawdown propio domina para Emergentes (EEM). Para el Oro (GLD), Google:Inflación es la variable más importante, reflejando el papel del oro como cobertura inflacionaria. Para Bonos US (AGG), el retorno propio domina debido a la alta autocorrelación de los retornos de renta fija. El modelo se adapta a diferentes regímenes: la importancia relativa de las variables cambia entre los períodos 2011-2015, 2016-2020 (crisis COVID) y 2021-2025 (subidas de tipos).</w:t>
      </w:r>
    </w:p>
    <w:p>
      <w:pPr>
        <w:pStyle w:val="UFVEpgrafeNivel3"/>
        <w:spacing w:line="360" w:lineRule="auto" w:before="240" w:after="120"/>
        <w:ind w:firstLine="0"/>
      </w:pPr>
      <w:r>
        <w:rPr>
          <w:rFonts w:ascii="Times New Roman" w:hAnsi="Times New Roman"/>
          <w:b/>
          <w:i/>
          <w:color w:val="000000"/>
          <w:sz w:val="22"/>
        </w:rPr>
        <w:t xml:space="preserve">Experimentos de feature engineering</w:t>
      </w:r>
    </w:p>
    <w:p>
      <w:pPr>
        <w:pStyle w:val="UFVNormal"/>
        <w:rPr>
          <w:b/>
          <w:lang w:val="en-GB"/>
        </w:rPr>
      </w:pPr>
      <w:r>
        <w:rPr>
          <w:b/>
          <w:lang w:val="en-GB"/>
        </w:rPr>
        <w:t xml:space="preserve">Se realizaron dos experimentos adicionales para evaluar la robustez del dataset de 109 features. En el Experimento 1, se añadieron 12 nuevas variables (WEI, CCSA, STLFSI4, MOVE Index, spread 10Y-3M, VIX term structure, correlación SPY-AGG, dispersión de retornos). El Sharpe bajó de 1.397 a 1.203 con 121 features, indicando que las nuevas variables aportan más ruido que señal. En el Experimento 2, se eliminaron 49 features con SHAP &lt; 0.00005 (todas las NLP, la mayoría de sentimiento y algunas macro). El Sharpe bajó a 1.271 con 60 features, demostrando que las features aparentemente irrelevantes contribuyen colectivamente al poder predictivo.</w:t>
      </w:r>
    </w:p>
    <w:p>
      <w:pPr>
        <w:pStyle w:val="UFVNormal"/>
        <w:rPr>
          <w:b/>
          <w:lang w:val="en-GB"/>
        </w:rPr>
      </w:pPr>
      <w:r>
        <w:rPr>
          <w:b/>
          <w:lang w:val="en-GB"/>
        </w:rPr>
        <w:t xml:space="preserve">La conclusión es que 109 features es el óptimo: ni añadir ni eliminar mejora el resultado. Este hallazgo es metodológicamente relevante porque demuestra que XGBoost maneja eficientemente features de baja importancia individual sin necesidad de feature selection previa, y que documentar lo que no funciona es tan valioso como lo que sí.</w:t>
      </w:r>
    </w:p>
    <w:p>
      <w:pPr>
        <w:pStyle w:val="UFVEpgrafeNivel3"/>
        <w:spacing w:line="360" w:lineRule="auto" w:before="240" w:after="120"/>
        <w:ind w:firstLine="0"/>
      </w:pPr>
      <w:r>
        <w:rPr>
          <w:rFonts w:ascii="Times New Roman" w:hAnsi="Times New Roman"/>
          <w:b/>
          <w:i/>
          <w:color w:val="000000"/>
          <w:sz w:val="22"/>
        </w:rPr>
        <w:t xml:space="preserve">Valor añadido del Machine Learning</w:t>
      </w:r>
    </w:p>
    <w:p>
      <w:pPr>
        <w:pStyle w:val="UFVNormal"/>
        <w:rPr>
          <w:b/>
          <w:lang w:val="en-GB"/>
        </w:rPr>
      </w:pPr>
      <w:r>
        <w:rPr>
          <w:b/>
          <w:lang w:val="en-GB"/>
        </w:rPr>
        <w:t xml:space="preserve">Las carteras ML superan la frontera eficiente estática porque el rebalanceo dinámico semanal adapta los pesos a las condiciones cambiantes del mercado. La diferencia entre el Sharpe estático de la frontera eficiente (1.028) y el Sharpe walk-forward del XGBoost Tuned (1.397) cuantifica el valor añadido del ML: 0.369 puntos de Sharpe, equivalentes a un incremento del 36% en la eficiencia riesgo-retorno. La cartera XGBoost Tuned reduce el maximum drawdown de -24.21% (equal weight) a -14.83%, proporcionando protección significativa en periodos de crisis.</w:t>
      </w:r>
    </w:p>
    <w:p>
      <w:pPr>
        <w:pStyle w:val="UFVEpgrafeNivel3"/>
        <w:spacing w:line="360" w:lineRule="auto" w:before="240" w:after="120"/>
        <w:ind w:firstLine="0"/>
      </w:pPr>
      <w:r>
        <w:rPr>
          <w:rFonts w:ascii="Times New Roman" w:hAnsi="Times New Roman"/>
          <w:b/>
          <w:i/>
          <w:color w:val="000000"/>
          <w:sz w:val="22"/>
        </w:rPr>
        <w:t xml:space="preserve">Limitaciones</w:t>
      </w:r>
    </w:p>
    <w:p>
      <w:pPr>
        <w:pStyle w:val="UFVNormal"/>
        <w:rPr>
          <w:b/>
          <w:lang w:val="en-GB"/>
        </w:rPr>
      </w:pPr>
      <w:r>
        <w:rPr>
          <w:b/>
          <w:lang w:val="en-GB"/>
        </w:rPr>
        <w:t xml:space="preserve">Los resultados deben interpretarse considerando las siguientes limitaciones. Primero, no se incluyen costes de transacción ni slippage, que reducirían los retornos netos del rebalanceo semanal. Segundo, el período 2011-2026 fue predominantemente alcista para la renta variable estadounidense, lo que favorece las estrategias largas. Tercero, el R² negativo indica que las predicciones puntuales son débiles; el valor del modelo reside en acertar la dirección (56.8% &gt; 50%), no la magnitud exacta. Cuarto, el universo de 10 ETFs es limitado y los resultados podrían no generalizarse a universos más amplios o a mercados menos líquidos.</w:t>
      </w:r>
    </w:p>
    <w:p>
      <w:pPr>
        <w:pStyle w:val="UFVEpgrafeNivel2"/>
        <w:numPr>
          <w:ilvl w:val="1"/>
          <w:numId w:val="4"/>
        </w:numPr>
        <w:rPr/>
      </w:pPr>
      <w:bookmarkStart w:id="12" w:name="__RefHeading___Toc177409333"/>
      <w:bookmarkEnd w:id="12"/>
      <w:r>
        <w:rPr/>
        <w:t>3.4. 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4. 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5. 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