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Ttulo"/>
        <w:rPr/>
      </w:pPr>
      <w:r>
        <w:rPr/>
        <w:t>Optimización de Carteras de Inversión</w:t>
      </w:r>
    </w:p>
    <w:p>
      <w:pPr>
        <w:pStyle w:val="UFVTtulo"/>
        <w:rPr/>
      </w:pPr>
      <w:r>
        <w:rPr/>
        <w:t>mediante Predicción de Retornos con XGBoost y Señales Macroeconómicas, de Riesgo y de Sentimiento Aplicado a ETFs</w:t>
      </w:r>
    </w:p>
    <w:p>
      <w:pPr>
        <w:pStyle w:val="UFVNormal"/>
        <w:rPr/>
      </w:pPr>
      <w:r>
        <w:rPr/>
      </w:r>
    </w:p>
    <w:p>
      <w:pPr>
        <w:pStyle w:val="UFVNormal"/>
        <w:jc w:val="center"/>
        <w:rPr>
          <w:lang w:val="en-US"/>
        </w:rPr>
      </w:pPr>
      <w:r>
        <w:rPr>
          <w:lang w:val="en-US"/>
        </w:rPr>
      </w:r>
    </w:p>
    <w:p>
      <w:pPr>
        <w:pStyle w:val="UFVAutor"/>
        <w:rPr/>
      </w:pPr>
      <w:r>
        <w:rPr/>
        <w:t>Alumno: Mateo Madrigal Arteaga</w:t>
      </w:r>
    </w:p>
    <w:p>
      <w:pPr>
        <w:pStyle w:val="UFVAutor"/>
        <w:rPr>
          <w:lang w:val="en-GB"/>
        </w:rPr>
      </w:pPr>
      <w:r>
        <w:rPr>
          <w:lang w:val="en-GB"/>
        </w:rPr>
        <w:t>Email: 9200428@alumnos.ufv.es</w:t>
      </w:r>
    </w:p>
    <w:p>
      <w:pPr>
        <w:pStyle w:val="UFVAutor"/>
        <w:rPr/>
      </w:pPr>
      <w:r>
        <w:rPr/>
        <w:t>Grado en Análisis de Negocios / Business Analytics</w:t>
      </w:r>
    </w:p>
    <w:p>
      <w:pPr>
        <w:pStyle w:val="UFVAutor"/>
        <w:rPr/>
      </w:pPr>
      <w:r>
        <w:rPr/>
        <w:t>Curso académico 2025-2026</w:t>
      </w: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Resumen"/>
        <w:rPr/>
      </w:pPr>
      <w:r>
        <w:rPr>
          <w:b/>
        </w:rPr>
        <w:t xml:space="preserve">Resumen </w:t>
      </w:r>
    </w:p>
    <w:p>
      <w:pPr>
        <w:pStyle w:val="UFVResumen"/>
        <w:rPr>
          <w:b/>
        </w:rPr>
      </w:pPr>
      <w:r>
        <w:rPr>
          <w:b/>
        </w:rPr>
      </w:r>
    </w:p>
    <w:p>
      <w:pPr>
        <w:pStyle w:val="UFVResumen"/>
        <w:rPr/>
      </w:pPr>
      <w:r>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w:t>
      </w:r>
      <w:r>
        <w:rPr>
          <w:i/>
        </w:rPr>
      </w:r>
      <w:r>
        <w:rPr/>
      </w:r>
      <w:r>
        <w:rPr>
          <w:i/>
        </w:rPr>
      </w:r>
      <w:r>
        <w:rPr/>
      </w:r>
      <w:r>
        <w:rPr>
          <w:i/>
        </w:rPr>
      </w:r>
      <w:r>
        <w:rPr/>
      </w:r>
    </w:p>
    <w:p>
      <w:pPr>
        <w:pStyle w:val="UFVResumen"/>
        <w:rPr/>
      </w:pPr>
      <w:r>
        <w:rPr/>
      </w:r>
    </w:p>
    <w:p>
      <w:pPr>
        <w:pStyle w:val="UFVResumen"/>
        <w:rPr/>
      </w:pPr>
      <w:r>
        <w:rPr>
          <w:b/>
        </w:rPr>
        <w:t>Palabras clave: optimización de carteras; machine learning; XGBoost; predicción de retornos; SHAP; ETFs</w:t>
      </w:r>
      <w:r>
        <w:rPr/>
      </w:r>
      <w:r>
        <w:rPr>
          <w:b/>
        </w:rPr>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w:t>
      </w:r>
    </w:p>
    <w:p>
      <w:pPr>
        <w:pStyle w:val="UFVResumen"/>
        <w:rPr>
          <w:lang w:val="en-GB"/>
        </w:rPr>
      </w:pPr>
      <w:r>
        <w:rPr>
          <w:lang w:val="en-GB"/>
        </w:rPr>
      </w:r>
    </w:p>
    <w:p>
      <w:pPr>
        <w:pStyle w:val="UFVResumen"/>
        <w:rPr>
          <w:lang w:val="en-GB"/>
        </w:rPr>
      </w:pPr>
      <w:r>
        <w:rPr>
          <w:b/>
          <w:lang w:val="en-GB"/>
        </w:rPr>
        <w:t>Keywords: portfolio optimization; machine learning; XGBoost; return prediction; SHAP; ETFs</w:t>
      </w:r>
      <w:r>
        <w:rPr>
          <w:lang w:val="en-GB"/>
        </w:rPr>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UFVNormal"/>
        <w:jc w:val="end"/>
        <w:rPr/>
      </w:pPr>
      <w:r>
        <w:rPr/>
        <w:t>Quiero expresar mi agradecimiento a mi tutor por su orientación y seguimiento durante la elaboración de este trabajo. Agradezco también a la Universidad Francisco de Vitoria y al equipo docente del Grado en Business Analytics por la formación recibida. En la elaboración de este trabajo se ha utilizado Claude (Anthropic, versiones Claude 3.5 Sonnet y Claude Opus 4) como herramienta de asistencia para la generación y revisión de código Python. Todas las decisiones metodológicas, la interpretación de resultados y las conclusiones son responsabilidad exclusiva del autor.</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EpgrafeNivel1"/>
        <w:numPr>
          <w:ilvl w:val="0"/>
          <w:numId w:val="0"/>
        </w:numPr>
        <w:ind w:hanging="0" w:start="1074" w:end="0"/>
        <w:rPr/>
      </w:pPr>
      <w:bookmarkStart w:id="0" w:name="__RefHeading___Toc177409321"/>
      <w:r>
        <w:rPr/>
        <w:t>Índice de Figuras</w:t>
      </w:r>
      <w:bookmarkEnd w:id="0"/>
      <w:r>
        <w:rPr/>
      </w:r>
    </w:p>
    <w:p>
      <w:pPr>
        <w:pStyle w:val="UFVNormal"/>
        <w:rPr/>
      </w:pPr>
      <w:r>
        <w:rPr/>
        <w:t>[Se generará automáticamente al finalizar el documento]</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[Se generará automáticamente al finalizar el documento]</w:t>
      </w:r>
    </w:p>
    <w:p>
      <w:pPr>
        <w:pStyle w:val="UFVNormal"/>
        <w:rPr/>
      </w:pPr>
      <w:r>
        <w:rPr/>
      </w:r>
    </w:p>
    <w:p>
      <w:pPr>
        <w:pStyle w:val="UFVNormal"/>
        <w:rPr/>
      </w:pPr>
      <w:r>
        <w:rPr/>
      </w:r>
    </w:p>
    <w:p>
      <w:pPr>
        <w:pStyle w:val="UFVEpgrafeNivel1"/>
        <w:ind w:hanging="0" w:start="0"/>
        <w:rPr/>
      </w:pPr>
      <w:bookmarkStart w:id="2" w:name="__RefHeading___Toc177409323"/>
      <w:bookmarkEnd w:id="2"/>
      <w:r>
        <w:rPr>
          <w:caps w:val="false"/>
          <w:smallCaps w:val="false"/>
        </w:rPr>
        <w:t>1. INTRODUCCIÓN</w:t>
      </w:r>
    </w:p>
    <w:p>
      <w:pPr>
        <w:pStyle w:val="UFVNormal"/>
        <w:rPr/>
      </w:pPr>
      <w:r>
        <w:rPr>
          <w:b/>
        </w:rPr>
        <w:t xml:space="preserve">Objetivo general: </w:t>
      </w:r>
      <w:r>
        <w:t>Diseñar, implementar y evaluar un sistema de optimización dinámica de carteras de inversión basado en predicciones de retornos semanales generadas por modelos de gradient boosting (XGBoost y LightGBM), combinados con un optimizador de media-varianza de Markowitz, validado out-of-sample mediante walk-forward expanding window sobre 778 semanas (2011-2026).</w:t>
      </w:r>
    </w:p>
    <w:p>
      <w:pPr>
        <w:pStyle w:val="UFVNormal"/>
        <w:rPr/>
      </w:pPr>
      <w:r>
        <w:rPr>
          <w:b/>
        </w:rPr>
        <w:t>Objetivos específicos:</w:t>
      </w:r>
    </w:p>
    <w:p>
      <w:pPr>
        <w:pStyle w:val="UFVNormal"/>
        <w:rPr/>
      </w:pPr>
      <w:r>
        <w:rPr/>
        <w:t xml:space="preserve">OE1: Construir un dataset multidimensional de 109 variables predictivas a partir de 6 fuentes de datos heterogéneas (Yahoo Finance, FRED, Google Trends, AAII, Refinitiv), cubriendo 5 dimensiones informativas (mercado, macro, riesgo, liquidez, sentimiento) más NLP de noticias.</w:t>
      </w:r>
    </w:p>
    <w:p>
      <w:pPr>
        <w:pStyle w:val="UFVNormal"/>
        <w:rPr/>
      </w:pPr>
      <w:r>
        <w:rPr/>
        <w:t xml:space="preserve">OE2: Entrenar y optimizar modelos XGBoost y LightGBM con Optuna (75 trials bayesianos) para la predicción de retornos semanales de 10 ETFs, implementando early stopping y regularización para prevenir el sobreajuste.</w:t>
      </w:r>
    </w:p>
    <w:p>
      <w:pPr>
        <w:pStyle w:val="UFVNormal"/>
        <w:rPr/>
      </w:pPr>
      <w: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w:t>
      </w:r>
    </w:p>
    <w:p>
      <w:pPr>
        <w:pStyle w:val="UFVNormal"/>
        <w:rPr/>
      </w:pPr>
      <w:r>
        <w:rPr/>
        <w:t xml:space="preserve">La crisis financiera global de 2008, la pandemia de COVID-19 en 2020 y el shock inflacionario de 2022 pusieron de manifiesto las limitaciones de los modelos estáticos. En estos episodios, las correlaciones entre activos convergieron hacia uno, anulando los beneficios de la diversificación que Markowitz había formalizado.</w:t>
      </w:r>
    </w:p>
    <w:p>
      <w:pPr>
        <w:pStyle w:val="UFVNormal"/>
        <w:rPr/>
      </w:pPr>
      <w: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que incorporen información predictiva.</w:t>
      </w:r>
    </w:p>
    <w:p>
      <w:pPr>
        <w:pStyle w:val="UFVNormal"/>
        <w:rPr/>
      </w:pPr>
      <w:r>
        <w:rPr/>
        <w:t xml:space="preserve">Los ETFs han democratizado el acceso a la diversificación entre clases de activos, permitiendo a inversores de cualquier tamaño construir carteras globales con costes reducidos. La combinación de ETFs con modelos predictivos de ML representa una oportunidad para mejorar la asignación de activos sin los sesgos cognitivos del gestor humano.</w:t>
      </w:r>
    </w:p>
    <w:p>
      <w:pPr>
        <w:pStyle w:val="UFVNormal"/>
        <w:rPr/>
      </w:pPr>
      <w:r>
        <w:rPr>
          <w:b/>
        </w:rPr>
        <w:t>2.3.1 Teoría moderna de carteras</w:t>
      </w:r>
    </w:p>
    <w:p>
      <w:pPr>
        <w:pStyle w:val="UFVNormal"/>
        <w:rPr/>
      </w:pPr>
      <w:r>
        <w:rPr/>
        <w:t xml:space="preserve">La teoría moderna de carteras tiene su origen en Markowitz (1952), quien formalizó la optimización media-varianza: el inversor busca maximizar el retorno esperado para un nivel dado de riesgo, o equivalentemente, minimizar el riesgo para un retorno objetivo. La solución a este problema de optimización genera la frontera eficiente, un concepto central en las finanzas cuantitativas.</w:t>
      </w:r>
    </w:p>
    <w:p>
      <w:pPr>
        <w:pStyle w:val="UFVNormal"/>
        <w:rPr/>
      </w:pPr>
      <w:r>
        <w:rPr/>
        <w:t xml:space="preserve">Sharpe (1964) extendió este marco con el Capital Asset Pricing Model (CAPM), introduciendo el ratio que lleva su nombre como medida de rentabilidad ajustada al riesgo. Black y Litterman (1992) propusieron un modelo que combina el equilibrio de mercado con views subjetivas del gestor, abordando parcialmente el problema de la sensibilidad de Markowitz a los parámetros de entrada.</w:t>
      </w:r>
    </w:p>
    <w:p>
      <w:pPr>
        <w:pStyle w:val="UFVNormal"/>
        <w:rPr/>
      </w:pPr>
      <w:r>
        <w:rPr>
          <w:b/>
        </w:rPr>
        <w:t xml:space="preserve">2.3.2 Machine Learning en predicción financiera</w:t>
      </w:r>
    </w:p>
    <w:p>
      <w:pPr>
        <w:pStyle w:val="UFVNormal"/>
        <w:rPr/>
      </w:pPr>
      <w:r>
        <w:rPr/>
        <w:t xml:space="preserve">Gu, Kelly y Xiu (2020) realizaron una comparación exhaustiva de modelos de ML para la predicción de retornos de activos, concluyendo que los modelos de gradient boosting y redes neuronales superan significativamente a los modelos lineales. Su trabajo, publicado en The Review of Financial Studies, es la referencia principal en el campo de asset pricing con ML.</w:t>
      </w:r>
    </w:p>
    <w:p>
      <w:pPr>
        <w:pStyle w:val="UFVNormal"/>
        <w:rPr/>
      </w:pPr>
      <w:r>
        <w:rPr/>
        <w:t xml:space="preserve">Fischer y Krauss (2018) aplicaron redes LSTM a la predicción de retornos del S&amp;P 500, obteniendo resultados prometedores pero con costes computacionales elevados. De Prado (2018), en su libro Advances in Financial Machine Learning, enfatiza la necesidad de walk-forward validation con purging y embargo temporal para evitar el data leakage en series temporales financieras.</w:t>
      </w:r>
    </w:p>
    <w:p>
      <w:pPr>
        <w:pStyle w:val="UFVNormal"/>
        <w:rPr/>
      </w:pPr>
      <w:r>
        <w:rPr/>
        <w:t xml:space="preserve">El reto fundamental en finanzas cuantitativas es que la señal predictiva es inherentemente débil: una precisión direccional del 55-60% ya constituye un resultado notable (Gu et al., 2020).</w:t>
      </w:r>
    </w:p>
    <w:p>
      <w:pPr>
        <w:pStyle w:val="UFVNormal"/>
        <w:rPr/>
      </w:pPr>
      <w:r>
        <w:rPr>
          <w:b/>
        </w:rPr>
        <w:t xml:space="preserve">2.3.3 Gradient Boosting: XGBoost y LightGBM</w:t>
      </w:r>
    </w:p>
    <w:p>
      <w:pPr>
        <w:pStyle w:val="UFVNormal"/>
        <w:rPr/>
      </w:pPr>
      <w:r>
        <w:rPr/>
        <w:t xml:space="preserve">Friedman (2001) formalizó las gradient boosting machines como un procedimiento de optimización funcional donde cada árbol nuevo corrige los errores residuales del ensemble acumulado.</w:t>
      </w:r>
    </w:p>
    <w:p>
      <w:pPr>
        <w:pStyle w:val="UFVNormal"/>
        <w:rPr/>
      </w:pPr>
      <w:r>
        <w:rPr/>
        <w:t xml:space="preserve">Chen y Guestrin (2016) propusieron XGBoost, que añade regularización L1/L2 sobre los pesos de las hojas, manejo nativo de valores faltantes y procesamiento paralelo. Su capacidad para manejar datos con valores nulos sin imputación previa es especialmente relevante en datos financieros.</w:t>
      </w:r>
    </w:p>
    <w:p>
      <w:pPr>
        <w:pStyle w:val="UFVNormal"/>
        <w:rPr/>
      </w:pPr>
      <w:r>
        <w:rPr/>
        <w:t xml:space="preserve">Ke et al. (2017) desarrollaron LightGBM con tres innovaciones: crecimiento leaf-wise, Gradient-based One-Side Sampling (GOSS) y Exclusive Feature Bundling (EFB). Yan (2025) demostró que LightGBM ofrece mejor gestión del riesgo en carteras financieras comparado con XGBoost.</w:t>
      </w:r>
    </w:p>
    <w:p>
      <w:pPr>
        <w:pStyle w:val="UFVNormal"/>
        <w:rPr/>
      </w:pPr>
      <w:r>
        <w:rPr>
          <w:b/>
        </w:rPr>
        <w:t xml:space="preserve">2.3.4 Validación en series temporales</w:t>
      </w:r>
    </w:p>
    <w:p>
      <w:pPr>
        <w:pStyle w:val="UFVNormal"/>
        <w:rPr/>
      </w:pPr>
      <w:r>
        <w:rPr/>
        <w:t xml:space="preserve">Tashman (2000) formalizó el concepto de walk-forward validation como el estándar para evaluar modelos predictivos en series temporales. A diferencia de la validación cruzada tradicional, el walk-forward respeta la estructura temporal: el modelo solo se entrena con datos pasados y se evalúa en datos futuros.</w:t>
      </w:r>
    </w:p>
    <w:p>
      <w:pPr>
        <w:pStyle w:val="UFVNormal"/>
        <w:rPr/>
      </w:pPr>
      <w:r>
        <w:rPr/>
        <w:t xml:space="preserve">De Prado (2018) propuso técnicas adicionales de purging y embargo temporal para evitar fugas de información sutiles en datos financieros con autocorrelación.</w:t>
      </w:r>
    </w:p>
    <w:p>
      <w:pPr>
        <w:pStyle w:val="UFVNormal"/>
        <w:rPr/>
      </w:pPr>
      <w:r>
        <w:rPr>
          <w:b/>
        </w:rPr>
        <w:t xml:space="preserve">2.3.5 Interpretabilidad: SHAP</w:t>
      </w:r>
    </w:p>
    <w:p>
      <w:pPr>
        <w:pStyle w:val="UFVNormal"/>
        <w:rPr/>
      </w:pPr>
      <w:r>
        <w:rPr/>
        <w:t xml:space="preserve">Lundberg y Lee (2017) propusieron SHAP (SHapley Additive exPlanations), un framework unificado para la interpretabilidad de modelos de ML basado en los valores de Shapley de la teoría de juegos cooperativos. SHAP garantiza tres propiedades matemáticas: consistencia, eficiencia y simetría.</w:t>
      </w:r>
    </w:p>
    <w:p>
      <w:pPr>
        <w:pStyle w:val="UFVNormal"/>
        <w:rPr/>
      </w:pPr>
      <w:r>
        <w:rPr/>
        <w:t xml:space="preserve">TreeSHAP (Lundberg et al., 2020) es un algoritmo exacto para calcular valores SHAP en modelos de árboles, con complejidad polinómica. Esto permite analizar la contribución de cada variable a cada predicción individual.</w:t>
      </w:r>
    </w:p>
    <w:p>
      <w:pPr>
        <w:pStyle w:val="UFVNormal"/>
        <w:rPr/>
      </w:pPr>
      <w:r>
        <w:rPr>
          <w:b/>
        </w:rPr>
        <w:t xml:space="preserve">2.3.6 Señales alternativas en finanzas</w:t>
      </w:r>
    </w:p>
    <w:p>
      <w:pPr>
        <w:pStyle w:val="UFVNormal"/>
        <w:rPr/>
      </w:pPr>
      <w:r>
        <w:rPr/>
        <w:t xml:space="preserve">Baker y Wurgler (2006) demostraron que el sentimiento de los inversores tiene poder predictivo sobre los retornos, especialmente para acciones difíciles de valorar. Da, Engelberg y Gao (2015) propusieron el índice FEARS basado en Google Trends, mostrando que anticipa movimientos del mercado.</w:t>
      </w:r>
    </w:p>
    <w:p>
      <w:pPr>
        <w:pStyle w:val="UFVNormal"/>
        <w:rPr/>
      </w:pPr>
      <w:r>
        <w:rPr/>
        <w:t xml:space="preserve">La encuesta de sentimiento AAII es utilizada como indicador contrarian: niveles extremos de optimismo o pesimismo tienden a preceder movimientos en la dirección opuesta.</w:t>
      </w:r>
    </w:p>
    <w:p>
      <w:pPr>
        <w:pStyle w:val="UFVNormal"/>
        <w:rPr/>
      </w:pPr>
      <w:r>
        <w:rPr>
          <w:b/>
        </w:rPr>
        <w:t xml:space="preserve">2.3.7 Optimización de carteras con ML</w:t>
      </w:r>
    </w:p>
    <w:p>
      <w:pPr>
        <w:pStyle w:val="UFVNormal"/>
        <w:rPr/>
      </w:pPr>
      <w:r>
        <w:rPr/>
        <w:t xml:space="preserve">Ban, El Karoui y Lim (2018) propusieron un marco de regularización basada en rendimiento para la optimización de carteras con ML. Leippold, Wang y Zhou (2022) confirmaron que los modelos de ensemble ofrecen el mejor equilibrio entre poder predictivo y robustez fuera de muestra.</w:t>
      </w:r>
    </w:p>
    <w:p>
      <w:pPr>
        <w:pStyle w:val="UFVNormal"/>
        <w:rPr/>
      </w:pPr>
      <w:r>
        <w:rPr/>
        <w:t xml:space="preserve">Este trabajo se sitúa en la intersección de estos dos campos: utiliza modelos de ML (XGBoost y LightGBM) para predecir retornos semanales de ETFs y alimenta estas predicciones a un optimizador de Markowitz que asigna pesos dinámicamente cada semana. La pregunta de investigación es: ¿puede un sistema basado en gradient boosting, alimentado con señales macroeconómicas, de riesgo y de sentimiento, generar carteras de ETFs que superen consistentemente a los benchmarks clásicos?</w:t>
      </w:r>
    </w:p>
    <w:p>
      <w:pPr>
        <w:pStyle w:val="UFVNormal"/>
        <w:rPr/>
      </w:pPr>
      <w:r>
        <w:rPr/>
        <w:t xml:space="preserve">El universo de inversión comprende 10 ETFs que cubren renta variable (SPY, QQQ, IWM, EFA, EEM), renta fija (AGG, LQD, TIP), oro (GLD) e inmobiliario (VNQ), con 987 semanas de datos (marzo 2007 - febrero 2026) y 109 variables predictivas organizadas en 6 dimensiones: mercado, riesgo, macroeconómicas, liquidez, sentimiento y NLP de noticias. El código fuente completo está disponible en el repositorio GitHub del proyecto.</w:t>
      </w:r>
    </w:p>
    <w:p>
      <w:pPr>
        <w:pStyle w:val="UFVNormal"/>
        <w:rPr/>
      </w:pPr>
      <w:r>
        <w:rPr/>
        <w:t xml:space="preserve">OE4: Comparar las carteras ML-optimizadas contra tres benchmarks financieros clásicos (60/40, equal-weight, Markowitz) mediante métricas de rentabilidad ajustada al riesgo (Sharpe, Sortino, Max Drawdown, Calmar).</w:t>
      </w:r>
    </w:p>
    <w:p>
      <w:pPr>
        <w:pStyle w:val="UFVNormal"/>
        <w:rPr/>
      </w:pPr>
      <w:r>
        <w:rPr/>
        <w:t xml:space="preserve">OE5: Interpretar las predicciones del modelo mediante SHAP (SHapley Additive exPlanations) para identificar las variables y dimensiones que aportan mayor poder predictivo.</w:t>
      </w:r>
    </w:p>
    <w:p>
      <w:pPr>
        <w:pStyle w:val="UFVNormal"/>
        <w:rPr/>
      </w:pPr>
      <w:r>
        <w:rPr/>
        <w:t xml:space="preserve">OE6: Investigar la robustez del modelo mediante feature selection y enriquecimiento del dataset, documentando los resultados de cada experimento como hallazgo metodológico.</w:t>
      </w:r>
    </w:p>
    <w:p>
      <w:pPr>
        <w:pStyle w:val="UFVEpgrafeNivel1"/>
        <w:ind w:hanging="0" w:start="0"/>
        <w:rPr/>
      </w:pPr>
      <w:bookmarkStart w:id="3" w:name="__RefHeading___Toc177409324"/>
      <w:bookmarkEnd w:id="3"/>
      <w:r>
        <w:rPr/>
        <w:t>2. OBJETIVOS</w:t>
      </w:r>
    </w:p>
    <w:p>
      <w:pPr>
        <w:pStyle w:val="UFVEpgrafeNivel2"/>
        <w:rPr/>
      </w:pPr>
      <w:bookmarkStart w:id="4" w:name="__RefHeading___Toc177409325"/>
      <w:bookmarkEnd w:id="4"/>
      <w:r>
        <w:rPr/>
        <w:t>2.1. Objetivo general</w:t>
      </w:r>
    </w:p>
    <w:p>
      <w:pPr>
        <w:pStyle w:val="UFVNormal"/>
        <w:rPr/>
      </w:pPr>
      <w:r>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 La crisis financiera global de 2008, la pandemia de COVID-19 en 2020 y el shock inflacionario de 2022 pusieron de manifiesto las limitaciones de los modelos estáticos. En paralelo, el campo del Machine Learning ha experimentado avances significativos en su aplicación a problemas financieros. Gu, Kelly y Xiu (2020), en su influyente estudio "Empirical Asset Pricing via Machine Learning", demostraron que los modelos de gradient boosting superan a los modelos lineales tradicionales en la predicción de retornos. Este trabajo se sitúa en la intersección de estos dos campos: utiliza modelos de ML para predecir retornos semanales de ETFs y alimenta estas predicciones a un optimizador de Markowitz que asigna pesos dinámicamente cada semana. La pregunta de investigación es: ¿puede un sistema basado en XGBoost y LightGBM generar carteras de ETFs que superen consistentemente a los benchmarks clásicos? El universo de inversión comprende 10 ETFs que cubren renta variable (SPY, QQQ, IWM, EFA, EEM), renta fija (AGG, LQD, TIP), oro (GLD) e inmobiliario (VNQ), con 987 semanas de datos (2007-2026) y 109 features predictivas en 6 dimensiones. El código fuente completo está disponible en GitHub: https://github.com/mateomadrigal/TFG-OPTIMIZATION-ML-1</w:t>
      </w:r>
    </w:p>
    <w:p>
      <w:pPr>
        <w:pStyle w:val="UFVEpgrafeNivel2"/>
        <w:rPr/>
      </w:pPr>
      <w:bookmarkStart w:id="5" w:name="__RefHeading___Toc177409326"/>
      <w:bookmarkEnd w:id="5"/>
      <w:r>
        <w:rPr/>
        <w:t>2.2. Objetivos específicos</w:t>
      </w:r>
    </w:p>
    <w:p>
      <w:pPr>
        <w:pStyle w:val="UFVNormal"/>
        <w:rPr/>
      </w:pPr>
      <w:r>
        <w:rP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Los ETFs han democratizado el acceso a la diversificación entre clases de activos, permitiendo a inversores de cualquier tamaño construir carteras globales con costes reducidos. La hipótesis central de este trabajo es que las predicciones de ML, al incorporar señales macroeconómicas, de riesgo y de sentimiento más allá de los retornos históricos, pueden generar carteras que superen consistentemente a los benchmarks clásicos. El reto principal reside en evitar el sobreajuste en un entorno donde la señal predictiva es inherentemente débil: una precisión direccional del 55-60% ya constituye un resultado notable (Gu et al., 2020).</w:t>
      </w:r>
    </w:p>
    <w:p>
      <w:pPr>
        <w:pStyle w:val="UFVEpgrafeNivel1"/>
        <w:rPr/>
      </w:pPr>
      <w:bookmarkStart w:id="6" w:name="__RefHeading___Toc177409327"/>
      <w:bookmarkEnd w:id="6"/>
      <w:r>
        <w:rPr/>
        <w:t>3. ESTUDIO BIBLIOGRÁFICO</w:t>
      </w:r>
    </w:p>
    <w:p>
      <w:pPr>
        <w:pStyle w:val="UFVEpgrafeNivel2"/>
        <w:rPr/>
      </w:pPr>
      <w:bookmarkStart w:id="4" w:name="__RefHeading___Toc177409325"/>
      <w:bookmarkEnd w:id="4"/>
      <w:r>
        <w:rPr/>
        <w:t xml:space="preserve">3.1. Estado del arte</w:t>
      </w:r>
    </w:p>
    <w:p>
      <w:pPr>
        <w:pStyle w:val="UFVNormal"/>
        <w:rPr/>
      </w:pPr>
      <w:r>
        <w:rPr/>
        <w:t>Teoría moderna de carteras: La teoría tiene su origen en Markowitz (1952), quien formalizó la optimización media-varianza. Sharpe (1964) extendió este marco con el CAPM. Black y Litterman (1992) propusieron un modelo que combina el equilibrio de mercado con views subjetivas del gestor. Machine Learning en finanzas: Gu, Kelly y Xiu (2020) compararon modelos ML en la predicción de retornos, concluyendo que gradient boosting y redes neuronales superan significativamente a los modelos lineales. Fischer y Krauss (2018) aplicaron redes LSTM al S&amp;P 500. De Prado (2018) enfatiza la necesidad de walk-forward validation con purging y embargo temporal. Gradient Boosting: Friedman (2001) formalizó las gradient boosting machines. Chen y Guestrin (2016) propusieron XGBoost con regularización L1/L2 y manejo nativo de NaN. Ke et al. (2017) desarrollaron LightGBM con crecimiento leaf-wise y técnicas GOSS y EFB. Interpretabilidad: Lundberg y Lee (2017) propusieron SHAP basado en la teoría de Shapley. TreeSHAP (Lundberg et al., 2020) es un algoritmo exacto para modelos de árboles. Señales alternativas: Baker y Wurgler (2006) demostraron que el sentimiento de inversores tiene poder predictivo. Da, Engelberg y Gao (2015) propusieron el índice FEARS basado en Google Trends. Optimización ML: Ban, El Karoui y Lim (2018) propusieron regularización basada en rendimiento. Yan (2025) comparó XGBoost y LightGBM en gestión de riesgo de carteras. Tashman (2000) formalizó el concepto de walk-forward validation.</w:t>
      </w:r>
    </w:p>
    <w:p>
      <w:pPr>
        <w:pStyle w:val="UFVEpgrafeNivel2"/>
        <w:rPr/>
      </w:pPr>
      <w:bookmarkStart w:id="7" w:name="__RefHeading___Toc177409328"/>
      <w:bookmarkEnd w:id="7"/>
      <w:r>
        <w:rPr/>
        <w:t>3.2. Marco teórico</w:t>
      </w:r>
    </w:p>
    <w:p>
      <w:pPr>
        <w:pStyle w:val="UFVNormal"/>
        <w:rPr/>
      </w:pPr>
      <w:r>
        <w:rPr/>
        <w:t>[Marco teórico incluido en la sección 3.3 Análisis del dato]</w:t>
      </w:r>
    </w:p>
    <w:p>
      <w:pPr>
        <w:pStyle w:val="UFVEpgrafeNivel1"/>
        <w:ind w:hanging="0" w:start="0"/>
        <w:rPr/>
      </w:pPr>
      <w:bookmarkStart w:id="8" w:name="__RefHeading___Toc177409329"/>
      <w:bookmarkEnd w:id="8"/>
      <w:r>
        <w:rPr/>
        <w:t>4. INGENIERÍA DEL DATO</w:t>
      </w:r>
    </w:p>
    <w:p>
      <w:pPr>
        <w:pStyle w:val="UFVEpgrafeNivel2"/>
        <w:rPr/>
      </w:pPr>
      <w:bookmarkStart w:id="9" w:name="__RefHeading___Toc177409330"/>
      <w:bookmarkEnd w:id="9"/>
      <w:r>
        <w:rPr/>
        <w:t>4.1. Herramientas utilizadas</w:t>
      </w:r>
    </w:p>
    <w:p>
      <w:pPr>
        <w:pStyle w:val="UFVNormal"/>
        <w:rPr/>
      </w:pPr>
      <w:r>
        <w:rPr/>
        <w:t>El proyecto se ha desarrollado íntegramente en Python 3.12 sobre un entorno Linux (WSL2). Las principales librerías utilizadas son: XGBoost 3.2 y LightGBM 4.6 para los modelos de gradient boosting; Optuna 4.3 para la optimización bayesiana de hiperparámetros; SHAP 0.51 para la interpretabilidad; pandas 2.2 y NumPy 2.4 para el procesamiento de datos; matplotlib 3.10 para visualización; scikit-learn 1.8 para métricas y preprocesamiento; scipy 1.17 para la optimización de Markowitz; yfinance, fredapi y pytrends para la extracción de datos. Como herramienta de asistencia se utilizó Claude (Anthropic), citado según la taxonomía CRediT. El código fuente completo y los datos procesados están disponibles en el repositorio: https://github.com/mateomadrigal/TFG-OPTIMIZATION-ML-1</w:t>
      </w:r>
    </w:p>
    <w:p>
      <w:pPr>
        <w:pStyle w:val="UFVEpgrafeNivel2"/>
        <w:rPr/>
      </w:pPr>
      <w:bookmarkStart w:id="10" w:name="__RefHeading___Toc177409331"/>
      <w:bookmarkEnd w:id="10"/>
      <w:r>
        <w:rPr/>
        <w:t>4.2. Fuentes de datos y extracción</w:t>
      </w:r>
    </w:p>
    <w:p>
      <w:pPr>
        <w:pStyle w:val="UFVNormal"/>
        <w:rPr/>
      </w:pPr>
      <w:r>
        <w:rPr/>
      </w:r>
    </w:p>
    <w:p>
      <w:pPr>
        <w:pStyle w:val="UFVEpgrafeNivel2"/>
        <w:spacing w:line="360" w:lineRule="auto" w:before="360" w:after="160"/>
        <w:ind w:firstLine="0"/>
      </w:pPr>
      <w:r>
        <w:rPr>
          <w:rFonts w:ascii="Times New Roman" w:hAnsi="Times New Roman"/>
          <w:b/>
          <w:i w:val="0"/>
          <w:color w:val="000000"/>
          <w:sz w:val="24"/>
        </w:rPr>
        <w:t>4.2.1. Origen de los datos</w:t>
      </w:r>
    </w:p>
    <w:p>
      <w:pPr>
        <w:spacing w:before="0" w:after="120" w:line="360" w:lineRule="auto"/>
        <w:ind w:firstLine="720"/>
      </w:pPr>
      <w:r>
        <w:rPr>
          <w:rFonts w:ascii="Times New Roman" w:hAnsi="Times New Roman"/>
          <w:b w:val="0"/>
          <w:i w:val="0"/>
          <w:sz w:val="22"/>
        </w:rPr>
        <w:t>El dataset construido para este trabajo integra información de cinco dimensiones complementarias, seleccionadas por su relevancia teórica para la predicción de retornos de activos financieros y la optimización de carteras. Cada dimensión captura un aspecto diferente del entorno de mercado: la dimensión financiera recoge los precios históricos de los ETFs que componen el universo de inversión; la macroeconómica incorpora indicadores del ciclo económico; la dimensión de riesgo mide el estrés del sistema financiero; la de liquidez monitoriza los flujos monetarios de la Reserva Federal; y la de sentimiento captura la percepción de los inversores a través de encuestas, búsquedas en Internet y análisis de noticias financieras.</w:t>
      </w:r>
    </w:p>
    <w:p>
      <w:pPr>
        <w:spacing w:before="0" w:after="120" w:line="360" w:lineRule="auto"/>
        <w:ind w:firstLine="720"/>
      </w:pPr>
      <w:r>
        <w:rPr>
          <w:rFonts w:ascii="Times New Roman" w:hAnsi="Times New Roman"/>
          <w:b w:val="0"/>
          <w:i w:val="0"/>
          <w:sz w:val="22"/>
        </w:rPr>
        <w:t>Adicionalmente, se incorporó una sexta fuente de datos procedente de la plataforma Refinitiv/LSEG Workspace, consistente en 17.181 titulares de noticias financieras sobre los 10 ETFs del universo de inversión, que fueron procesados mediante técnicas de procesamiento de lenguaje natural (NLP) para extraer señales de sentimiento.</w:t>
      </w:r>
    </w:p>
    <w:p>
      <w:pPr>
        <w:spacing w:before="0" w:after="240" w:line="360" w:lineRule="auto"/>
        <w:ind w:firstLine="720"/>
      </w:pPr>
      <w:r>
        <w:rPr>
          <w:rFonts w:ascii="Times New Roman" w:hAnsi="Times New Roman"/>
          <w:b w:val="0"/>
          <w:i w:val="0"/>
          <w:sz w:val="22"/>
        </w:rPr>
        <w:t>La tabla 1 resume las fuentes de datos, las series extraídas, la frecuencia original de publicación y el método de extracción utilizado. Todos los datos fueron obtenidos mediante código reproducible alojado en los scripts del directorio src/extractors/ del repositorio del proyecto.</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4"/>
        <w:gridCol w:w="1824"/>
        <w:gridCol w:w="1824"/>
        <w:gridCol w:w="1824"/>
        <w:gridCol w:w="1824"/>
      </w:tblGrid>
      <w:tr>
        <w:tc>
          <w:tcPr>
            <w:tcW w:type="dxa" w:w="1417"/>
            <w:shd w:fill="1F3864"/>
          </w:tcPr>
          <w:p>
            <w:pPr>
              <w:spacing w:before="60" w:after="60" w:line="276" w:lineRule="auto"/>
              <w:ind w:firstLine="0"/>
              <w:jc w:val="center"/>
            </w:pPr>
            <w:r>
              <w:rPr>
                <w:rFonts w:ascii="Times New Roman" w:hAnsi="Times New Roman"/>
                <w:b/>
                <w:color w:val="FFFFFF"/>
                <w:sz w:val="20"/>
              </w:rPr>
              <w:t>Dimensión</w:t>
            </w:r>
          </w:p>
        </w:tc>
        <w:tc>
          <w:tcPr>
            <w:tcW w:type="dxa" w:w="1757"/>
            <w:shd w:fill="1F3864"/>
          </w:tcPr>
          <w:p>
            <w:pPr>
              <w:spacing w:before="60" w:after="60" w:line="276" w:lineRule="auto"/>
              <w:ind w:firstLine="0"/>
              <w:jc w:val="center"/>
            </w:pPr>
            <w:r>
              <w:rPr>
                <w:rFonts w:ascii="Times New Roman" w:hAnsi="Times New Roman"/>
                <w:b/>
                <w:color w:val="FFFFFF"/>
                <w:sz w:val="20"/>
              </w:rPr>
              <w:t>Fuente</w:t>
            </w:r>
          </w:p>
        </w:tc>
        <w:tc>
          <w:tcPr>
            <w:tcW w:type="dxa" w:w="2268"/>
            <w:shd w:fill="1F3864"/>
          </w:tcPr>
          <w:p>
            <w:pPr>
              <w:spacing w:before="60" w:after="60" w:line="276" w:lineRule="auto"/>
              <w:ind w:firstLine="0"/>
              <w:jc w:val="center"/>
            </w:pPr>
            <w:r>
              <w:rPr>
                <w:rFonts w:ascii="Times New Roman" w:hAnsi="Times New Roman"/>
                <w:b/>
                <w:color w:val="FFFFFF"/>
                <w:sz w:val="20"/>
              </w:rPr>
              <w:t>Series</w:t>
            </w:r>
          </w:p>
        </w:tc>
        <w:tc>
          <w:tcPr>
            <w:tcW w:type="dxa" w:w="1417"/>
            <w:shd w:fill="1F3864"/>
          </w:tcPr>
          <w:p>
            <w:pPr>
              <w:spacing w:before="60" w:after="60" w:line="276" w:lineRule="auto"/>
              <w:ind w:firstLine="0"/>
              <w:jc w:val="center"/>
            </w:pPr>
            <w:r>
              <w:rPr>
                <w:rFonts w:ascii="Times New Roman" w:hAnsi="Times New Roman"/>
                <w:b/>
                <w:color w:val="FFFFFF"/>
                <w:sz w:val="20"/>
              </w:rPr>
              <w:t>Frecuencia</w:t>
            </w:r>
          </w:p>
        </w:tc>
        <w:tc>
          <w:tcPr>
            <w:tcW w:type="dxa" w:w="1928"/>
            <w:shd w:fill="1F3864"/>
          </w:tcPr>
          <w:p>
            <w:pPr>
              <w:spacing w:before="60" w:after="60" w:line="276" w:lineRule="auto"/>
              <w:ind w:firstLine="0"/>
              <w:jc w:val="center"/>
            </w:pPr>
            <w:r>
              <w:rPr>
                <w:rFonts w:ascii="Times New Roman" w:hAnsi="Times New Roman"/>
                <w:b/>
                <w:color w:val="FFFFFF"/>
                <w:sz w:val="20"/>
              </w:rPr>
              <w:t>Método</w:t>
            </w:r>
          </w:p>
        </w:tc>
      </w:tr>
      <w:tr>
        <w:tc>
          <w:tcPr>
            <w:tcW w:type="dxa" w:w="1417"/>
            <w:shd w:fill="F2F2F2"/>
          </w:tcPr>
          <w:p>
            <w:pPr>
              <w:spacing w:before="40" w:after="40" w:line="276" w:lineRule="auto"/>
              <w:ind w:firstLine="0"/>
              <w:jc w:val="center"/>
            </w:pPr>
            <w:r>
              <w:rPr>
                <w:rFonts w:ascii="Times New Roman" w:hAnsi="Times New Roman"/>
                <w:sz w:val="20"/>
              </w:rPr>
              <w:t>Financiera</w:t>
            </w:r>
          </w:p>
        </w:tc>
        <w:tc>
          <w:tcPr>
            <w:tcW w:type="dxa" w:w="1757"/>
            <w:shd w:fill="F2F2F2"/>
          </w:tcPr>
          <w:p>
            <w:pPr>
              <w:spacing w:before="40" w:after="40" w:line="276" w:lineRule="auto"/>
              <w:ind w:firstLine="0"/>
              <w:jc w:val="center"/>
            </w:pPr>
            <w:r>
              <w:rPr>
                <w:rFonts w:ascii="Times New Roman" w:hAnsi="Times New Roman"/>
                <w:sz w:val="20"/>
              </w:rPr>
              <w:t>Yahoo Finance</w:t>
            </w:r>
          </w:p>
        </w:tc>
        <w:tc>
          <w:tcPr>
            <w:tcW w:type="dxa" w:w="2268"/>
            <w:shd w:fill="F2F2F2"/>
          </w:tcPr>
          <w:p>
            <w:pPr>
              <w:spacing w:before="40" w:after="40" w:line="276" w:lineRule="auto"/>
              <w:ind w:firstLine="0"/>
              <w:jc w:val="center"/>
            </w:pPr>
            <w:r>
              <w:rPr>
                <w:rFonts w:ascii="Times New Roman" w:hAnsi="Times New Roman"/>
                <w:sz w:val="20"/>
              </w:rPr>
              <w:t>10 ETFs (SPY, QQQ, AGG, GLD...)</w:t>
            </w:r>
          </w:p>
        </w:tc>
        <w:tc>
          <w:tcPr>
            <w:tcW w:type="dxa" w:w="1417"/>
            <w:shd w:fill="F2F2F2"/>
          </w:tcPr>
          <w:p>
            <w:pPr>
              <w:spacing w:before="40" w:after="40" w:line="276" w:lineRule="auto"/>
              <w:ind w:firstLine="0"/>
              <w:jc w:val="center"/>
            </w:pPr>
            <w:r>
              <w:rPr>
                <w:rFonts w:ascii="Times New Roman" w:hAnsi="Times New Roman"/>
                <w:sz w:val="20"/>
              </w:rPr>
              <w:t>Diaria</w:t>
            </w:r>
          </w:p>
        </w:tc>
        <w:tc>
          <w:tcPr>
            <w:tcW w:type="dxa" w:w="1928"/>
            <w:shd w:fill="F2F2F2"/>
          </w:tcPr>
          <w:p>
            <w:pPr>
              <w:spacing w:before="40" w:after="40" w:line="276" w:lineRule="auto"/>
              <w:ind w:firstLine="0"/>
              <w:jc w:val="center"/>
            </w:pPr>
            <w:r>
              <w:rPr>
                <w:rFonts w:ascii="Times New Roman" w:hAnsi="Times New Roman"/>
                <w:sz w:val="20"/>
              </w:rPr>
              <w:t>yfinance API</w:t>
            </w:r>
          </w:p>
        </w:tc>
      </w:tr>
      <w:tr>
        <w:tc>
          <w:tcPr>
            <w:tcW w:type="dxa" w:w="1417"/>
          </w:tcPr>
          <w:p>
            <w:pPr>
              <w:spacing w:before="40" w:after="40" w:line="276" w:lineRule="auto"/>
              <w:ind w:firstLine="0"/>
              <w:jc w:val="center"/>
            </w:pPr>
            <w:r>
              <w:rPr>
                <w:rFonts w:ascii="Times New Roman" w:hAnsi="Times New Roman"/>
                <w:sz w:val="20"/>
              </w:rPr>
              <w:t>Macroeconómica</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8 series (CPI, UNRATE, DGS10...)</w:t>
            </w:r>
          </w:p>
        </w:tc>
        <w:tc>
          <w:tcPr>
            <w:tcW w:type="dxa" w:w="1417"/>
          </w:tcPr>
          <w:p>
            <w:pPr>
              <w:spacing w:before="40" w:after="40" w:line="276" w:lineRule="auto"/>
              <w:ind w:firstLine="0"/>
              <w:jc w:val="center"/>
            </w:pPr>
            <w:r>
              <w:rPr>
                <w:rFonts w:ascii="Times New Roman" w:hAnsi="Times New Roman"/>
                <w:sz w:val="20"/>
              </w:rPr>
              <w:t>Diaria/Mensual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Riesgo</w:t>
            </w:r>
          </w:p>
        </w:tc>
        <w:tc>
          <w:tcPr>
            <w:tcW w:type="dxa" w:w="1757"/>
            <w:shd w:fill="F2F2F2"/>
          </w:tcPr>
          <w:p>
            <w:pPr>
              <w:spacing w:before="40" w:after="40" w:line="276" w:lineRule="auto"/>
              <w:ind w:firstLine="0"/>
              <w:jc w:val="center"/>
            </w:pPr>
            <w:r>
              <w:rPr>
                <w:rFonts w:ascii="Times New Roman" w:hAnsi="Times New Roman"/>
                <w:sz w:val="20"/>
              </w:rPr>
              <w:t>Federal Reserve (FRED)</w:t>
            </w:r>
          </w:p>
        </w:tc>
        <w:tc>
          <w:tcPr>
            <w:tcW w:type="dxa" w:w="2268"/>
            <w:shd w:fill="F2F2F2"/>
          </w:tcPr>
          <w:p>
            <w:pPr>
              <w:spacing w:before="40" w:after="40" w:line="276" w:lineRule="auto"/>
              <w:ind w:firstLine="0"/>
              <w:jc w:val="center"/>
            </w:pPr>
            <w:r>
              <w:rPr>
                <w:rFonts w:ascii="Times New Roman" w:hAnsi="Times New Roman"/>
                <w:sz w:val="20"/>
              </w:rPr>
              <w:t>4 series (VIX, HY spread, NFCI...)</w:t>
            </w:r>
          </w:p>
        </w:tc>
        <w:tc>
          <w:tcPr>
            <w:tcW w:type="dxa" w:w="1417"/>
            <w:shd w:fill="F2F2F2"/>
          </w:tcPr>
          <w:p>
            <w:pPr>
              <w:spacing w:before="40" w:after="40" w:line="276" w:lineRule="auto"/>
              <w:ind w:firstLine="0"/>
              <w:jc w:val="center"/>
            </w:pPr>
            <w:r>
              <w:rPr>
                <w:rFonts w:ascii="Times New Roman" w:hAnsi="Times New Roman"/>
                <w:sz w:val="20"/>
              </w:rPr>
              <w:t>Diaria/Semanal</w:t>
            </w:r>
          </w:p>
        </w:tc>
        <w:tc>
          <w:tcPr>
            <w:tcW w:type="dxa" w:w="1928"/>
            <w:shd w:fill="F2F2F2"/>
          </w:tcPr>
          <w:p>
            <w:pPr>
              <w:spacing w:before="40" w:after="40" w:line="276" w:lineRule="auto"/>
              <w:ind w:firstLine="0"/>
              <w:jc w:val="center"/>
            </w:pPr>
            <w:r>
              <w:rPr>
                <w:rFonts w:ascii="Times New Roman" w:hAnsi="Times New Roman"/>
                <w:sz w:val="20"/>
              </w:rPr>
              <w:t>fredapi</w:t>
            </w:r>
          </w:p>
        </w:tc>
      </w:tr>
      <w:tr>
        <w:tc>
          <w:tcPr>
            <w:tcW w:type="dxa" w:w="1417"/>
          </w:tcPr>
          <w:p>
            <w:pPr>
              <w:spacing w:before="40" w:after="40" w:line="276" w:lineRule="auto"/>
              <w:ind w:firstLine="0"/>
              <w:jc w:val="center"/>
            </w:pPr>
            <w:r>
              <w:rPr>
                <w:rFonts w:ascii="Times New Roman" w:hAnsi="Times New Roman"/>
                <w:sz w:val="20"/>
              </w:rPr>
              <w:t>Liquidez</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4 series (WALCL, RRPONTSYD...)</w:t>
            </w:r>
          </w:p>
        </w:tc>
        <w:tc>
          <w:tcPr>
            <w:tcW w:type="dxa" w:w="1417"/>
          </w:tcPr>
          <w:p>
            <w:pPr>
              <w:spacing w:before="40" w:after="40" w:line="276" w:lineRule="auto"/>
              <w:ind w:firstLine="0"/>
              <w:jc w:val="center"/>
            </w:pPr>
            <w:r>
              <w:rPr>
                <w:rFonts w:ascii="Times New Roman" w:hAnsi="Times New Roman"/>
                <w:sz w:val="20"/>
              </w:rPr>
              <w:t>Semanal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Sentimiento</w:t>
            </w:r>
          </w:p>
        </w:tc>
        <w:tc>
          <w:tcPr>
            <w:tcW w:type="dxa" w:w="1757"/>
            <w:shd w:fill="F2F2F2"/>
          </w:tcPr>
          <w:p>
            <w:pPr>
              <w:spacing w:before="40" w:after="40" w:line="276" w:lineRule="auto"/>
              <w:ind w:firstLine="0"/>
              <w:jc w:val="center"/>
            </w:pPr>
            <w:r>
              <w:rPr>
                <w:rFonts w:ascii="Times New Roman" w:hAnsi="Times New Roman"/>
                <w:sz w:val="20"/>
              </w:rPr>
              <w:t>Google Trends / AAII</w:t>
            </w:r>
          </w:p>
        </w:tc>
        <w:tc>
          <w:tcPr>
            <w:tcW w:type="dxa" w:w="2268"/>
            <w:shd w:fill="F2F2F2"/>
          </w:tcPr>
          <w:p>
            <w:pPr>
              <w:spacing w:before="40" w:after="40" w:line="276" w:lineRule="auto"/>
              <w:ind w:firstLine="0"/>
              <w:jc w:val="center"/>
            </w:pPr>
            <w:r>
              <w:rPr>
                <w:rFonts w:ascii="Times New Roman" w:hAnsi="Times New Roman"/>
                <w:sz w:val="20"/>
              </w:rPr>
              <w:t>7 términos + encuesta AAII</w:t>
            </w:r>
          </w:p>
        </w:tc>
        <w:tc>
          <w:tcPr>
            <w:tcW w:type="dxa" w:w="1417"/>
            <w:shd w:fill="F2F2F2"/>
          </w:tcPr>
          <w:p>
            <w:pPr>
              <w:spacing w:before="40" w:after="40" w:line="276" w:lineRule="auto"/>
              <w:ind w:firstLine="0"/>
              <w:jc w:val="center"/>
            </w:pPr>
            <w:r>
              <w:rPr>
                <w:rFonts w:ascii="Times New Roman" w:hAnsi="Times New Roman"/>
                <w:sz w:val="20"/>
              </w:rPr>
              <w:t>Semanal/Mensual</w:t>
            </w:r>
          </w:p>
        </w:tc>
        <w:tc>
          <w:tcPr>
            <w:tcW w:type="dxa" w:w="1928"/>
            <w:shd w:fill="F2F2F2"/>
          </w:tcPr>
          <w:p>
            <w:pPr>
              <w:spacing w:before="40" w:after="40" w:line="276" w:lineRule="auto"/>
              <w:ind w:firstLine="0"/>
              <w:jc w:val="center"/>
            </w:pPr>
            <w:r>
              <w:rPr>
                <w:rFonts w:ascii="Times New Roman" w:hAnsi="Times New Roman"/>
                <w:sz w:val="20"/>
              </w:rPr>
              <w:t>pytrends / scraping</w:t>
            </w:r>
          </w:p>
        </w:tc>
      </w:tr>
      <w:tr>
        <w:tc>
          <w:tcPr>
            <w:tcW w:type="dxa" w:w="1417"/>
          </w:tcPr>
          <w:p>
            <w:pPr>
              <w:spacing w:before="40" w:after="40" w:line="276" w:lineRule="auto"/>
              <w:ind w:firstLine="0"/>
              <w:jc w:val="center"/>
            </w:pPr>
            <w:r>
              <w:rPr>
                <w:rFonts w:ascii="Times New Roman" w:hAnsi="Times New Roman"/>
                <w:sz w:val="20"/>
              </w:rPr>
              <w:t>Noticias NLP</w:t>
            </w:r>
          </w:p>
        </w:tc>
        <w:tc>
          <w:tcPr>
            <w:tcW w:type="dxa" w:w="1757"/>
          </w:tcPr>
          <w:p>
            <w:pPr>
              <w:spacing w:before="40" w:after="40" w:line="276" w:lineRule="auto"/>
              <w:ind w:firstLine="0"/>
              <w:jc w:val="center"/>
            </w:pPr>
            <w:r>
              <w:rPr>
                <w:rFonts w:ascii="Times New Roman" w:hAnsi="Times New Roman"/>
                <w:sz w:val="20"/>
              </w:rPr>
              <w:t>Refinitiv/LSEG</w:t>
            </w:r>
          </w:p>
        </w:tc>
        <w:tc>
          <w:tcPr>
            <w:tcW w:type="dxa" w:w="2268"/>
          </w:tcPr>
          <w:p>
            <w:pPr>
              <w:spacing w:before="40" w:after="40" w:line="276" w:lineRule="auto"/>
              <w:ind w:firstLine="0"/>
              <w:jc w:val="center"/>
            </w:pPr>
            <w:r>
              <w:rPr>
                <w:rFonts w:ascii="Times New Roman" w:hAnsi="Times New Roman"/>
                <w:sz w:val="20"/>
              </w:rPr>
              <w:t>17.181 titulares (10 ETFs)</w:t>
            </w:r>
          </w:p>
        </w:tc>
        <w:tc>
          <w:tcPr>
            <w:tcW w:type="dxa" w:w="1417"/>
          </w:tcPr>
          <w:p>
            <w:pPr>
              <w:spacing w:before="40" w:after="40" w:line="276" w:lineRule="auto"/>
              <w:ind w:firstLine="0"/>
              <w:jc w:val="center"/>
            </w:pPr>
            <w:r>
              <w:rPr>
                <w:rFonts w:ascii="Times New Roman" w:hAnsi="Times New Roman"/>
                <w:sz w:val="20"/>
              </w:rPr>
              <w:t>Intradía</w:t>
            </w:r>
          </w:p>
        </w:tc>
        <w:tc>
          <w:tcPr>
            <w:tcW w:type="dxa" w:w="1928"/>
          </w:tcPr>
          <w:p>
            <w:pPr>
              <w:spacing w:before="40" w:after="40" w:line="276" w:lineRule="auto"/>
              <w:ind w:firstLine="0"/>
              <w:jc w:val="center"/>
            </w:pPr>
            <w:r>
              <w:rPr>
                <w:rFonts w:ascii="Times New Roman" w:hAnsi="Times New Roman"/>
                <w:sz w:val="20"/>
              </w:rPr>
              <w:t>refinitiv-data API</w:t>
            </w:r>
          </w:p>
        </w:tc>
      </w:tr>
    </w:tbl>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4.2.2. Proceso ETL</w:t>
      </w:r>
    </w:p>
    <w:p>
      <w:pPr>
        <w:spacing w:before="0" w:after="120" w:line="360" w:lineRule="auto"/>
        <w:ind w:firstLine="720"/>
      </w:pPr>
      <w:r>
        <w:rPr>
          <w:rFonts w:ascii="Times New Roman" w:hAnsi="Times New Roman"/>
          <w:b w:val="0"/>
          <w:i w:val="0"/>
          <w:sz w:val="22"/>
        </w:rPr>
        <w:t>El proceso de extracción, transformación y carga (ETL) se diseñó como un pipeline secuencial de scripts Python ejecutables independientemente, siguiendo el principio de reproducibilidad científica. Cada script lee datos de la etapa anterior, aplica transformaciones documentadas y guarda el resultado en la siguiente carpeta del pipeline (raw → interim → processed).</w:t>
      </w:r>
    </w:p>
    <w:p>
      <w:pPr>
        <w:pStyle w:val="UFVEpgrafeNivel3"/>
        <w:spacing w:line="360" w:lineRule="auto" w:before="240" w:after="120"/>
        <w:ind w:firstLine="0"/>
      </w:pPr>
      <w:r>
        <w:rPr>
          <w:rFonts w:ascii="Times New Roman" w:hAnsi="Times New Roman"/>
          <w:b/>
          <w:i/>
          <w:color w:val="000000"/>
          <w:sz w:val="22"/>
        </w:rPr>
        <w:t>Extracción</w:t>
      </w:r>
    </w:p>
    <w:p>
      <w:pPr>
        <w:spacing w:before="0" w:after="120" w:line="360" w:lineRule="auto"/>
        <w:ind w:firstLine="720"/>
      </w:pPr>
      <w:r>
        <w:rPr>
          <w:rFonts w:ascii="Times New Roman" w:hAnsi="Times New Roman"/>
          <w:b w:val="0"/>
          <w:i w:val="0"/>
          <w:sz w:val="22"/>
        </w:rPr>
        <w:t>Los datos financieros de los 10 ETFs se descargaron mediante la librería yfinance, que proporciona acceso programático a los precios históricos de Yahoo Finance desde enero de 2007 hasta la fecha actual. Las series macroeconómicas, de riesgo y de liquidez se obtuvieron de la API de FRED (Federal Reserve Economic Data) mediante la librería fredapi, implementando lógica de reintentos con backoff exponencial para gestionar errores temporales del servidor. Los datos de sentimiento de Google Trends se extrajeron con la librería pytrends, segmentando las consultas en ventanas de 5 años para cumplir con las restricciones de la API y aplicando pausas entre solicitudes para evitar bloqueos por exceso de peticiones (error 429). Finalmente, los titulares de noticias se obtuvieron de Refinitiv/LSEG Workspace mediante su API oficial, implementando una arquitectura de proxy para resolver las restricciones de conexión entre el entorno WSL2 y la aplicación de escritorio en Windows.</w:t>
      </w:r>
    </w:p>
    <w:p>
      <w:pPr>
        <w:pStyle w:val="UFVEpgrafeNivel3"/>
        <w:spacing w:line="360" w:lineRule="auto" w:before="240" w:after="120"/>
        <w:ind w:firstLine="0"/>
      </w:pPr>
      <w:r>
        <w:rPr>
          <w:rFonts w:ascii="Times New Roman" w:hAnsi="Times New Roman"/>
          <w:b/>
          <w:i/>
          <w:color w:val="000000"/>
          <w:sz w:val="22"/>
        </w:rPr>
        <w:t>Transformación: alineación temporal</w:t>
      </w:r>
    </w:p>
    <w:p>
      <w:pPr>
        <w:spacing w:before="0" w:after="120" w:line="360" w:lineRule="auto"/>
        <w:ind w:firstLine="720"/>
      </w:pPr>
      <w:r>
        <w:rPr>
          <w:rFonts w:ascii="Times New Roman" w:hAnsi="Times New Roman"/>
          <w:b w:val="0"/>
          <w:i w:val="0"/>
          <w:sz w:val="22"/>
        </w:rPr>
        <w:t>El principal reto de la transformación fue alinear series con frecuencias heterogéneas (diaria, semanal y mensual) a una frecuencia común. Se eligió la frecuencia semanal con cierre en viernes (W-FRI) como estándar, por tres razones: primero, el viernes es el último día de negociación bursátil de la semana; segundo, la frecuencia semanal reduce el ruido de los datos diarios sin perder información relevante sobre tendencias y crisis; tercero, es coherente con la frecuencia de publicación de la mayoría de las señales de sentimiento y liquidez.</w:t>
      </w:r>
    </w:p>
    <w:p>
      <w:pPr>
        <w:spacing w:before="0" w:after="120" w:line="360" w:lineRule="auto"/>
        <w:ind w:firstLine="720"/>
      </w:pPr>
      <w:r>
        <w:rPr>
          <w:rFonts w:ascii="Times New Roman" w:hAnsi="Times New Roman"/>
          <w:b w:val="0"/>
          <w:i w:val="0"/>
          <w:sz w:val="22"/>
        </w:rPr>
        <w:t>El método de resampleo aplicado dependió de la frecuencia original de cada serie. Para las series diarias (precios de ETFs, tipos de interés) se tomó el último valor observado de cada semana. Para las series mensuales (CPI, desempleo) se aplicó forward-fill antes del resampleo, reflejando que el último dato publicado sigue siendo la mejor estimación disponible hasta la siguiente publicación. Las series semanales se alinearon al calendario de viernes mediante reindexación con forward-fill.</w:t>
      </w:r>
    </w:p>
    <w:p>
      <w:pPr>
        <w:spacing w:before="0" w:after="120" w:line="360" w:lineRule="auto"/>
        <w:ind w:firstLine="720"/>
      </w:pPr>
      <w:r>
        <w:rPr>
          <w:rFonts w:ascii="Times New Roman" w:hAnsi="Times New Roman"/>
          <w:b w:val="0"/>
          <w:i w:val="0"/>
          <w:sz w:val="22"/>
        </w:rPr>
        <w:t>La Figura 1 muestra el efecto del resampleo sobre la serie de precios de SPY, ilustrando cómo la serie semanal preserva toda la información relevante con menor ruido.</w:t>
      </w:r>
    </w:p>
    <w:p>
      <w:pPr>
        <w:spacing w:before="240" w:after="0" w:line="240" w:lineRule="auto"/>
        <w:ind w:firstLine="0"/>
        <w:jc w:val="center"/>
      </w:pPr>
      <w:r>
        <w:drawing>
          <wp:inline xmlns:a="http://schemas.openxmlformats.org/drawingml/2006/main" xmlns:pic="http://schemas.openxmlformats.org/drawingml/2006/picture">
            <wp:extent cx="4680000" cy="2764585"/>
            <wp:docPr id="1" name="Picture 1"/>
            <wp:cNvGraphicFramePr>
              <a:graphicFrameLocks noChangeAspect="1"/>
            </wp:cNvGraphicFramePr>
            <a:graphic>
              <a:graphicData uri="http://schemas.openxmlformats.org/drawingml/2006/picture">
                <pic:pic>
                  <pic:nvPicPr>
                    <pic:cNvPr id="0" name="antes_despues_frecuencia.png"/>
                    <pic:cNvPicPr/>
                  </pic:nvPicPr>
                  <pic:blipFill>
                    <a:blip r:embed="rId22"/>
                    <a:stretch>
                      <a:fillRect/>
                    </a:stretch>
                  </pic:blipFill>
                  <pic:spPr>
                    <a:xfrm>
                      <a:off x="0" y="0"/>
                      <a:ext cx="4680000" cy="2764585"/>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1. </w:t>
      </w:r>
      <w:r>
        <w:rPr>
          <w:rFonts w:ascii="Times New Roman" w:hAnsi="Times New Roman"/>
          <w:i/>
          <w:sz w:val="20"/>
        </w:rPr>
        <w:t>Resampleo de frecuencia diaria (n=4.826) a semanal (n=1.000) del precio de SPY. La serie semanal preserva tendencias y crisis con menor ruido intradía.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4.3. Limpieza y tratamiento de datos</w:t>
      </w:r>
    </w:p>
    <w:p>
      <w:pPr>
        <w:pStyle w:val="UFVEpgrafeNivel3"/>
        <w:spacing w:line="360" w:lineRule="auto" w:before="240" w:after="120"/>
        <w:ind w:firstLine="0"/>
      </w:pPr>
      <w:r>
        <w:rPr>
          <w:rFonts w:ascii="Times New Roman" w:hAnsi="Times New Roman"/>
          <w:b/>
          <w:i/>
          <w:color w:val="000000"/>
          <w:sz w:val="22"/>
        </w:rPr>
        <w:t>Tratamiento de valores nulos</w:t>
      </w:r>
    </w:p>
    <w:p>
      <w:pPr>
        <w:spacing w:before="0" w:after="120" w:line="360" w:lineRule="auto"/>
        <w:ind w:firstLine="720"/>
      </w:pPr>
      <w:r>
        <w:rPr>
          <w:rFonts w:ascii="Times New Roman" w:hAnsi="Times New Roman"/>
          <w:b w:val="0"/>
          <w:i w:val="0"/>
          <w:sz w:val="22"/>
        </w:rPr>
        <w:t>Tras la alineación temporal, el dataset presentaba valores nulos distribuidos de forma desigual entre dimensiones. La dimensión de sentimiento concentraba el 98% de los nulos (4.003 de un total de 4.032), debido a dos factores: la encuesta AAII se publica los jueves y al alinear a viernes no siempre coincidía, y los datos mensuales de Google Trends generaban huecos entre meses. Las dimensiones macroeconómica y de riesgo presentaban nulos marginales (13 y 16 respectivamente).</w:t>
      </w:r>
    </w:p>
    <w:p>
      <w:pPr>
        <w:spacing w:before="0" w:after="120" w:line="360" w:lineRule="auto"/>
        <w:ind w:firstLine="720"/>
      </w:pPr>
      <w:r>
        <w:rPr>
          <w:rFonts w:ascii="Times New Roman" w:hAnsi="Times New Roman"/>
          <w:b w:val="0"/>
          <w:i w:val="0"/>
          <w:sz w:val="22"/>
        </w:rPr>
        <w:t>El método de imputación aplicado fue forward-fill seguido de backward-fill. Esta decisión se fundamenta en la práctica estándar del análisis financiero: el último dato publicado de un indicador económico sigue siendo la mejor estimación disponible hasta que se publica el siguiente. No se trata de inventar datos, sino de reflejar cómo los inversores trabajan con la información disponible en cada momento. El caso especial de la serie RRPONTSYD (Reverse Repo de la Fed) se rellenó con cero antes de 2013, puesto que el programa no existía antes de esa fecha y el volumen de operaciones era literalmente nulo.</w:t>
      </w:r>
    </w:p>
    <w:p>
      <w:pPr>
        <w:spacing w:before="0" w:after="120" w:line="360" w:lineRule="auto"/>
        <w:ind w:firstLine="720"/>
      </w:pPr>
      <w:r>
        <w:rPr>
          <w:rFonts w:ascii="Times New Roman" w:hAnsi="Times New Roman"/>
          <w:b w:val="0"/>
          <w:i w:val="0"/>
          <w:sz w:val="22"/>
        </w:rPr>
        <w:t>La Figura 2 muestra el contraste visual entre los datos de sentimiento antes y después de la limpieza, evidenciando la efectividad del tratamiento.</w:t>
      </w:r>
    </w:p>
    <w:p>
      <w:pPr>
        <w:spacing w:before="240" w:after="0" w:line="240" w:lineRule="auto"/>
        <w:ind w:firstLine="0"/>
        <w:jc w:val="center"/>
      </w:pPr>
      <w:r>
        <w:drawing>
          <wp:inline xmlns:a="http://schemas.openxmlformats.org/drawingml/2006/main" xmlns:pic="http://schemas.openxmlformats.org/drawingml/2006/picture">
            <wp:extent cx="4680000" cy="2420622"/>
            <wp:docPr id="2" name="Picture 2"/>
            <wp:cNvGraphicFramePr>
              <a:graphicFrameLocks noChangeAspect="1"/>
            </wp:cNvGraphicFramePr>
            <a:graphic>
              <a:graphicData uri="http://schemas.openxmlformats.org/drawingml/2006/picture">
                <pic:pic>
                  <pic:nvPicPr>
                    <pic:cNvPr id="0" name="antes_despues_nulos.png"/>
                    <pic:cNvPicPr/>
                  </pic:nvPicPr>
                  <pic:blipFill>
                    <a:blip r:embed="rId23"/>
                    <a:stretch>
                      <a:fillRect/>
                    </a:stretch>
                  </pic:blipFill>
                  <pic:spPr>
                    <a:xfrm>
                      <a:off x="0" y="0"/>
                      <a:ext cx="4680000" cy="242062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2. </w:t>
      </w:r>
      <w:r>
        <w:rPr>
          <w:rFonts w:ascii="Times New Roman" w:hAnsi="Times New Roman"/>
          <w:i/>
          <w:sz w:val="20"/>
        </w:rPr>
        <w:t>Heatmap de valores nulos en la dimensión de sentimiento antes (4.003 nulos, 40%) y después (0 nulos) del tratamiento con forward-fill.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Eliminación de duplicados entre dimensiones</w:t>
      </w:r>
    </w:p>
    <w:p>
      <w:pPr>
        <w:spacing w:before="0" w:after="120" w:line="360" w:lineRule="auto"/>
        <w:ind w:firstLine="720"/>
      </w:pPr>
      <w:r>
        <w:rPr>
          <w:rFonts w:ascii="Times New Roman" w:hAnsi="Times New Roman"/>
          <w:b w:val="0"/>
          <w:i w:val="0"/>
          <w:sz w:val="22"/>
        </w:rPr>
        <w:t>Se identificaron tres series que aparecían simultáneamente en más de una dimensión. Se decidió mantener cada serie en la dimensión donde tiene mayor relevancia conceptual: el VIX y el spread de High Yield se mantuvieron en la dimensión de riesgo (eliminándose de macro), y el RRPONTSYD se mantuvo en liquidez (eliminándose de riesgo). Tras la deduplicación, la dimensión macroeconómica pasó de 10 a 8 columnas y la de riesgo de 5 a 4.</w:t>
      </w:r>
    </w:p>
    <w:p>
      <w:pPr>
        <w:pStyle w:val="UFVEpgrafeNivel3"/>
        <w:spacing w:line="360" w:lineRule="auto" w:before="240" w:after="120"/>
        <w:ind w:firstLine="0"/>
      </w:pPr>
      <w:r>
        <w:rPr>
          <w:rFonts w:ascii="Times New Roman" w:hAnsi="Times New Roman"/>
          <w:b/>
          <w:i/>
          <w:color w:val="000000"/>
          <w:sz w:val="22"/>
        </w:rPr>
        <w:t>Análisis de outliers</w:t>
      </w:r>
    </w:p>
    <w:p>
      <w:pPr>
        <w:spacing w:before="0" w:after="120" w:line="360" w:lineRule="auto"/>
        <w:ind w:firstLine="720"/>
      </w:pPr>
      <w:r>
        <w:rPr>
          <w:rFonts w:ascii="Times New Roman" w:hAnsi="Times New Roman"/>
          <w:b w:val="0"/>
          <w:i w:val="0"/>
          <w:sz w:val="22"/>
        </w:rPr>
        <w:t>Se identificaron outliers en los retornos semanales de los 10 ETFs utilizando el método del rango intercuartílico (IQR), clasificando como outlier toda observación fuera del intervalo [Q1 − 1,5 × IQR, Q3 + 1,5 × IQR]. El porcentaje de outliers osciló entre el 2,6% (GLD) y el 5,9% (VNQ), con una media del 4% por ETF.</w:t>
      </w:r>
    </w:p>
    <w:p>
      <w:pPr>
        <w:spacing w:before="0" w:after="120" w:line="360" w:lineRule="auto"/>
        <w:ind w:firstLine="720"/>
      </w:pPr>
      <w:r>
        <w:rPr>
          <w:rFonts w:ascii="Times New Roman" w:hAnsi="Times New Roman"/>
          <w:b w:val="0"/>
          <w:i w:val="0"/>
          <w:sz w:val="22"/>
        </w:rPr>
        <w:t>Se tomó la decisión de mantener todos los outliers en el dataset. Esta decisión se fundamenta en que los valores extremos corresponden a eventos reales del mercado (crisis financiera de 2008, pandemia de COVID-19, shock inflacionario de 2022) y eliminarlos supondría privar al modelo de información sobre los escenarios más extremos, que son precisamente los que más importa predecir en la gestión de carteras.</w:t>
      </w:r>
    </w:p>
    <w:p>
      <w:pPr>
        <w:spacing w:before="240" w:after="0" w:line="240" w:lineRule="auto"/>
        <w:ind w:firstLine="0"/>
        <w:jc w:val="center"/>
      </w:pPr>
      <w:r>
        <w:drawing>
          <wp:inline xmlns:a="http://schemas.openxmlformats.org/drawingml/2006/main" xmlns:pic="http://schemas.openxmlformats.org/drawingml/2006/picture">
            <wp:extent cx="4680000" cy="3586763"/>
            <wp:docPr id="3" name="Picture 3"/>
            <wp:cNvGraphicFramePr>
              <a:graphicFrameLocks noChangeAspect="1"/>
            </wp:cNvGraphicFramePr>
            <a:graphic>
              <a:graphicData uri="http://schemas.openxmlformats.org/drawingml/2006/picture">
                <pic:pic>
                  <pic:nvPicPr>
                    <pic:cNvPr id="0" name="outliers_analisis.png"/>
                    <pic:cNvPicPr/>
                  </pic:nvPicPr>
                  <pic:blipFill>
                    <a:blip r:embed="rId24"/>
                    <a:stretch>
                      <a:fillRect/>
                    </a:stretch>
                  </pic:blipFill>
                  <pic:spPr>
                    <a:xfrm>
                      <a:off x="0" y="0"/>
                      <a:ext cx="4680000" cy="358676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3. </w:t>
      </w:r>
      <w:r>
        <w:rPr>
          <w:rFonts w:ascii="Times New Roman" w:hAnsi="Times New Roman"/>
          <w:i/>
          <w:sz w:val="20"/>
        </w:rPr>
        <w:t>Análisis de outliers por método IQR. Panel superior: número de outliers por ETF. Panel inferior: distribución temporal de outliers de SPY, concentrados en periodos de crisis.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Normalización</w:t>
      </w:r>
    </w:p>
    <w:p>
      <w:pPr>
        <w:spacing w:before="0" w:after="120" w:line="360" w:lineRule="auto"/>
        <w:ind w:firstLine="720"/>
      </w:pPr>
      <w:r>
        <w:rPr>
          <w:rFonts w:ascii="Times New Roman" w:hAnsi="Times New Roman"/>
          <w:b w:val="0"/>
          <w:i w:val="0"/>
          <w:sz w:val="22"/>
        </w:rPr>
        <w:t>Se aplicó normalización z-score (StandardScaler de scikit-learn) a todas las features para que variables con escalas muy diferentes (VIX: 9-80, CPI: 200-320, log-returns: ±0,10) tengan el mismo peso relativo en el modelo. Los targets no se normalizan para que las predicciones sean directamente interpretables como log-returns. Es importante señalar que, en la fase de modelado, el scaler se ajustará exclusivamente con datos de entrenamiento para evitar fuga de información del futuro al pasado (data leakage).</w:t>
      </w:r>
    </w:p>
    <w:p>
      <w:pPr>
        <w:pStyle w:val="UFVEpgrafeNivel2"/>
        <w:spacing w:line="360" w:lineRule="auto" w:before="360" w:after="160"/>
        <w:ind w:firstLine="0"/>
      </w:pPr>
      <w:r>
        <w:rPr>
          <w:rFonts w:ascii="Times New Roman" w:hAnsi="Times New Roman"/>
          <w:b/>
          <w:i w:val="0"/>
          <w:color w:val="000000"/>
          <w:sz w:val="24"/>
        </w:rPr>
        <w:t>4.4. Feature Engineering</w:t>
      </w:r>
    </w:p>
    <w:p>
      <w:pPr>
        <w:spacing w:before="0" w:after="120" w:line="360" w:lineRule="auto"/>
        <w:ind w:firstLine="720"/>
      </w:pPr>
      <w:r>
        <w:rPr>
          <w:rFonts w:ascii="Times New Roman" w:hAnsi="Times New Roman"/>
          <w:b w:val="0"/>
          <w:i w:val="0"/>
          <w:sz w:val="22"/>
        </w:rPr>
        <w:t>Los datos crudos (precios, niveles de indicadores) por sí solos no son informativos para un modelo predictivo. Lo que aporta poder predictivo son las transformaciones que capturan dinámica, tendencia, riesgo y cambio. Se generaron 109 features organizadas en seis categorías, cada una con justificación financiera documentada en el código fuente.</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304"/>
            <w:shd w:fill="1F3864"/>
          </w:tcPr>
          <w:p>
            <w:pPr>
              <w:spacing w:before="60" w:after="60" w:line="276" w:lineRule="auto"/>
              <w:ind w:firstLine="0"/>
              <w:jc w:val="center"/>
            </w:pPr>
            <w:r>
              <w:rPr>
                <w:rFonts w:ascii="Times New Roman" w:hAnsi="Times New Roman"/>
                <w:b/>
                <w:color w:val="FFFFFF"/>
                <w:sz w:val="20"/>
              </w:rPr>
              <w:t>Categoría</w:t>
            </w:r>
          </w:p>
        </w:tc>
        <w:tc>
          <w:tcPr>
            <w:tcW w:type="dxa" w:w="680"/>
            <w:shd w:fill="1F3864"/>
          </w:tcPr>
          <w:p>
            <w:pPr>
              <w:spacing w:before="60" w:after="60" w:line="276" w:lineRule="auto"/>
              <w:ind w:firstLine="0"/>
              <w:jc w:val="center"/>
            </w:pPr>
            <w:r>
              <w:rPr>
                <w:rFonts w:ascii="Times New Roman" w:hAnsi="Times New Roman"/>
                <w:b/>
                <w:color w:val="FFFFFF"/>
                <w:sz w:val="20"/>
              </w:rPr>
              <w:t>Nº</w:t>
            </w:r>
          </w:p>
        </w:tc>
        <w:tc>
          <w:tcPr>
            <w:tcW w:type="dxa" w:w="3118"/>
            <w:shd w:fill="1F3864"/>
          </w:tcPr>
          <w:p>
            <w:pPr>
              <w:spacing w:before="60" w:after="60" w:line="276" w:lineRule="auto"/>
              <w:ind w:firstLine="0"/>
              <w:jc w:val="center"/>
            </w:pPr>
            <w:r>
              <w:rPr>
                <w:rFonts w:ascii="Times New Roman" w:hAnsi="Times New Roman"/>
                <w:b/>
                <w:color w:val="FFFFFF"/>
                <w:sz w:val="20"/>
              </w:rPr>
              <w:t>Variables representativas</w:t>
            </w:r>
          </w:p>
        </w:tc>
        <w:tc>
          <w:tcPr>
            <w:tcW w:type="dxa" w:w="3685"/>
            <w:shd w:fill="1F3864"/>
          </w:tcPr>
          <w:p>
            <w:pPr>
              <w:spacing w:before="60" w:after="60" w:line="276" w:lineRule="auto"/>
              <w:ind w:firstLine="0"/>
              <w:jc w:val="center"/>
            </w:pPr>
            <w:r>
              <w:rPr>
                <w:rFonts w:ascii="Times New Roman" w:hAnsi="Times New Roman"/>
                <w:b/>
                <w:color w:val="FFFFFF"/>
                <w:sz w:val="20"/>
              </w:rPr>
              <w:t>Justificación</w:t>
            </w:r>
          </w:p>
        </w:tc>
      </w:tr>
      <w:tr>
        <w:tc>
          <w:tcPr>
            <w:tcW w:type="dxa" w:w="1304"/>
            <w:shd w:fill="F2F2F2"/>
          </w:tcPr>
          <w:p>
            <w:pPr>
              <w:spacing w:before="40" w:after="40" w:line="276" w:lineRule="auto"/>
              <w:ind w:firstLine="0"/>
              <w:jc w:val="center"/>
            </w:pPr>
            <w:r>
              <w:rPr>
                <w:rFonts w:ascii="Times New Roman" w:hAnsi="Times New Roman"/>
                <w:sz w:val="20"/>
              </w:rPr>
              <w:t>ETFs</w:t>
            </w:r>
          </w:p>
        </w:tc>
        <w:tc>
          <w:tcPr>
            <w:tcW w:type="dxa" w:w="680"/>
            <w:shd w:fill="F2F2F2"/>
          </w:tcPr>
          <w:p>
            <w:pPr>
              <w:spacing w:before="40" w:after="40" w:line="276" w:lineRule="auto"/>
              <w:ind w:firstLine="0"/>
              <w:jc w:val="center"/>
            </w:pPr>
            <w:r>
              <w:rPr>
                <w:rFonts w:ascii="Times New Roman" w:hAnsi="Times New Roman"/>
                <w:sz w:val="20"/>
              </w:rPr>
              <w:t>60</w:t>
            </w:r>
          </w:p>
        </w:tc>
        <w:tc>
          <w:tcPr>
            <w:tcW w:type="dxa" w:w="3118"/>
            <w:shd w:fill="F2F2F2"/>
          </w:tcPr>
          <w:p>
            <w:pPr>
              <w:spacing w:before="40" w:after="40" w:line="276" w:lineRule="auto"/>
              <w:ind w:firstLine="0"/>
              <w:jc w:val="center"/>
            </w:pPr>
            <w:r>
              <w:rPr>
                <w:rFonts w:ascii="Times New Roman" w:hAnsi="Times New Roman"/>
                <w:sz w:val="20"/>
              </w:rPr>
              <w:t>log-return, volatilidad 4/12 sem., momentum, drawdown</w:t>
            </w:r>
          </w:p>
        </w:tc>
        <w:tc>
          <w:tcPr>
            <w:tcW w:type="dxa" w:w="3685"/>
            <w:shd w:fill="F2F2F2"/>
          </w:tcPr>
          <w:p>
            <w:pPr>
              <w:spacing w:before="40" w:after="40" w:line="276" w:lineRule="auto"/>
              <w:ind w:firstLine="0"/>
              <w:jc w:val="center"/>
            </w:pPr>
            <w:r>
              <w:rPr>
                <w:rFonts w:ascii="Times New Roman" w:hAnsi="Times New Roman"/>
                <w:sz w:val="20"/>
              </w:rPr>
              <w:t>Capturan rendimiento, riesgo y tendencia de cada activo</w:t>
            </w:r>
          </w:p>
        </w:tc>
      </w:tr>
      <w:tr>
        <w:tc>
          <w:tcPr>
            <w:tcW w:type="dxa" w:w="1304"/>
          </w:tcPr>
          <w:p>
            <w:pPr>
              <w:spacing w:before="40" w:after="40" w:line="276" w:lineRule="auto"/>
              <w:ind w:firstLine="0"/>
              <w:jc w:val="center"/>
            </w:pPr>
            <w:r>
              <w:rPr>
                <w:rFonts w:ascii="Times New Roman" w:hAnsi="Times New Roman"/>
                <w:sz w:val="20"/>
              </w:rPr>
              <w:t>Macro</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Spread 10Y-2Y, variación CPI, UNRATE, UMCSENT</w:t>
            </w:r>
          </w:p>
        </w:tc>
        <w:tc>
          <w:tcPr>
            <w:tcW w:type="dxa" w:w="3685"/>
          </w:tcPr>
          <w:p>
            <w:pPr>
              <w:spacing w:before="40" w:after="40" w:line="276" w:lineRule="auto"/>
              <w:ind w:firstLine="0"/>
              <w:jc w:val="center"/>
            </w:pPr>
            <w:r>
              <w:rPr>
                <w:rFonts w:ascii="Times New Roman" w:hAnsi="Times New Roman"/>
                <w:sz w:val="20"/>
              </w:rPr>
              <w:t>Señales del ciclo económico y riesgo de recesión</w:t>
            </w:r>
          </w:p>
        </w:tc>
      </w:tr>
      <w:tr>
        <w:tc>
          <w:tcPr>
            <w:tcW w:type="dxa" w:w="1304"/>
            <w:shd w:fill="F2F2F2"/>
          </w:tcPr>
          <w:p>
            <w:pPr>
              <w:spacing w:before="40" w:after="40" w:line="276" w:lineRule="auto"/>
              <w:ind w:firstLine="0"/>
              <w:jc w:val="center"/>
            </w:pPr>
            <w:r>
              <w:rPr>
                <w:rFonts w:ascii="Times New Roman" w:hAnsi="Times New Roman"/>
                <w:sz w:val="20"/>
              </w:rPr>
              <w:t>Riesgo</w:t>
            </w:r>
          </w:p>
        </w:tc>
        <w:tc>
          <w:tcPr>
            <w:tcW w:type="dxa" w:w="680"/>
            <w:shd w:fill="F2F2F2"/>
          </w:tcPr>
          <w:p>
            <w:pPr>
              <w:spacing w:before="40" w:after="40" w:line="276" w:lineRule="auto"/>
              <w:ind w:firstLine="0"/>
              <w:jc w:val="center"/>
            </w:pPr>
            <w:r>
              <w:rPr>
                <w:rFonts w:ascii="Times New Roman" w:hAnsi="Times New Roman"/>
                <w:sz w:val="20"/>
              </w:rPr>
              <w:t>4</w:t>
            </w:r>
          </w:p>
        </w:tc>
        <w:tc>
          <w:tcPr>
            <w:tcW w:type="dxa" w:w="3118"/>
            <w:shd w:fill="F2F2F2"/>
          </w:tcPr>
          <w:p>
            <w:pPr>
              <w:spacing w:before="40" w:after="40" w:line="276" w:lineRule="auto"/>
              <w:ind w:firstLine="0"/>
              <w:jc w:val="center"/>
            </w:pPr>
            <w:r>
              <w:rPr>
                <w:rFonts w:ascii="Times New Roman" w:hAnsi="Times New Roman"/>
                <w:sz w:val="20"/>
              </w:rPr>
              <w:t>VIX nivel/cambio, HY spread, NFCI</w:t>
            </w:r>
          </w:p>
        </w:tc>
        <w:tc>
          <w:tcPr>
            <w:tcW w:type="dxa" w:w="3685"/>
            <w:shd w:fill="F2F2F2"/>
          </w:tcPr>
          <w:p>
            <w:pPr>
              <w:spacing w:before="40" w:after="40" w:line="276" w:lineRule="auto"/>
              <w:ind w:firstLine="0"/>
              <w:jc w:val="center"/>
            </w:pPr>
            <w:r>
              <w:rPr>
                <w:rFonts w:ascii="Times New Roman" w:hAnsi="Times New Roman"/>
                <w:sz w:val="20"/>
              </w:rPr>
              <w:t>Indicadores de estrés y aversión al riesgo</w:t>
            </w:r>
          </w:p>
        </w:tc>
      </w:tr>
      <w:tr>
        <w:tc>
          <w:tcPr>
            <w:tcW w:type="dxa" w:w="1304"/>
          </w:tcPr>
          <w:p>
            <w:pPr>
              <w:spacing w:before="40" w:after="40" w:line="276" w:lineRule="auto"/>
              <w:ind w:firstLine="0"/>
              <w:jc w:val="center"/>
            </w:pPr>
            <w:r>
              <w:rPr>
                <w:rFonts w:ascii="Times New Roman" w:hAnsi="Times New Roman"/>
                <w:sz w:val="20"/>
              </w:rPr>
              <w:t>Liquidez</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Var. balance Fed, reverse repo, depósitos, TGA</w:t>
            </w:r>
          </w:p>
        </w:tc>
        <w:tc>
          <w:tcPr>
            <w:tcW w:type="dxa" w:w="3685"/>
          </w:tcPr>
          <w:p>
            <w:pPr>
              <w:spacing w:before="40" w:after="40" w:line="276" w:lineRule="auto"/>
              <w:ind w:firstLine="0"/>
              <w:jc w:val="center"/>
            </w:pPr>
            <w:r>
              <w:rPr>
                <w:rFonts w:ascii="Times New Roman" w:hAnsi="Times New Roman"/>
                <w:sz w:val="20"/>
              </w:rPr>
              <w:t>Flujos monetarios que afectan precios de activos</w:t>
            </w:r>
          </w:p>
        </w:tc>
      </w:tr>
      <w:tr>
        <w:tc>
          <w:tcPr>
            <w:tcW w:type="dxa" w:w="1304"/>
            <w:shd w:fill="F2F2F2"/>
          </w:tcPr>
          <w:p>
            <w:pPr>
              <w:spacing w:before="40" w:after="40" w:line="276" w:lineRule="auto"/>
              <w:ind w:firstLine="0"/>
              <w:jc w:val="center"/>
            </w:pPr>
            <w:r>
              <w:rPr>
                <w:rFonts w:ascii="Times New Roman" w:hAnsi="Times New Roman"/>
                <w:sz w:val="20"/>
              </w:rPr>
              <w:t>Sentimiento</w:t>
            </w:r>
          </w:p>
        </w:tc>
        <w:tc>
          <w:tcPr>
            <w:tcW w:type="dxa" w:w="680"/>
            <w:shd w:fill="F2F2F2"/>
          </w:tcPr>
          <w:p>
            <w:pPr>
              <w:spacing w:before="40" w:after="40" w:line="276" w:lineRule="auto"/>
              <w:ind w:firstLine="0"/>
              <w:jc w:val="center"/>
            </w:pPr>
            <w:r>
              <w:rPr>
                <w:rFonts w:ascii="Times New Roman" w:hAnsi="Times New Roman"/>
                <w:sz w:val="20"/>
              </w:rPr>
              <w:t>15</w:t>
            </w:r>
          </w:p>
        </w:tc>
        <w:tc>
          <w:tcPr>
            <w:tcW w:type="dxa" w:w="3118"/>
            <w:shd w:fill="F2F2F2"/>
          </w:tcPr>
          <w:p>
            <w:pPr>
              <w:spacing w:before="40" w:after="40" w:line="276" w:lineRule="auto"/>
              <w:ind w:firstLine="0"/>
              <w:jc w:val="center"/>
            </w:pPr>
            <w:r>
              <w:rPr>
                <w:rFonts w:ascii="Times New Roman" w:hAnsi="Times New Roman"/>
                <w:sz w:val="20"/>
              </w:rPr>
              <w:t>AAII Bull-Bear, 7 Google Trends (cambio + MA4)</w:t>
            </w:r>
          </w:p>
        </w:tc>
        <w:tc>
          <w:tcPr>
            <w:tcW w:type="dxa" w:w="3685"/>
            <w:shd w:fill="F2F2F2"/>
          </w:tcPr>
          <w:p>
            <w:pPr>
              <w:spacing w:before="40" w:after="40" w:line="276" w:lineRule="auto"/>
              <w:ind w:firstLine="0"/>
              <w:jc w:val="center"/>
            </w:pPr>
            <w:r>
              <w:rPr>
                <w:rFonts w:ascii="Times New Roman" w:hAnsi="Times New Roman"/>
                <w:sz w:val="20"/>
              </w:rPr>
              <w:t>Percepción de inversores retail y público general</w:t>
            </w:r>
          </w:p>
        </w:tc>
      </w:tr>
      <w:tr>
        <w:tc>
          <w:tcPr>
            <w:tcW w:type="dxa" w:w="1304"/>
          </w:tcPr>
          <w:p>
            <w:pPr>
              <w:spacing w:before="40" w:after="40" w:line="276" w:lineRule="auto"/>
              <w:ind w:firstLine="0"/>
              <w:jc w:val="center"/>
            </w:pPr>
            <w:r>
              <w:rPr>
                <w:rFonts w:ascii="Times New Roman" w:hAnsi="Times New Roman"/>
                <w:sz w:val="20"/>
              </w:rPr>
              <w:t>Noticias NLP</w:t>
            </w:r>
          </w:p>
        </w:tc>
        <w:tc>
          <w:tcPr>
            <w:tcW w:type="dxa" w:w="680"/>
          </w:tcPr>
          <w:p>
            <w:pPr>
              <w:spacing w:before="40" w:after="40" w:line="276" w:lineRule="auto"/>
              <w:ind w:firstLine="0"/>
              <w:jc w:val="center"/>
            </w:pPr>
            <w:r>
              <w:rPr>
                <w:rFonts w:ascii="Times New Roman" w:hAnsi="Times New Roman"/>
                <w:sz w:val="20"/>
              </w:rPr>
              <w:t>22</w:t>
            </w:r>
          </w:p>
        </w:tc>
        <w:tc>
          <w:tcPr>
            <w:tcW w:type="dxa" w:w="3118"/>
          </w:tcPr>
          <w:p>
            <w:pPr>
              <w:spacing w:before="40" w:after="40" w:line="276" w:lineRule="auto"/>
              <w:ind w:firstLine="0"/>
              <w:jc w:val="center"/>
            </w:pPr>
            <w:r>
              <w:rPr>
                <w:rFonts w:ascii="Times New Roman" w:hAnsi="Times New Roman"/>
                <w:sz w:val="20"/>
              </w:rPr>
              <w:t>Sentimiento VADER por ETF + agregado</w:t>
            </w:r>
          </w:p>
        </w:tc>
        <w:tc>
          <w:tcPr>
            <w:tcW w:type="dxa" w:w="3685"/>
          </w:tcPr>
          <w:p>
            <w:pPr>
              <w:spacing w:before="40" w:after="40" w:line="276" w:lineRule="auto"/>
              <w:ind w:firstLine="0"/>
              <w:jc w:val="center"/>
            </w:pPr>
            <w:r>
              <w:rPr>
                <w:rFonts w:ascii="Times New Roman" w:hAnsi="Times New Roman"/>
                <w:sz w:val="20"/>
              </w:rPr>
              <w:t>Tono de noticias financieras (17.181 titulares)</w:t>
            </w:r>
          </w:p>
        </w:tc>
      </w:tr>
    </w:tbl>
    <w:p>
      <w:pPr>
        <w:spacing w:before="0" w:after="120" w:line="240" w:lineRule="auto"/>
      </w:pPr>
    </w:p>
    <w:p>
      <w:pPr>
        <w:spacing w:before="120" w:after="120" w:line="360" w:lineRule="auto"/>
        <w:ind w:firstLine="720"/>
      </w:pPr>
      <w:r>
        <w:rPr>
          <w:rFonts w:ascii="Times New Roman" w:hAnsi="Times New Roman"/>
          <w:b w:val="0"/>
          <w:i w:val="0"/>
          <w:sz w:val="22"/>
        </w:rPr>
        <w:t>Para las 6 métricas por ETF (60 features en total), se eligieron transformaciones estándar de la literatura de finanzas cuantitativas. El log-return semanal (ln(P_t/P_{t-1})) se prefiere al retorno simple porque es aditivo en el tiempo y estabiliza la varianza. La volatilidad rolling en ventanas de 4 y 12 semanas captura el riesgo a corto y medio plazo. El momentum (retorno acumulado en 4 y 12 semanas) explota el efecto momentum ampliamente documentado en la literatura académica. El drawdown mide la caída desde el máximo histórico, proporcionando una medida de estrés del activo.</w:t>
      </w:r>
    </w:p>
    <w:p>
      <w:pPr>
        <w:pStyle w:val="UFVEpgrafeNivel3"/>
        <w:spacing w:line="360" w:lineRule="auto" w:before="240" w:after="120"/>
        <w:ind w:firstLine="0"/>
      </w:pPr>
      <w:r>
        <w:rPr>
          <w:rFonts w:ascii="Times New Roman" w:hAnsi="Times New Roman"/>
          <w:b/>
          <w:i/>
          <w:color w:val="000000"/>
          <w:sz w:val="22"/>
        </w:rPr>
        <w:t>Análisis de sentimiento NLP</w:t>
      </w:r>
    </w:p>
    <w:p>
      <w:pPr>
        <w:spacing w:before="0" w:after="120" w:line="360" w:lineRule="auto"/>
        <w:ind w:firstLine="720"/>
      </w:pPr>
      <w:r>
        <w:rPr>
          <w:rFonts w:ascii="Times New Roman" w:hAnsi="Times New Roman"/>
          <w:b w:val="0"/>
          <w:i w:val="0"/>
          <w:sz w:val="22"/>
        </w:rPr>
        <w:t>Se aplicó el algoritmo VADER (Valence Aware Dictionary and sEntiment Reasoner) sobre los 17.181 titulares de noticias extraídos de Refinitiv/LSEG Workspace. VADER fue seleccionado por estar diseñado específicamente para textos cortos como titulares, no requerir entrenamiento previo (usa un lexicón validado por humanos) y estar ampliamente citado en la literatura de finanzas cuantitativas. Cada titular recibió un compound score entre −1 (muy negativo) y +1 (muy positivo), que se agregó a frecuencia semanal por ETF calculando la media del sentimiento y el número de titulares como proxy de atención mediática. La distribución resultante mostró un 61,7% de titulares neutros, un 23,6% positivos y un 14,7% negativos.</w:t>
      </w:r>
    </w:p>
    <w:p>
      <w:pPr>
        <w:pStyle w:val="UFVEpgrafeNivel2"/>
        <w:spacing w:line="360" w:lineRule="auto" w:before="360" w:after="160"/>
        <w:ind w:firstLine="0"/>
      </w:pPr>
      <w:r>
        <w:rPr>
          <w:rFonts w:ascii="Times New Roman" w:hAnsi="Times New Roman"/>
          <w:b/>
          <w:i w:val="0"/>
          <w:color w:val="000000"/>
          <w:sz w:val="24"/>
        </w:rPr>
        <w:t>4.5. Análisis Exploratorio de Datos</w:t>
      </w:r>
    </w:p>
    <w:p>
      <w:pPr>
        <w:spacing w:before="0" w:after="120" w:line="360" w:lineRule="auto"/>
        <w:ind w:firstLine="720"/>
      </w:pPr>
      <w:r>
        <w:rPr>
          <w:rFonts w:ascii="Times New Roman" w:hAnsi="Times New Roman"/>
          <w:b w:val="0"/>
          <w:i w:val="0"/>
          <w:sz w:val="22"/>
        </w:rPr>
        <w:t>El análisis exploratorio reveló varios hallazgos que condicionan directamente el diseño del modelo predictivo y justifican la elección de técnicas de Machine Learning frente a métodos tradicionales de optimización de carteras.</w:t>
      </w:r>
    </w:p>
    <w:p>
      <w:pPr>
        <w:pStyle w:val="UFVEpgrafeNivel3"/>
        <w:spacing w:line="360" w:lineRule="auto" w:before="240" w:after="120"/>
        <w:ind w:firstLine="0"/>
      </w:pPr>
      <w:r>
        <w:rPr>
          <w:rFonts w:ascii="Times New Roman" w:hAnsi="Times New Roman"/>
          <w:b/>
          <w:i/>
          <w:color w:val="000000"/>
          <w:sz w:val="22"/>
        </w:rPr>
        <w:t>Evolución de precios y heterogeneidad de rendimientos</w:t>
      </w:r>
    </w:p>
    <w:p>
      <w:pPr>
        <w:spacing w:before="0" w:after="120" w:line="360" w:lineRule="auto"/>
        <w:ind w:firstLine="720"/>
      </w:pPr>
      <w:r>
        <w:rPr>
          <w:rFonts w:ascii="Times New Roman" w:hAnsi="Times New Roman"/>
          <w:b w:val="0"/>
          <w:i w:val="0"/>
          <w:sz w:val="22"/>
        </w:rPr>
        <w:t>La Figura 4 muestra la evolución de los 10 ETFs normalizada a base 100, en escala logarítmica para permitir una comparación justa. Se observa una dispersión enorme entre clases de activos: QQQ (Nasdaq 100) multiplicó su valor por más de 8 veces, mientras que EEM (emergentes) prácticamente no generó retorno neto en 19 años. Las tres crisis sombreadas se manifiestan de forma distinta en cada activo, lo que justifica la diversificación multi-activo.</w:t>
      </w:r>
    </w:p>
    <w:p>
      <w:pPr>
        <w:spacing w:before="240" w:after="0" w:line="240" w:lineRule="auto"/>
        <w:ind w:firstLine="0"/>
        <w:jc w:val="center"/>
      </w:pPr>
      <w:r>
        <w:drawing>
          <wp:inline xmlns:a="http://schemas.openxmlformats.org/drawingml/2006/main" xmlns:pic="http://schemas.openxmlformats.org/drawingml/2006/picture">
            <wp:extent cx="4680000" cy="2524226"/>
            <wp:docPr id="4" name="Picture 4"/>
            <wp:cNvGraphicFramePr>
              <a:graphicFrameLocks noChangeAspect="1"/>
            </wp:cNvGraphicFramePr>
            <a:graphic>
              <a:graphicData uri="http://schemas.openxmlformats.org/drawingml/2006/picture">
                <pic:pic>
                  <pic:nvPicPr>
                    <pic:cNvPr id="0" name="etfs_evolucion_log.png"/>
                    <pic:cNvPicPr/>
                  </pic:nvPicPr>
                  <pic:blipFill>
                    <a:blip r:embed="rId25"/>
                    <a:stretch>
                      <a:fillRect/>
                    </a:stretch>
                  </pic:blipFill>
                  <pic:spPr>
                    <a:xfrm>
                      <a:off x="0" y="0"/>
                      <a:ext cx="4680000" cy="2524226"/>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4. </w:t>
      </w:r>
      <w:r>
        <w:rPr>
          <w:rFonts w:ascii="Times New Roman" w:hAnsi="Times New Roman"/>
          <w:i/>
          <w:sz w:val="20"/>
        </w:rPr>
        <w:t>Evolución de precios de 10 ETFs normalizada a base 100, escala logarítmica (2007–2026). Sombreados: GFC 2008, COVID-19 y crisis de inflación/tipos 2022.</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 normalidad de retornos</w:t>
      </w:r>
    </w:p>
    <w:p>
      <w:pPr>
        <w:spacing w:before="0" w:after="120" w:line="360" w:lineRule="auto"/>
        <w:ind w:firstLine="720"/>
      </w:pPr>
      <w:r>
        <w:rPr>
          <w:rFonts w:ascii="Times New Roman" w:hAnsi="Times New Roman"/>
          <w:b w:val="0"/>
          <w:i w:val="0"/>
          <w:sz w:val="22"/>
        </w:rPr>
        <w:t>La Figura 5 presenta los histogramas de retornos semanales con la curva normal teórica superpuesta. Todos los ETFs exhiben leptocurtosis (colas más pesadas que la normal, con curtosis de hasta 53,4 para AGG) y asimetría negativa (caídas extremas más frecuentes que subidas extremas). Este hallazgo invalida el supuesto de normalidad del modelo de Markowitz y justifica el uso de modelos de Machine Learning capaces de capturar relaciones no lineales y eventos extremos.</w:t>
      </w:r>
    </w:p>
    <w:p>
      <w:pPr>
        <w:spacing w:before="240" w:after="0" w:line="240" w:lineRule="auto"/>
        <w:ind w:firstLine="0"/>
        <w:jc w:val="center"/>
      </w:pPr>
      <w:r>
        <w:drawing>
          <wp:inline xmlns:a="http://schemas.openxmlformats.org/drawingml/2006/main" xmlns:pic="http://schemas.openxmlformats.org/drawingml/2006/picture">
            <wp:extent cx="4680000" cy="2145654"/>
            <wp:docPr id="5" name="Picture 5"/>
            <wp:cNvGraphicFramePr>
              <a:graphicFrameLocks noChangeAspect="1"/>
            </wp:cNvGraphicFramePr>
            <a:graphic>
              <a:graphicData uri="http://schemas.openxmlformats.org/drawingml/2006/picture">
                <pic:pic>
                  <pic:nvPicPr>
                    <pic:cNvPr id="0" name="distribucion_retornos.png"/>
                    <pic:cNvPicPr/>
                  </pic:nvPicPr>
                  <pic:blipFill>
                    <a:blip r:embed="rId26"/>
                    <a:stretch>
                      <a:fillRect/>
                    </a:stretch>
                  </pic:blipFill>
                  <pic:spPr>
                    <a:xfrm>
                      <a:off x="0" y="0"/>
                      <a:ext cx="4680000" cy="2145654"/>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5. </w:t>
      </w:r>
      <w:r>
        <w:rPr>
          <w:rFonts w:ascii="Times New Roman" w:hAnsi="Times New Roman"/>
          <w:i/>
          <w:sz w:val="20"/>
        </w:rPr>
        <w:t>Distribución de retornos semanales de los 10 ETFs frente a la distribución normal teórica. Se observa leptocurtosis generalizada (colas pesadas).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Volatilidad y crisis</w:t>
      </w:r>
    </w:p>
    <w:p>
      <w:pPr>
        <w:spacing w:before="0" w:after="120" w:line="360" w:lineRule="auto"/>
        <w:ind w:firstLine="720"/>
      </w:pPr>
      <w:r>
        <w:rPr>
          <w:rFonts w:ascii="Times New Roman" w:hAnsi="Times New Roman"/>
          <w:b w:val="0"/>
          <w:i w:val="0"/>
          <w:sz w:val="22"/>
        </w:rPr>
        <w:t>El índice VIX, conocido como el «índice del miedo», registró picos de 79,1 durante la Gran Crisis Financiera y de 66,0 durante la pandemia de COVID-19 (Figura 6). Su comportamiento asimétrico (sube de forma abrupta y baja gradualmente) y su clara relación negativa con los retornos de SPY justifican su inclusión como feature del modelo tanto en nivel como en variación semanal.</w:t>
      </w:r>
    </w:p>
    <w:p>
      <w:pPr>
        <w:spacing w:before="240" w:after="0" w:line="240" w:lineRule="auto"/>
        <w:ind w:firstLine="0"/>
        <w:jc w:val="center"/>
      </w:pPr>
      <w:r>
        <w:drawing>
          <wp:inline xmlns:a="http://schemas.openxmlformats.org/drawingml/2006/main" xmlns:pic="http://schemas.openxmlformats.org/drawingml/2006/picture">
            <wp:extent cx="4680000" cy="2237321"/>
            <wp:docPr id="6" name="Picture 6"/>
            <wp:cNvGraphicFramePr>
              <a:graphicFrameLocks noChangeAspect="1"/>
            </wp:cNvGraphicFramePr>
            <a:graphic>
              <a:graphicData uri="http://schemas.openxmlformats.org/drawingml/2006/picture">
                <pic:pic>
                  <pic:nvPicPr>
                    <pic:cNvPr id="0" name="vix_historico.png"/>
                    <pic:cNvPicPr/>
                  </pic:nvPicPr>
                  <pic:blipFill>
                    <a:blip r:embed="rId27"/>
                    <a:stretch>
                      <a:fillRect/>
                    </a:stretch>
                  </pic:blipFill>
                  <pic:spPr>
                    <a:xfrm>
                      <a:off x="0" y="0"/>
                      <a:ext cx="4680000" cy="2237321"/>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6. </w:t>
      </w:r>
      <w:r>
        <w:rPr>
          <w:rFonts w:ascii="Times New Roman" w:hAnsi="Times New Roman"/>
          <w:i/>
          <w:sz w:val="20"/>
        </w:rPr>
        <w:t>Evolución del VIX (2007–2026) con niveles de referencia y picos de crisis anotados.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Inestabilidad de correlaciones</w:t>
      </w:r>
    </w:p>
    <w:p>
      <w:pPr>
        <w:spacing w:before="0" w:after="120" w:line="360" w:lineRule="auto"/>
        <w:ind w:firstLine="720"/>
      </w:pPr>
      <w:r>
        <w:rPr>
          <w:rFonts w:ascii="Times New Roman" w:hAnsi="Times New Roman"/>
          <w:b w:val="0"/>
          <w:i w:val="0"/>
          <w:sz w:val="22"/>
        </w:rPr>
        <w:t>Uno de los hallazgos más relevantes para la motivación del proyecto es la inestabilidad de las correlaciones entre clases de activos. La Figura 7 muestra la correlación rolling de 52 semanas entre SPY (acciones) y AGG (bonos). La correlación oscila entre −0,6 y +0,6 a lo largo de los 19 años: en periodos normales es negativa (la diversificación funciona), pero en crisis como 2008, 2020 y especialmente 2022-2024 se vuelve positiva (acciones y bonos caen juntos, la diversificación se rompe). Este resultado invalida el supuesto fundamental del modelo de Markowitz de correlaciones estables y justifica un enfoque dinámico basado en Machine Learning que se adapte al régimen de correlaciones actual.</w:t>
      </w:r>
    </w:p>
    <w:p>
      <w:pPr>
        <w:spacing w:before="240" w:after="0" w:line="240" w:lineRule="auto"/>
        <w:ind w:firstLine="0"/>
        <w:jc w:val="center"/>
      </w:pPr>
      <w:r>
        <w:drawing>
          <wp:inline xmlns:a="http://schemas.openxmlformats.org/drawingml/2006/main" xmlns:pic="http://schemas.openxmlformats.org/drawingml/2006/picture">
            <wp:extent cx="4680000" cy="2199613"/>
            <wp:docPr id="7" name="Picture 7"/>
            <wp:cNvGraphicFramePr>
              <a:graphicFrameLocks noChangeAspect="1"/>
            </wp:cNvGraphicFramePr>
            <a:graphic>
              <a:graphicData uri="http://schemas.openxmlformats.org/drawingml/2006/picture">
                <pic:pic>
                  <pic:nvPicPr>
                    <pic:cNvPr id="0" name="rolling_corr_spy_agg.png"/>
                    <pic:cNvPicPr/>
                  </pic:nvPicPr>
                  <pic:blipFill>
                    <a:blip r:embed="rId28"/>
                    <a:stretch>
                      <a:fillRect/>
                    </a:stretch>
                  </pic:blipFill>
                  <pic:spPr>
                    <a:xfrm>
                      <a:off x="0" y="0"/>
                      <a:ext cx="4680000" cy="219961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7. </w:t>
      </w:r>
      <w:r>
        <w:rPr>
          <w:rFonts w:ascii="Times New Roman" w:hAnsi="Times New Roman"/>
          <w:i/>
          <w:sz w:val="20"/>
        </w:rPr>
        <w:t>Correlación rolling de 52 semanas entre SPY y AGG. Las zonas rojas indican correlación positiva (diversificación rota); las verdes, correlación negativa (diversificación funcional).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Complementariedad entre dimensiones</w:t>
      </w:r>
    </w:p>
    <w:p>
      <w:pPr>
        <w:spacing w:before="0" w:after="120" w:line="360" w:lineRule="auto"/>
        <w:ind w:firstLine="720"/>
      </w:pPr>
      <w:r>
        <w:rPr>
          <w:rFonts w:ascii="Times New Roman" w:hAnsi="Times New Roman"/>
          <w:b w:val="0"/>
          <w:i w:val="0"/>
          <w:sz w:val="22"/>
        </w:rPr>
        <w:t>La Figura 8 muestra la correlación media absoluta entre las cinco dimensiones del dataset. Liquidez y sentimiento presentan correlaciones muy bajas con el resto de dimensiones (0,05–0,09), confirmando que aportan información diferenciada y complementaria al modelo. Esto valida la decisión de diseño de incorporar múltiples fuentes de datos heterogéneas.</w:t>
      </w:r>
    </w:p>
    <w:p>
      <w:pPr>
        <w:spacing w:before="240" w:after="0" w:line="240" w:lineRule="auto"/>
        <w:ind w:firstLine="0"/>
        <w:jc w:val="center"/>
      </w:pPr>
      <w:r>
        <w:drawing>
          <wp:inline xmlns:a="http://schemas.openxmlformats.org/drawingml/2006/main" xmlns:pic="http://schemas.openxmlformats.org/drawingml/2006/picture">
            <wp:extent cx="3240000" cy="2889372"/>
            <wp:docPr id="8" name="Picture 8"/>
            <wp:cNvGraphicFramePr>
              <a:graphicFrameLocks noChangeAspect="1"/>
            </wp:cNvGraphicFramePr>
            <a:graphic>
              <a:graphicData uri="http://schemas.openxmlformats.org/drawingml/2006/picture">
                <pic:pic>
                  <pic:nvPicPr>
                    <pic:cNvPr id="0" name="correlacion_entre_dimensiones.png"/>
                    <pic:cNvPicPr/>
                  </pic:nvPicPr>
                  <pic:blipFill>
                    <a:blip r:embed="rId29"/>
                    <a:stretch>
                      <a:fillRect/>
                    </a:stretch>
                  </pic:blipFill>
                  <pic:spPr>
                    <a:xfrm>
                      <a:off x="0" y="0"/>
                      <a:ext cx="3240000" cy="288937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8. </w:t>
      </w:r>
      <w:r>
        <w:rPr>
          <w:rFonts w:ascii="Times New Roman" w:hAnsi="Times New Roman"/>
          <w:i/>
          <w:sz w:val="20"/>
        </w:rPr>
        <w:t>Correlación media absoluta entre dimensiones del dataset. Liquidez y sentimiento aportan información independiente.</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Estacionariedad de las series</w:t>
      </w:r>
    </w:p>
    <w:p>
      <w:pPr>
        <w:spacing w:before="0" w:after="120" w:line="360" w:lineRule="auto"/>
        <w:ind w:firstLine="720"/>
      </w:pPr>
      <w:r>
        <w:rPr>
          <w:rFonts w:ascii="Times New Roman" w:hAnsi="Times New Roman"/>
          <w:b w:val="0"/>
          <w:i w:val="0"/>
          <w:sz w:val="22"/>
        </w:rPr>
        <w:t>Se aplicó el test Augmented Dickey-Fuller a 19 variables representativas (Figura 9). El resultado fue que 17 de 19 son estacionarias (p &lt; 0,05), incluyendo todos los log-returns y variaciones semanales. Las dos excepciones (spread 10Y-2Y y spread Bull-Bear AAII) son variables de nivel con reversión lenta a la media, que se mantuvieron sin diferenciar porque su valor absoluto tiene significado económico directo y XGBoost, a diferencia de los modelos ARIMA, puede trabajar con variables no estacionarias sin problemas.</w:t>
      </w:r>
    </w:p>
    <w:p>
      <w:pPr>
        <w:spacing w:before="240" w:after="0" w:line="240" w:lineRule="auto"/>
        <w:ind w:firstLine="0"/>
        <w:jc w:val="center"/>
      </w:pPr>
      <w:r>
        <w:drawing>
          <wp:inline xmlns:a="http://schemas.openxmlformats.org/drawingml/2006/main" xmlns:pic="http://schemas.openxmlformats.org/drawingml/2006/picture">
            <wp:extent cx="4320000" cy="3208398"/>
            <wp:docPr id="9" name="Picture 9"/>
            <wp:cNvGraphicFramePr>
              <a:graphicFrameLocks noChangeAspect="1"/>
            </wp:cNvGraphicFramePr>
            <a:graphic>
              <a:graphicData uri="http://schemas.openxmlformats.org/drawingml/2006/picture">
                <pic:pic>
                  <pic:nvPicPr>
                    <pic:cNvPr id="0" name="tabla_estacionariedad.png"/>
                    <pic:cNvPicPr/>
                  </pic:nvPicPr>
                  <pic:blipFill>
                    <a:blip r:embed="rId30"/>
                    <a:stretch>
                      <a:fillRect/>
                    </a:stretch>
                  </pic:blipFill>
                  <pic:spPr>
                    <a:xfrm>
                      <a:off x="0" y="0"/>
                      <a:ext cx="4320000" cy="3208398"/>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9. </w:t>
      </w:r>
      <w:r>
        <w:rPr>
          <w:rFonts w:ascii="Times New Roman" w:hAnsi="Times New Roman"/>
          <w:i/>
          <w:sz w:val="20"/>
        </w:rPr>
        <w:t>Resultados del test Augmented Dickey-Fuller. Verde: estacionaria (p &lt; 0,05). Rojo: no estacionaria.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4.6. Dataset maestro final</w:t>
      </w:r>
    </w:p>
    <w:p>
      <w:pPr>
        <w:spacing w:before="0" w:after="120" w:line="360" w:lineRule="auto"/>
        <w:ind w:firstLine="720"/>
      </w:pPr>
      <w:r>
        <w:rPr>
          <w:rFonts w:ascii="Times New Roman" w:hAnsi="Times New Roman"/>
          <w:b w:val="0"/>
          <w:i w:val="0"/>
          <w:sz w:val="22"/>
        </w:rPr>
        <w:t>El resultado del proceso de ingeniería del dato es un dataset maestro unificado con 987 semanas de observaciones y 119 columnas, compuesto por 109 features predictoras y 10 variables target (una por ETF). El periodo cubierto abarca desde marzo de 2007 hasta febrero de 2026, proporcionando casi dos décadas de datos que incluyen múltiples ciclos económicos, tres crisis financieras importantes y diversos regímenes de mercado.</w:t>
      </w:r>
    </w:p>
    <w:p>
      <w:pPr>
        <w:spacing w:before="0" w:after="120" w:line="360" w:lineRule="auto"/>
        <w:ind w:firstLine="720"/>
      </w:pPr>
      <w:r>
        <w:rPr>
          <w:rFonts w:ascii="Times New Roman" w:hAnsi="Times New Roman"/>
          <w:b w:val="0"/>
          <w:i w:val="0"/>
          <w:sz w:val="22"/>
        </w:rPr>
        <w:t>La variable target para cada ETF se definió como el log-return de la semana siguiente (shift −1 sobre los retornos), lo que garantiza que las features contienen únicamente información del presente y el pasado mientras que el target es el retorno futuro. Esta separación temporal estricta es fundamental para evitar data leakage y asegurar que el modelo aprende a predecir el futuro utilizando solo información disponible en el momento de la decisión.</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2835"/>
            <w:shd w:fill="1F3864"/>
          </w:tcPr>
          <w:p>
            <w:pPr>
              <w:spacing w:before="60" w:after="60" w:line="276" w:lineRule="auto"/>
              <w:ind w:firstLine="0"/>
              <w:jc w:val="center"/>
            </w:pPr>
            <w:r>
              <w:rPr>
                <w:rFonts w:ascii="Times New Roman" w:hAnsi="Times New Roman"/>
                <w:b/>
                <w:color w:val="FFFFFF"/>
                <w:sz w:val="20"/>
              </w:rPr>
              <w:t>Métrica</w:t>
            </w:r>
          </w:p>
        </w:tc>
        <w:tc>
          <w:tcPr>
            <w:tcW w:type="dxa" w:w="5953"/>
            <w:shd w:fill="1F3864"/>
          </w:tcPr>
          <w:p>
            <w:pPr>
              <w:spacing w:before="60" w:after="60" w:line="276" w:lineRule="auto"/>
              <w:ind w:firstLine="0"/>
              <w:jc w:val="center"/>
            </w:pPr>
            <w:r>
              <w:rPr>
                <w:rFonts w:ascii="Times New Roman" w:hAnsi="Times New Roman"/>
                <w:b/>
                <w:color w:val="FFFFFF"/>
                <w:sz w:val="20"/>
              </w:rPr>
              <w:t>Valor</w:t>
            </w:r>
          </w:p>
        </w:tc>
      </w:tr>
      <w:tr>
        <w:tc>
          <w:tcPr>
            <w:tcW w:type="dxa" w:w="2835"/>
            <w:shd w:fill="F2F2F2"/>
          </w:tcPr>
          <w:p>
            <w:pPr>
              <w:spacing w:before="40" w:after="40" w:line="276" w:lineRule="auto"/>
              <w:ind w:firstLine="0"/>
              <w:jc w:val="center"/>
            </w:pPr>
            <w:r>
              <w:rPr>
                <w:rFonts w:ascii="Times New Roman" w:hAnsi="Times New Roman"/>
                <w:sz w:val="20"/>
              </w:rPr>
              <w:t>Filas (semanas)</w:t>
            </w:r>
          </w:p>
        </w:tc>
        <w:tc>
          <w:tcPr>
            <w:tcW w:type="dxa" w:w="5953"/>
            <w:shd w:fill="F2F2F2"/>
          </w:tcPr>
          <w:p>
            <w:pPr>
              <w:spacing w:before="40" w:after="40" w:line="276" w:lineRule="auto"/>
              <w:ind w:firstLine="0"/>
              <w:jc w:val="center"/>
            </w:pPr>
            <w:r>
              <w:rPr>
                <w:rFonts w:ascii="Times New Roman" w:hAnsi="Times New Roman"/>
                <w:sz w:val="20"/>
              </w:rPr>
              <w:t>987</w:t>
            </w:r>
          </w:p>
        </w:tc>
      </w:tr>
      <w:tr>
        <w:tc>
          <w:tcPr>
            <w:tcW w:type="dxa" w:w="2835"/>
          </w:tcPr>
          <w:p>
            <w:pPr>
              <w:spacing w:before="40" w:after="40" w:line="276" w:lineRule="auto"/>
              <w:ind w:firstLine="0"/>
              <w:jc w:val="center"/>
            </w:pPr>
            <w:r>
              <w:rPr>
                <w:rFonts w:ascii="Times New Roman" w:hAnsi="Times New Roman"/>
                <w:sz w:val="20"/>
              </w:rPr>
              <w:t>Features predictoras</w:t>
            </w:r>
          </w:p>
        </w:tc>
        <w:tc>
          <w:tcPr>
            <w:tcW w:type="dxa" w:w="5953"/>
          </w:tcPr>
          <w:p>
            <w:pPr>
              <w:spacing w:before="40" w:after="40" w:line="276" w:lineRule="auto"/>
              <w:ind w:firstLine="0"/>
              <w:jc w:val="center"/>
            </w:pPr>
            <w:r>
              <w:rPr>
                <w:rFonts w:ascii="Times New Roman" w:hAnsi="Times New Roman"/>
                <w:sz w:val="20"/>
              </w:rPr>
              <w:t>109</w:t>
            </w:r>
          </w:p>
        </w:tc>
      </w:tr>
      <w:tr>
        <w:tc>
          <w:tcPr>
            <w:tcW w:type="dxa" w:w="2835"/>
            <w:shd w:fill="F2F2F2"/>
          </w:tcPr>
          <w:p>
            <w:pPr>
              <w:spacing w:before="40" w:after="40" w:line="276" w:lineRule="auto"/>
              <w:ind w:firstLine="0"/>
              <w:jc w:val="center"/>
            </w:pPr>
            <w:r>
              <w:rPr>
                <w:rFonts w:ascii="Times New Roman" w:hAnsi="Times New Roman"/>
                <w:sz w:val="20"/>
              </w:rPr>
              <w:t>Variables target</w:t>
            </w:r>
          </w:p>
        </w:tc>
        <w:tc>
          <w:tcPr>
            <w:tcW w:type="dxa" w:w="5953"/>
            <w:shd w:fill="F2F2F2"/>
          </w:tcPr>
          <w:p>
            <w:pPr>
              <w:spacing w:before="40" w:after="40" w:line="276" w:lineRule="auto"/>
              <w:ind w:firstLine="0"/>
              <w:jc w:val="center"/>
            </w:pPr>
            <w:r>
              <w:rPr>
                <w:rFonts w:ascii="Times New Roman" w:hAnsi="Times New Roman"/>
                <w:sz w:val="20"/>
              </w:rPr>
              <w:t>10 (una por ETF)</w:t>
            </w:r>
          </w:p>
        </w:tc>
      </w:tr>
      <w:tr>
        <w:tc>
          <w:tcPr>
            <w:tcW w:type="dxa" w:w="2835"/>
          </w:tcPr>
          <w:p>
            <w:pPr>
              <w:spacing w:before="40" w:after="40" w:line="276" w:lineRule="auto"/>
              <w:ind w:firstLine="0"/>
              <w:jc w:val="center"/>
            </w:pPr>
            <w:r>
              <w:rPr>
                <w:rFonts w:ascii="Times New Roman" w:hAnsi="Times New Roman"/>
                <w:sz w:val="20"/>
              </w:rPr>
              <w:t>Total columnas</w:t>
            </w:r>
          </w:p>
        </w:tc>
        <w:tc>
          <w:tcPr>
            <w:tcW w:type="dxa" w:w="5953"/>
          </w:tcPr>
          <w:p>
            <w:pPr>
              <w:spacing w:before="40" w:after="40" w:line="276" w:lineRule="auto"/>
              <w:ind w:firstLine="0"/>
              <w:jc w:val="center"/>
            </w:pPr>
            <w:r>
              <w:rPr>
                <w:rFonts w:ascii="Times New Roman" w:hAnsi="Times New Roman"/>
                <w:sz w:val="20"/>
              </w:rPr>
              <w:t>119</w:t>
            </w:r>
          </w:p>
        </w:tc>
      </w:tr>
      <w:tr>
        <w:tc>
          <w:tcPr>
            <w:tcW w:type="dxa" w:w="2835"/>
            <w:shd w:fill="F2F2F2"/>
          </w:tcPr>
          <w:p>
            <w:pPr>
              <w:spacing w:before="40" w:after="40" w:line="276" w:lineRule="auto"/>
              <w:ind w:firstLine="0"/>
              <w:jc w:val="center"/>
            </w:pPr>
            <w:r>
              <w:rPr>
                <w:rFonts w:ascii="Times New Roman" w:hAnsi="Times New Roman"/>
                <w:sz w:val="20"/>
              </w:rPr>
              <w:t>Periodo</w:t>
            </w:r>
          </w:p>
        </w:tc>
        <w:tc>
          <w:tcPr>
            <w:tcW w:type="dxa" w:w="5953"/>
            <w:shd w:fill="F2F2F2"/>
          </w:tcPr>
          <w:p>
            <w:pPr>
              <w:spacing w:before="40" w:after="40" w:line="276" w:lineRule="auto"/>
              <w:ind w:firstLine="0"/>
              <w:jc w:val="center"/>
            </w:pPr>
            <w:r>
              <w:rPr>
                <w:rFonts w:ascii="Times New Roman" w:hAnsi="Times New Roman"/>
                <w:sz w:val="20"/>
              </w:rPr>
              <w:t>2007-03-30 → 2026-02-20</w:t>
            </w:r>
          </w:p>
        </w:tc>
      </w:tr>
      <w:tr>
        <w:tc>
          <w:tcPr>
            <w:tcW w:type="dxa" w:w="2835"/>
          </w:tcPr>
          <w:p>
            <w:pPr>
              <w:spacing w:before="40" w:after="40" w:line="276" w:lineRule="auto"/>
              <w:ind w:firstLine="0"/>
              <w:jc w:val="center"/>
            </w:pPr>
            <w:r>
              <w:rPr>
                <w:rFonts w:ascii="Times New Roman" w:hAnsi="Times New Roman"/>
                <w:sz w:val="20"/>
              </w:rPr>
              <w:t>Nulos en features base</w:t>
            </w:r>
          </w:p>
        </w:tc>
        <w:tc>
          <w:tcPr>
            <w:tcW w:type="dxa" w:w="5953"/>
          </w:tcPr>
          <w:p>
            <w:pPr>
              <w:spacing w:before="40" w:after="40" w:line="276" w:lineRule="auto"/>
              <w:ind w:firstLine="0"/>
              <w:jc w:val="center"/>
            </w:pPr>
            <w:r>
              <w:rPr>
                <w:rFonts w:ascii="Times New Roman" w:hAnsi="Times New Roman"/>
                <w:sz w:val="20"/>
              </w:rPr>
              <w:t>0</w:t>
            </w:r>
          </w:p>
        </w:tc>
      </w:tr>
      <w:tr>
        <w:tc>
          <w:tcPr>
            <w:tcW w:type="dxa" w:w="2835"/>
            <w:shd w:fill="F2F2F2"/>
          </w:tcPr>
          <w:p>
            <w:pPr>
              <w:spacing w:before="40" w:after="40" w:line="276" w:lineRule="auto"/>
              <w:ind w:firstLine="0"/>
              <w:jc w:val="center"/>
            </w:pPr>
            <w:r>
              <w:rPr>
                <w:rFonts w:ascii="Times New Roman" w:hAnsi="Times New Roman"/>
                <w:sz w:val="20"/>
              </w:rPr>
              <w:t>Nulos en features Refinitiv</w:t>
            </w:r>
          </w:p>
        </w:tc>
        <w:tc>
          <w:tcPr>
            <w:tcW w:type="dxa" w:w="5953"/>
            <w:shd w:fill="F2F2F2"/>
          </w:tcPr>
          <w:p>
            <w:pPr>
              <w:spacing w:before="40" w:after="40" w:line="276" w:lineRule="auto"/>
              <w:ind w:firstLine="0"/>
              <w:jc w:val="center"/>
            </w:pPr>
            <w:r>
              <w:rPr>
                <w:rFonts w:ascii="Times New Roman" w:hAnsi="Times New Roman"/>
                <w:sz w:val="20"/>
              </w:rPr>
              <w:t>955 semanas (esperado: datos desde dic 2024)</w:t>
            </w:r>
          </w:p>
        </w:tc>
      </w:tr>
      <w:tr>
        <w:tc>
          <w:tcPr>
            <w:tcW w:type="dxa" w:w="2835"/>
          </w:tcPr>
          <w:p>
            <w:pPr>
              <w:spacing w:before="40" w:after="40" w:line="276" w:lineRule="auto"/>
              <w:ind w:firstLine="0"/>
              <w:jc w:val="center"/>
            </w:pPr>
            <w:r>
              <w:rPr>
                <w:rFonts w:ascii="Times New Roman" w:hAnsi="Times New Roman"/>
                <w:sz w:val="20"/>
              </w:rPr>
              <w:t>Archivos generados</w:t>
            </w:r>
          </w:p>
        </w:tc>
        <w:tc>
          <w:tcPr>
            <w:tcW w:type="dxa" w:w="5953"/>
          </w:tcPr>
          <w:p>
            <w:pPr>
              <w:spacing w:before="40" w:after="40" w:line="276" w:lineRule="auto"/>
              <w:ind w:firstLine="0"/>
              <w:jc w:val="center"/>
            </w:pPr>
            <w:r>
              <w:rPr>
                <w:rFonts w:ascii="Times New Roman" w:hAnsi="Times New Roman"/>
                <w:sz w:val="20"/>
              </w:rPr>
              <w:t>master_weekly.csv (normalizado), master_weekly_raw.csv</w:t>
            </w:r>
          </w:p>
        </w:tc>
      </w:tr>
    </w:tbl>
    <w:p>
      <w:pPr>
        <w:spacing w:before="0" w:after="120" w:line="240" w:lineRule="auto"/>
      </w:pPr>
    </w:p>
    <w:p>
      <w:pPr>
        <w:spacing w:before="120" w:after="120" w:line="360" w:lineRule="auto"/>
        <w:ind w:firstLine="720"/>
      </w:pPr>
      <w:r>
        <w:rPr>
          <w:rFonts w:ascii="Times New Roman" w:hAnsi="Times New Roman"/>
          <w:b w:val="0"/>
          <w:i w:val="0"/>
          <w:sz w:val="22"/>
        </w:rPr>
        <w:t>El dataset se guarda en dos versiones: una normalizada (z-score sobre features) para exploración, y una sin normalizar que será la versión definitiva para el modelado, donde el scaler se ajustará exclusivamente con datos de entrenamiento.</w:t>
      </w:r>
    </w:p>
    <w:p>
      <w:pPr>
        <w:pStyle w:val="UFVEpgrafeNivel1"/>
        <w:rPr/>
      </w:pPr>
      <w:bookmarkStart w:id="11" w:name="__RefHeading___Toc177409332"/>
      <w:bookmarkEnd w:id="11"/>
      <w:r>
        <w:rPr/>
        <w:t>5. ANÁLISIS DEL DATO</w:t>
      </w:r>
    </w:p>
    <w:p>
      <w:pPr>
        <w:pStyle w:val="UFVNormal"/>
        <w:rPr/>
      </w:pPr>
      <w:r>
        <w:rPr/>
      </w:r>
    </w:p>
    <w:p>
      <w:pPr>
        <w:pStyle w:val="UFVEpgrafeNivel2"/>
        <w:spacing w:line="360" w:lineRule="auto" w:before="240" w:after="120"/>
        <w:ind w:firstLine="0"/>
      </w:pPr>
      <w:r>
        <w:rPr>
          <w:rFonts w:ascii="Times New Roman" w:hAnsi="Times New Roman"/>
          <w:b/>
          <w:i/>
          <w:color w:val="000000"/>
          <w:sz w:val="22"/>
        </w:rPr>
        <w:t>5.1. Estrategia de modelización</w:t>
      </w:r>
    </w:p>
    <w:p>
      <w:pPr>
        <w:pStyle w:val="UFVNormal"/>
        <w:rPr>
          <w:b/>
          <w:lang w:val="en-GB"/>
        </w:rPr>
      </w:pPr>
      <w:r>
        <w:rPr>
          <w:b/>
          <w:lang w:val="en-GB"/>
        </w:rPr>
        <w:t xml:space="preserve">Este trabajo plantea un problema de aprendizaje supervisado de regresión sobre datos tabulares de series temporales financieras semanales. El objetivo es predecir el log-return de la semana siguiente para cada uno de los 10 ETFs del universo de inversión, utilizando 109 variables predictivas que capturan información de mercado, riesgo, macro, liquidez, sentimiento y noticias.</w:t>
      </w:r>
    </w:p>
    <w:p>
      <w:pPr>
        <w:pStyle w:val="UFVNormal"/>
        <w:rPr>
          <w:b/>
          <w:lang w:val="en-GB"/>
        </w:rPr>
      </w:pPr>
      <w:r>
        <w:rPr>
          <w:b/>
          <w:lang w:val="en-GB"/>
        </w:rPr>
        <w:t xml:space="preserve">La estructura de los datos (109 features numéricas, sin texto ni imágenes, con dependencia temporal) condiciona la selección de modelos. Se descartaron las redes neuronales profundas (LSTM, Transformer) por requerir más datos y ser menos interpretables para datos tabulares. Se descartó la regresión lineal como baseline porque asume relaciones lineales entre variables y no captura las interacciones ni las no-linealidades del mercado financiero; en su lugar, XGBoost con hiperparámetros por defecto cumple la función de baseline más honesto, al operar sobre la misma estructura de datos con mínima configuración.</w:t>
      </w:r>
    </w:p>
    <w:p>
      <w:pPr>
        <w:pStyle w:val="UFVNormal"/>
        <w:rPr>
          <w:b/>
          <w:lang w:val="en-GB"/>
        </w:rPr>
      </w:pPr>
      <w:r>
        <w:rPr>
          <w:b/>
          <w:lang w:val="en-GB"/>
        </w:rPr>
        <w:t xml:space="preserve">Los modelos seleccionados son XGBoost (Chen y Guestrin, 2016) y LightGBM (Ke et al., 2017), los dos principales algoritmos de gradient boosting para datos tabulares. Ambos manejan nativamente valores faltantes (NaN), son invariantes a la escala de las variables, capturan automáticamente interacciones entre features y permiten regularización para controlar el sobreajuste.</w:t>
      </w:r>
    </w:p>
    <w:p>
      <w:pPr>
        <w:pStyle w:val="UFVNormal"/>
        <w:rPr>
          <w:b/>
          <w:lang w:val="en-GB"/>
        </w:rPr>
      </w:pPr>
      <w:r>
        <w:rPr>
          <w:b/>
          <w:lang w:val="en-GB"/>
        </w:rPr>
        <w:t xml:space="preserve">La validación se realiza mediante walk-forward expanding window (Tashman, 2000) con 778 splits out-of-sample, embargo temporal de 1 semana y reentrenamiento semanal. Las predicciones alimentan un optimizador de Markowitz de media-varianza con restricciones long-only y máximo 40% por activo. La interpretabilidad se garantiza mediante SHAP (Lundberg y Lee, 2017). Se comparan 5 estrategias: XGBoost Tuned, LightGBM Tuned, Markowitz clásico, 60/40 y Equal-weight.</w:t>
      </w:r>
    </w:p>
    <w:p>
      <w:pPr>
        <w:pStyle w:val="UFVEpgrafeNivel3"/>
        <w:rPr/>
      </w:pPr>
      <w:bookmarkStart w:id="4" w:name="__RefHeading___Toc177409325"/>
      <w:bookmarkEnd w:id="4"/>
      <w:r>
        <w:rPr/>
        <w:t>5.1.1. Marco teórico del análisis</w:t>
      </w:r>
    </w:p>
    <w:p>
      <w:pPr>
        <w:pStyle w:val="UFVEpgrafeNivel3"/>
        <w:spacing w:line="360" w:lineRule="auto" w:before="240" w:after="120"/>
        <w:ind w:firstLine="0"/>
      </w:pPr>
      <w:r>
        <w:rPr>
          <w:rFonts w:ascii="Times New Roman" w:hAnsi="Times New Roman"/>
          <w:b/>
          <w:i/>
          <w:color w:val="000000"/>
          <w:sz w:val="22"/>
        </w:rPr>
        <w:t xml:space="preserve">Optimización de Markowitz</w:t>
      </w:r>
    </w:p>
    <w:p>
      <w:pPr>
        <w:pStyle w:val="UFVNormal"/>
        <w:rPr>
          <w:b/>
          <w:lang w:val="en-GB"/>
        </w:rPr>
      </w:pPr>
      <w:r>
        <w:rPr>
          <w:b/>
          <w:lang w:val="en-GB"/>
        </w:rPr>
        <w:t xml:space="preserve">El marco de media-varianza de Markowitz (1952) formaliza la selección de carteras como un problema de optimización. Dado un vector de retornos esperados mu y una matriz de covarianzas Sigma, el retorno esperado de una cartera con pesos w es E(Rp) = w'mu, y su varianza es sigma_p^2 = w'Sigma*w. El objetivo es maximizar el Sharpe ratio S = (Rp - Rf) / sigma_p, donde Rf = 0 (tipo libre de riesgo).</w:t>
      </w:r>
    </w:p>
    <w:p>
      <w:pPr>
        <w:pStyle w:val="UFVNormal"/>
        <w:rPr>
          <w:b/>
          <w:lang w:val="en-GB"/>
        </w:rPr>
      </w:pPr>
      <w:r>
        <w:rPr>
          <w:b/>
          <w:lang w:val="en-GB"/>
        </w:rPr>
        <w:t xml:space="preserve">En este trabajo, el optimizador resuelve: max_w (w'mu_pred) / sqrt(w'Sigma*w), sujeto a las restricciones: suma(wi) = 1, 0 &lt;= wi &lt;= 0.40 para todo i. La restricción de máximo 40% por activo evita concentraciones excesivas. Se utiliza el método SLSQP de scipy.optimize.minimize. La innovación clave es que mu_pred no es la media histórica de los retornos, sino la predicción del modelo ML para la semana siguiente, mientras que Sigma se estima con datos históricos hasta la semana actual.</w:t>
      </w:r>
    </w:p>
    <w:p>
      <w:pPr>
        <w:pStyle w:val="UFVEpgrafeNivel3"/>
        <w:spacing w:line="360" w:lineRule="auto" w:before="240" w:after="120"/>
        <w:ind w:firstLine="0"/>
      </w:pPr>
      <w:r>
        <w:rPr>
          <w:rFonts w:ascii="Times New Roman" w:hAnsi="Times New Roman"/>
          <w:b/>
          <w:i/>
          <w:color w:val="000000"/>
          <w:sz w:val="22"/>
        </w:rPr>
        <w:t xml:space="preserve">Gradient Boosting</w:t>
      </w:r>
    </w:p>
    <w:p>
      <w:pPr>
        <w:pStyle w:val="UFVNormal"/>
        <w:rPr>
          <w:b/>
          <w:lang w:val="en-GB"/>
        </w:rPr>
      </w:pPr>
      <w:r>
        <w:rPr>
          <w:b/>
          <w:lang w:val="en-GB"/>
        </w:rPr>
        <w:t xml:space="preserve">Los modelos de gradient boosting (Friedman, 2001) construyen un ensemble de árboles de decisión de forma secuencial. La predicción del ensemble es y_hat = suma(fk(x)) para k=1..K, donde cada árbol fk corrige los residuos del anterior. La función objetivo a minimizar es L(theta) = suma(l(yi, y_hat_i)) + suma(Omega(fk)), donde l es la función de pérdida (MSE para regresión) y Omega es el término de regularización: Omega(f) = gamma*T + 0.5*lambda*suma(wj^2), siendo T el número de hojas y wj los pesos de las hojas. El parámetro eta (learning rate) controla la contribución de cada árbol: y_hat_t = y_hat_(t-1) + eta * ft(x).</w:t>
      </w:r>
    </w:p>
    <w:p>
      <w:pPr>
        <w:pStyle w:val="UFVEpgrafeNivel3"/>
        <w:spacing w:line="360" w:lineRule="auto" w:before="240" w:after="120"/>
        <w:ind w:firstLine="0"/>
      </w:pPr>
      <w:r>
        <w:rPr>
          <w:rFonts w:ascii="Times New Roman" w:hAnsi="Times New Roman"/>
          <w:b/>
          <w:i/>
          <w:color w:val="000000"/>
          <w:sz w:val="22"/>
        </w:rPr>
        <w:t xml:space="preserve">XGBoost</w:t>
      </w:r>
    </w:p>
    <w:p>
      <w:pPr>
        <w:pStyle w:val="UFVNormal"/>
        <w:rPr>
          <w:b/>
          <w:lang w:val="en-GB"/>
        </w:rPr>
      </w:pPr>
      <w:r>
        <w:rPr>
          <w:b/>
          <w:lang w:val="en-GB"/>
        </w:rPr>
        <w:t xml:space="preserve">XGBoost (Chen y Guestrin, 2016) utiliza una aproximación de Taylor de segundo orden a la función de pérdida, empleando los gradientes gi = dl/dy_hat y los hessianos hi = d^2l/dy_hat^2 de cada observación. El peso óptimo de cada hoja j es wj* = -sum(gi) / (sum(hi) + lambda), y la ganancia de un split candidato es Gain = 0.5 * [GL^2/(HL+lambda) + GR^2/(HR+lambda) - (GL+GR)^2/(HL+HR+lambda)] - gamma, donde GL, GR, HL, HR son las sumas de gradientes y hessianos en los nodos hijo izquierdo y derecho. XGBoost incorpora regularización L1 (alpha) y L2 (lambda), manejo nativo de NaN (asigna las observaciones con valores faltantes al nodo que maximiza la ganancia) y early stopping para detener el entrenamiento cuando la métrica de validación deja de mejorar.</w:t>
      </w:r>
    </w:p>
    <w:p>
      <w:pPr>
        <w:pStyle w:val="UFVEpgrafeNivel3"/>
        <w:spacing w:line="360" w:lineRule="auto" w:before="240" w:after="120"/>
        <w:ind w:firstLine="0"/>
      </w:pPr>
      <w:r>
        <w:rPr>
          <w:rFonts w:ascii="Times New Roman" w:hAnsi="Times New Roman"/>
          <w:b/>
          <w:i/>
          <w:color w:val="000000"/>
          <w:sz w:val="22"/>
        </w:rPr>
        <w:t xml:space="preserve">LightGBM</w:t>
      </w:r>
    </w:p>
    <w:p>
      <w:pPr>
        <w:pStyle w:val="UFVNormal"/>
        <w:rPr>
          <w:b/>
          <w:lang w:val="en-GB"/>
        </w:rPr>
      </w:pPr>
      <w:r>
        <w:rPr>
          <w:b/>
          <w:lang w:val="en-GB"/>
        </w:rPr>
        <w:t xml:space="preserve">LightGBM (Ke et al., 2017) introduce dos innovaciones respecto a XGBoost. Primera, el crecimiento leaf-wise: en lugar de crecer el árbol nivel por nivel (level-wise), LightGBM elige la hoja con mayor ganancia potencial y la divide, lo que produce árboles más profundos y asimétricos pero más eficientes. Segunda, las técnicas GOSS (Gradient-based One-Side Sampling), que prioriza las observaciones con gradientes grandes al muestrear datos de entrenamiento, y EFB (Exclusive Feature Bundling), que agrupa features mutuamente excluyentes para reducir la dimensionalidad efectiva. Estas optimizaciones hacen que LightGBM sea significativamente más rápido que XGBoost con rendimiento comparable.</w:t>
      </w:r>
    </w:p>
    <w:p>
      <w:pPr>
        <w:pStyle w:val="UFVEpgrafeNivel3"/>
        <w:spacing w:line="360" w:lineRule="auto" w:before="240" w:after="120"/>
        <w:ind w:firstLine="0"/>
      </w:pPr>
      <w:r>
        <w:rPr>
          <w:rFonts w:ascii="Times New Roman" w:hAnsi="Times New Roman"/>
          <w:b/>
          <w:i/>
          <w:color w:val="000000"/>
          <w:sz w:val="22"/>
        </w:rPr>
        <w:t xml:space="preserve">Walk-forward validation</w:t>
      </w:r>
    </w:p>
    <w:p>
      <w:pPr>
        <w:pStyle w:val="UFVNormal"/>
        <w:rPr>
          <w:b/>
          <w:lang w:val="en-GB"/>
        </w:rPr>
      </w:pPr>
      <w:r>
        <w:rPr>
          <w:b/>
          <w:lang w:val="en-GB"/>
        </w:rPr>
        <w:t xml:space="preserve">La validación walk-forward con expanding window (Tashman, 2000; de Prado, 2018) es el protocolo estándar para evaluar modelos predictivos en series temporales financieras. En cada semana t del período de test, el modelo se entrena con todos los datos disponibles desde la semana 1 hasta la semana t-2 (expanding window), se aplica un embargo de 1 semana para evitar leakage por autocorrelación, y se predice la semana t. El entrenamiento utiliza el último 15% de los datos de entrenamiento como conjunto de validación para early stopping con 50 rondas de paciencia. Este protocolo genera 778 predicciones out-of-sample (abril 2011 a febrero 2026), asegurando que ningún dato futuro contamina las predicciones.</w:t>
      </w:r>
    </w:p>
    <w:p>
      <w:pPr>
        <w:pStyle w:val="UFVEpgrafeNivel3"/>
        <w:spacing w:line="360" w:lineRule="auto" w:before="240" w:after="120"/>
        <w:ind w:firstLine="0"/>
      </w:pPr>
      <w:r>
        <w:rPr>
          <w:rFonts w:ascii="Times New Roman" w:hAnsi="Times New Roman"/>
          <w:b/>
          <w:i/>
          <w:color w:val="000000"/>
          <w:sz w:val="22"/>
        </w:rPr>
        <w:t xml:space="preserve">SHAP: SHapley Additive exPlanations</w:t>
      </w:r>
    </w:p>
    <w:p>
      <w:pPr>
        <w:pStyle w:val="UFVNormal"/>
        <w:rPr>
          <w:b/>
          <w:lang w:val="en-GB"/>
        </w:rPr>
      </w:pPr>
      <w:r>
        <w:rPr>
          <w:b/>
          <w:lang w:val="en-GB"/>
        </w:rPr>
        <w:t xml:space="preserve">SHAP (Lundberg y Lee, 2017) asigna a cada variable i una contribución phi_i a la predicción de cada observación, basándose en la teoría de juegos cooperativos de Shapley. La propiedad fundamental es la eficiencia: suma(phi_i) = f(x) - E[f(x)], es decir, las contribuciones SHAP suman exactamente la diferencia entre la predicción individual y la media del modelo. TreeSHAP (Lundberg et al., 2020) es un algoritmo exacto con complejidad O(TLD^2) para modelos de árboles, donde T es el número de árboles, L el número de hojas y D la profundidad. Se utiliza para la interpretación global (importancia media de cada variable) y local (explicación de semanas concretas como la crisis SVB de marzo 2023).</w:t>
      </w:r>
    </w:p>
    <w:p>
      <w:pPr>
        <w:pStyle w:val="UFVEpgrafeNivel2"/>
        <w:rPr/>
      </w:pPr>
      <w:bookmarkStart w:id="4" w:name="__RefHeading___Toc177409325"/>
      <w:bookmarkEnd w:id="4"/>
      <w:r>
        <w:rPr/>
        <w:t>5.2. Modelos predictivos</w:t>
      </w:r>
    </w:p>
    <w:p>
      <w:pPr>
        <w:pStyle w:val="UFVEpgrafeNivel3"/>
        <w:spacing w:line="360" w:lineRule="auto" w:before="240" w:after="120"/>
        <w:ind w:firstLine="0"/>
      </w:pPr>
      <w:r>
        <w:rPr>
          <w:rFonts w:ascii="Times New Roman" w:hAnsi="Times New Roman"/>
          <w:b/>
          <w:i/>
          <w:color w:val="000000"/>
          <w:sz w:val="22"/>
        </w:rPr>
        <w:t xml:space="preserve">Pipeline de entrenamiento</w:t>
      </w:r>
    </w:p>
    <w:p>
      <w:pPr>
        <w:pStyle w:val="UFVNormal"/>
        <w:rPr>
          <w:b/>
          <w:lang w:val="en-GB"/>
        </w:rPr>
      </w:pPr>
      <w:r>
        <w:rPr>
          <w:b/>
          <w:lang w:val="en-GB"/>
        </w:rPr>
        <w:t xml:space="preserve">El pipeline de entrenamiento sigue una arquitectura de tres capas. La Capa 1 (infraestructura) comprende la carga de datos, el generador de splits walk-forward y el cálculo de benchmarks. La Capa 2 (entrenamiento base) entrena XGBoost y LightGBM con hiperparámetros por defecto como línea base. La Capa 3 (optimización) utiliza Optuna con el sampler TPE (Tree-structured Parzen Estimator) y MedianPruner para buscar los mejores hiperparámetros mediante 75 trials bayesianos por modelo. En cada trial, se entrena el modelo en un subconjunto reducido (3 ETFs, reentrenamiento cada 4 semanas, 195 splits) para acelerar la búsqueda, y los mejores parámetros se validan con el walk-forward completo (10 ETFs, 778 splits).</w:t>
      </w:r>
    </w:p>
    <w:p>
      <w:pPr>
        <w:pStyle w:val="UFVEpgrafeNivel3"/>
        <w:spacing w:line="360" w:lineRule="auto" w:before="240" w:after="120"/>
        <w:ind w:firstLine="0"/>
      </w:pPr>
      <w:r>
        <w:rPr>
          <w:rFonts w:ascii="Times New Roman" w:hAnsi="Times New Roman"/>
          <w:b/>
          <w:i/>
          <w:color w:val="000000"/>
          <w:sz w:val="22"/>
        </w:rPr>
        <w:t xml:space="preserve">Modelos baseline</w:t>
      </w:r>
    </w:p>
    <w:p>
      <w:pPr>
        <w:pStyle w:val="UFVNormal"/>
        <w:rPr>
          <w:b/>
          <w:lang w:val="en-GB"/>
        </w:rPr>
      </w:pPr>
      <w:r>
        <w:rPr>
          <w:b/>
          <w:lang w:val="en-GB"/>
        </w:rPr>
        <w:t xml:space="preserve">Los modelos con hiperparámetros por defecto (learning_rate=0.1, max_depth=6 para XGBoost; learning_rate=0.1, num_leaves=31 para LightGBM) establecen la línea base. Con parámetros por defecto, XGBoost alcanza un Sharpe ratio de 1.154 y LightGBM un Sharpe de 1.000, superando ya al benchmark 60/40 (Sharpe 0.847). Esto confirma que los modelos de gradient boosting aportan valor predictivo incluso sin optimización.</w:t>
      </w:r>
    </w:p>
    <w:p>
      <w:pPr>
        <w:pStyle w:val="UFVEpgrafeNivel3"/>
        <w:spacing w:line="360" w:lineRule="auto" w:before="240" w:after="120"/>
        <w:ind w:firstLine="0"/>
      </w:pPr>
      <w:r>
        <w:rPr>
          <w:rFonts w:ascii="Times New Roman" w:hAnsi="Times New Roman"/>
          <w:b/>
          <w:i/>
          <w:color w:val="000000"/>
          <w:sz w:val="22"/>
        </w:rPr>
        <w:t xml:space="preserve">Optimización con Optuna</w:t>
      </w:r>
    </w:p>
    <w:p>
      <w:pPr>
        <w:pStyle w:val="UFVNormal"/>
        <w:rPr>
          <w:b/>
          <w:lang w:val="en-GB"/>
        </w:rPr>
      </w:pPr>
      <w:r>
        <w:rPr>
          <w:b/>
          <w:lang w:val="en-GB"/>
        </w:rPr>
        <w:t xml:space="preserve">La optimización bayesiana con Optuna exploró el siguiente espacio de hiperparámetros: learning_rate [0.005, 0.3], max_depth [3, 10], subsample [0.5, 1.0], colsample_bytree [0.3, 1.0], reg_alpha [1e-8, 10], reg_lambda [1e-8, 10], min_child_weight [1, 50] para XGBoost; con num_leaves [15, 127] y min_child_samples [5, 50] adicionales para LightGBM. Se realizaron 75 trials para cada modelo con función objetivo: minimizar el RMSE medio de los 3 ETFs representativos (SPY, AGG, GLD) en el walk-forward reducido.</w:t>
      </w:r>
    </w:p>
    <w:p>
      <w:pPr>
        <w:pStyle w:val="UFVNormal"/>
        <w:rPr>
          <w:b/>
          <w:lang w:val="en-GB"/>
        </w:rPr>
      </w:pPr>
      <w:r>
        <w:rPr>
          <w:b/>
          <w:lang w:val="en-GB"/>
        </w:rPr>
        <w:t xml:space="preserve">Los mejores hiperparámetros encontrados para XGBoost fueron: learning_rate=0.022, max_depth=7, subsample=0.687, colsample_bytree=0.825, reg_alpha=2.0e-7, reg_lambda=1.3e-7, min_child_weight=20. Para LightGBM: learning_rate=0.006, num_leaves=41, max_depth=9, subsample=0.581, colsample_bytree=0.967, reg_alpha=5.4e-4, reg_lambda=0.023, min_child_samples=33. La validación con Optuna v2 (100 trials adicionales con rangos ampliados y penalización anti-overfitting) confirmó que estos parámetros representan el óptimo global: el trial semilla de v1 fue el mejor de los 100 trials de v2 para XGBoost.</w:t>
      </w:r>
    </w:p>
    <w:p>
      <w:pPr>
        <w:pStyle w:val="UFVNormal"/>
        <w:rPr>
          <w:b/>
          <w:lang w:val="en-GB"/>
        </w:rPr>
      </w:pPr>
      <w:r>
        <w:rPr>
          <w:b/>
          <w:lang w:val="en-GB"/>
        </w:rPr>
        <w:t xml:space="preserve">Tabla 3. Comparativa de hiperparámetros por defecto y optimizados.</w:t>
      </w:r>
    </w:p>
    <w:tbl>
      <w:tblPr>
        <w:tblW w:type="auto" w:w="0"/>
        <w:tblLook w:firstColumn="1" w:firstRow="1" w:lastColumn="0" w:lastRow="0" w:noHBand="0" w:noVBand="1" w:val="04A0"/>
      </w:tblPr>
      <w:tblGrid>
        <w:gridCol w:w="1757"/>
        <w:gridCol w:w="1757"/>
        <w:gridCol w:w="1757"/>
        <w:gridCol w:w="1757"/>
        <w:gridCol w:w="1757"/>
      </w:tblGrid>
      <w:tr>
        <w:tc>
          <w:tcPr>
            <w:tcW w:type="dxa" w:w="1757"/>
          </w:tcPr>
          <w:p>
            <w:pPr>
              <w:spacing w:after="40" w:before="40"/>
            </w:pPr>
            <w:r>
              <w:rPr>
                <w:rFonts w:ascii="Times New Roman" w:hAnsi="Times New Roman"/>
                <w:b/>
                <w:sz w:val="20"/>
              </w:rPr>
              <w:t>Parámetro</w:t>
            </w:r>
          </w:p>
        </w:tc>
        <w:tc>
          <w:tcPr>
            <w:tcW w:type="dxa" w:w="1757"/>
          </w:tcPr>
          <w:p>
            <w:pPr>
              <w:spacing w:after="40" w:before="40"/>
            </w:pPr>
            <w:r>
              <w:rPr>
                <w:rFonts w:ascii="Times New Roman" w:hAnsi="Times New Roman"/>
                <w:b/>
                <w:sz w:val="20"/>
              </w:rPr>
              <w:t>XGB Default</w:t>
            </w:r>
          </w:p>
        </w:tc>
        <w:tc>
          <w:tcPr>
            <w:tcW w:type="dxa" w:w="1757"/>
          </w:tcPr>
          <w:p>
            <w:pPr>
              <w:spacing w:after="40" w:before="40"/>
            </w:pPr>
            <w:r>
              <w:rPr>
                <w:rFonts w:ascii="Times New Roman" w:hAnsi="Times New Roman"/>
                <w:b/>
                <w:sz w:val="20"/>
              </w:rPr>
              <w:t>XGB Tuned</w:t>
            </w:r>
          </w:p>
        </w:tc>
        <w:tc>
          <w:tcPr>
            <w:tcW w:type="dxa" w:w="1757"/>
          </w:tcPr>
          <w:p>
            <w:pPr>
              <w:spacing w:after="40" w:before="40"/>
            </w:pPr>
            <w:r>
              <w:rPr>
                <w:rFonts w:ascii="Times New Roman" w:hAnsi="Times New Roman"/>
                <w:b/>
                <w:sz w:val="20"/>
              </w:rPr>
              <w:t>LGB Default</w:t>
            </w:r>
          </w:p>
        </w:tc>
        <w:tc>
          <w:tcPr>
            <w:tcW w:type="dxa" w:w="1757"/>
          </w:tcPr>
          <w:p>
            <w:pPr>
              <w:spacing w:after="40" w:before="40"/>
            </w:pPr>
            <w:r>
              <w:rPr>
                <w:rFonts w:ascii="Times New Roman" w:hAnsi="Times New Roman"/>
                <w:b/>
                <w:sz w:val="20"/>
              </w:rPr>
              <w:t>LGB Tuned</w:t>
            </w:r>
          </w:p>
        </w:tc>
      </w:tr>
      <w:tr>
        <w:tc>
          <w:tcPr>
            <w:tcW w:type="dxa" w:w="1757"/>
          </w:tcPr>
          <w:p>
            <w:pPr>
              <w:spacing w:after="40" w:before="40"/>
            </w:pPr>
            <w:r>
              <w:rPr>
                <w:rFonts w:ascii="Times New Roman" w:hAnsi="Times New Roman"/>
                <w:sz w:val="20"/>
              </w:rPr>
              <w:t>learning_rate</w:t>
            </w:r>
          </w:p>
        </w:tc>
        <w:tc>
          <w:tcPr>
            <w:tcW w:type="dxa" w:w="1757"/>
          </w:tcPr>
          <w:p>
            <w:pPr>
              <w:spacing w:after="40" w:before="40"/>
            </w:pPr>
            <w:r>
              <w:rPr>
                <w:rFonts w:ascii="Times New Roman" w:hAnsi="Times New Roman"/>
                <w:sz w:val="20"/>
              </w:rPr>
              <w:t>0.100</w:t>
            </w:r>
          </w:p>
        </w:tc>
        <w:tc>
          <w:tcPr>
            <w:tcW w:type="dxa" w:w="1757"/>
          </w:tcPr>
          <w:p>
            <w:pPr>
              <w:spacing w:after="40" w:before="40"/>
            </w:pPr>
            <w:r>
              <w:rPr>
                <w:rFonts w:ascii="Times New Roman" w:hAnsi="Times New Roman"/>
                <w:sz w:val="20"/>
              </w:rPr>
              <w:t>0.022</w:t>
            </w:r>
          </w:p>
        </w:tc>
        <w:tc>
          <w:tcPr>
            <w:tcW w:type="dxa" w:w="1757"/>
          </w:tcPr>
          <w:p>
            <w:pPr>
              <w:spacing w:after="40" w:before="40"/>
            </w:pPr>
            <w:r>
              <w:rPr>
                <w:rFonts w:ascii="Times New Roman" w:hAnsi="Times New Roman"/>
                <w:sz w:val="20"/>
              </w:rPr>
              <w:t>0.100</w:t>
            </w:r>
          </w:p>
        </w:tc>
        <w:tc>
          <w:tcPr>
            <w:tcW w:type="dxa" w:w="1757"/>
          </w:tcPr>
          <w:p>
            <w:pPr>
              <w:spacing w:after="40" w:before="40"/>
            </w:pPr>
            <w:r>
              <w:rPr>
                <w:rFonts w:ascii="Times New Roman" w:hAnsi="Times New Roman"/>
                <w:sz w:val="20"/>
              </w:rPr>
              <w:t>0.006</w:t>
            </w:r>
          </w:p>
        </w:tc>
      </w:tr>
      <w:tr>
        <w:tc>
          <w:tcPr>
            <w:tcW w:type="dxa" w:w="1757"/>
          </w:tcPr>
          <w:p>
            <w:pPr>
              <w:spacing w:after="40" w:before="40"/>
            </w:pPr>
            <w:r>
              <w:rPr>
                <w:rFonts w:ascii="Times New Roman" w:hAnsi="Times New Roman"/>
                <w:sz w:val="20"/>
              </w:rPr>
              <w:t>max_depth</w:t>
            </w:r>
          </w:p>
        </w:tc>
        <w:tc>
          <w:tcPr>
            <w:tcW w:type="dxa" w:w="1757"/>
          </w:tcPr>
          <w:p>
            <w:pPr>
              <w:spacing w:after="40" w:before="40"/>
            </w:pPr>
            <w:r>
              <w:rPr>
                <w:rFonts w:ascii="Times New Roman" w:hAnsi="Times New Roman"/>
                <w:sz w:val="20"/>
              </w:rPr>
              <w:t>6</w:t>
            </w:r>
          </w:p>
        </w:tc>
        <w:tc>
          <w:tcPr>
            <w:tcW w:type="dxa" w:w="1757"/>
          </w:tcPr>
          <w:p>
            <w:pPr>
              <w:spacing w:after="40" w:before="40"/>
            </w:pPr>
            <w:r>
              <w:rPr>
                <w:rFonts w:ascii="Times New Roman" w:hAnsi="Times New Roman"/>
                <w:sz w:val="20"/>
              </w:rPr>
              <w:t>7</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9</w:t>
            </w:r>
          </w:p>
        </w:tc>
      </w:tr>
      <w:tr>
        <w:tc>
          <w:tcPr>
            <w:tcW w:type="dxa" w:w="1757"/>
          </w:tcPr>
          <w:p>
            <w:pPr>
              <w:spacing w:after="40" w:before="40"/>
            </w:pPr>
            <w:r>
              <w:rPr>
                <w:rFonts w:ascii="Times New Roman" w:hAnsi="Times New Roman"/>
                <w:sz w:val="20"/>
              </w:rPr>
              <w:t>subsample</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0.687</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0.581</w:t>
            </w:r>
          </w:p>
        </w:tc>
      </w:tr>
      <w:tr>
        <w:tc>
          <w:tcPr>
            <w:tcW w:type="dxa" w:w="1757"/>
          </w:tcPr>
          <w:p>
            <w:pPr>
              <w:spacing w:after="40" w:before="40"/>
            </w:pPr>
            <w:r>
              <w:rPr>
                <w:rFonts w:ascii="Times New Roman" w:hAnsi="Times New Roman"/>
                <w:sz w:val="20"/>
              </w:rPr>
              <w:t>colsample_bytree</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0.825</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0.967</w:t>
            </w:r>
          </w:p>
        </w:tc>
      </w:tr>
      <w:tr>
        <w:tc>
          <w:tcPr>
            <w:tcW w:type="dxa" w:w="1757"/>
          </w:tcPr>
          <w:p>
            <w:pPr>
              <w:spacing w:after="40" w:before="40"/>
            </w:pPr>
            <w:r>
              <w:rPr>
                <w:rFonts w:ascii="Times New Roman" w:hAnsi="Times New Roman"/>
                <w:sz w:val="20"/>
              </w:rPr>
              <w:t>n_estimators</w:t>
            </w:r>
          </w:p>
        </w:tc>
        <w:tc>
          <w:tcPr>
            <w:tcW w:type="dxa" w:w="1757"/>
          </w:tcPr>
          <w:p>
            <w:pPr>
              <w:spacing w:after="40" w:before="40"/>
            </w:pPr>
            <w:r>
              <w:rPr>
                <w:rFonts w:ascii="Times New Roman" w:hAnsi="Times New Roman"/>
                <w:sz w:val="20"/>
              </w:rPr>
              <w:t>1000</w:t>
            </w:r>
          </w:p>
        </w:tc>
        <w:tc>
          <w:tcPr>
            <w:tcW w:type="dxa" w:w="1757"/>
          </w:tcPr>
          <w:p>
            <w:pPr>
              <w:spacing w:after="40" w:before="40"/>
            </w:pPr>
            <w:r>
              <w:rPr>
                <w:rFonts w:ascii="Times New Roman" w:hAnsi="Times New Roman"/>
                <w:sz w:val="20"/>
              </w:rPr>
              <w:t>2000</w:t>
            </w:r>
          </w:p>
        </w:tc>
        <w:tc>
          <w:tcPr>
            <w:tcW w:type="dxa" w:w="1757"/>
          </w:tcPr>
          <w:p>
            <w:pPr>
              <w:spacing w:after="40" w:before="40"/>
            </w:pPr>
            <w:r>
              <w:rPr>
                <w:rFonts w:ascii="Times New Roman" w:hAnsi="Times New Roman"/>
                <w:sz w:val="20"/>
              </w:rPr>
              <w:t>1000</w:t>
            </w:r>
          </w:p>
        </w:tc>
        <w:tc>
          <w:tcPr>
            <w:tcW w:type="dxa" w:w="1757"/>
          </w:tcPr>
          <w:p>
            <w:pPr>
              <w:spacing w:after="40" w:before="40"/>
            </w:pPr>
            <w:r>
              <w:rPr>
                <w:rFonts w:ascii="Times New Roman" w:hAnsi="Times New Roman"/>
                <w:sz w:val="20"/>
              </w:rPr>
              <w:t>2000</w:t>
            </w:r>
          </w:p>
        </w:tc>
      </w:tr>
      <w:tr>
        <w:tc>
          <w:tcPr>
            <w:tcW w:type="dxa" w:w="1757"/>
          </w:tcPr>
          <w:p>
            <w:pPr>
              <w:spacing w:after="40" w:before="40"/>
            </w:pPr>
            <w:r>
              <w:rPr>
                <w:rFonts w:ascii="Times New Roman" w:hAnsi="Times New Roman"/>
                <w:sz w:val="20"/>
              </w:rPr>
              <w:t>min_child_weight</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20</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r>
      <w:tr>
        <w:tc>
          <w:tcPr>
            <w:tcW w:type="dxa" w:w="1757"/>
          </w:tcPr>
          <w:p>
            <w:pPr>
              <w:spacing w:after="40" w:before="40"/>
            </w:pPr>
            <w:r>
              <w:rPr>
                <w:rFonts w:ascii="Times New Roman" w:hAnsi="Times New Roman"/>
                <w:sz w:val="20"/>
              </w:rPr>
              <w:t>num_leaves</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31</w:t>
            </w:r>
          </w:p>
        </w:tc>
        <w:tc>
          <w:tcPr>
            <w:tcW w:type="dxa" w:w="1757"/>
          </w:tcPr>
          <w:p>
            <w:pPr>
              <w:spacing w:after="40" w:before="40"/>
            </w:pPr>
            <w:r>
              <w:rPr>
                <w:rFonts w:ascii="Times New Roman" w:hAnsi="Times New Roman"/>
                <w:sz w:val="20"/>
              </w:rPr>
              <w:t>41</w:t>
            </w:r>
          </w:p>
        </w:tc>
      </w:tr>
      <w:tr>
        <w:tc>
          <w:tcPr>
            <w:tcW w:type="dxa" w:w="1757"/>
          </w:tcPr>
          <w:p>
            <w:pPr>
              <w:spacing w:after="40" w:before="40"/>
            </w:pPr>
            <w:r>
              <w:rPr>
                <w:rFonts w:ascii="Times New Roman" w:hAnsi="Times New Roman"/>
                <w:sz w:val="20"/>
              </w:rPr>
              <w:t>min_child_samples</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20</w:t>
            </w:r>
          </w:p>
        </w:tc>
        <w:tc>
          <w:tcPr>
            <w:tcW w:type="dxa" w:w="1757"/>
          </w:tcPr>
          <w:p>
            <w:pPr>
              <w:spacing w:after="40" w:before="40"/>
            </w:pPr>
            <w:r>
              <w:rPr>
                <w:rFonts w:ascii="Times New Roman" w:hAnsi="Times New Roman"/>
                <w:sz w:val="20"/>
              </w:rPr>
              <w:t>33</w:t>
            </w:r>
          </w:p>
        </w:tc>
      </w:tr>
      <w:tr>
        <w:tc>
          <w:tcPr>
            <w:tcW w:type="dxa" w:w="1757"/>
          </w:tcPr>
          <w:p>
            <w:pPr>
              <w:spacing w:after="40" w:before="40"/>
            </w:pPr>
            <w:r>
              <w:rPr>
                <w:rFonts w:ascii="Times New Roman" w:hAnsi="Times New Roman"/>
                <w:sz w:val="20"/>
              </w:rPr>
              <w:t>reg_alpha</w:t>
            </w:r>
          </w:p>
        </w:tc>
        <w:tc>
          <w:tcPr>
            <w:tcW w:type="dxa" w:w="1757"/>
          </w:tcPr>
          <w:p>
            <w:pPr>
              <w:spacing w:after="40" w:before="40"/>
            </w:pPr>
            <w:r>
              <w:rPr>
                <w:rFonts w:ascii="Times New Roman" w:hAnsi="Times New Roman"/>
                <w:sz w:val="20"/>
              </w:rPr>
              <w:t>0</w:t>
            </w:r>
          </w:p>
        </w:tc>
        <w:tc>
          <w:tcPr>
            <w:tcW w:type="dxa" w:w="1757"/>
          </w:tcPr>
          <w:p>
            <w:pPr>
              <w:spacing w:after="40" w:before="40"/>
            </w:pPr>
            <w:r>
              <w:rPr>
                <w:rFonts w:ascii="Times New Roman" w:hAnsi="Times New Roman"/>
                <w:sz w:val="20"/>
              </w:rPr>
              <w:t>2.0e-7</w:t>
            </w:r>
          </w:p>
        </w:tc>
        <w:tc>
          <w:tcPr>
            <w:tcW w:type="dxa" w:w="1757"/>
          </w:tcPr>
          <w:p>
            <w:pPr>
              <w:spacing w:after="40" w:before="40"/>
            </w:pPr>
            <w:r>
              <w:rPr>
                <w:rFonts w:ascii="Times New Roman" w:hAnsi="Times New Roman"/>
                <w:sz w:val="20"/>
              </w:rPr>
              <w:t>0</w:t>
            </w:r>
          </w:p>
        </w:tc>
        <w:tc>
          <w:tcPr>
            <w:tcW w:type="dxa" w:w="1757"/>
          </w:tcPr>
          <w:p>
            <w:pPr>
              <w:spacing w:after="40" w:before="40"/>
            </w:pPr>
            <w:r>
              <w:rPr>
                <w:rFonts w:ascii="Times New Roman" w:hAnsi="Times New Roman"/>
                <w:sz w:val="20"/>
              </w:rPr>
              <w:t>5.4e-4</w:t>
            </w:r>
          </w:p>
        </w:tc>
      </w:tr>
      <w:tr>
        <w:tc>
          <w:tcPr>
            <w:tcW w:type="dxa" w:w="1757"/>
          </w:tcPr>
          <w:p>
            <w:pPr>
              <w:spacing w:after="40" w:before="40"/>
            </w:pPr>
            <w:r>
              <w:rPr>
                <w:rFonts w:ascii="Times New Roman" w:hAnsi="Times New Roman"/>
                <w:sz w:val="20"/>
              </w:rPr>
              <w:t>reg_lambda</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1.3e-7</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0.023</w:t>
            </w:r>
          </w:p>
        </w:tc>
      </w:tr>
    </w:tbl>
    <w:p>
      <w:pPr>
        <w:pStyle w:val="UFVEpgrafeNivel2"/>
        <w:rPr/>
      </w:pPr>
      <w:bookmarkStart w:id="4" w:name="__RefHeading___Toc177409325"/>
      <w:bookmarkEnd w:id="4"/>
      <w:r>
        <w:rPr/>
        <w:t>5.3. Métricas de evaluación</w:t>
      </w:r>
    </w:p>
    <w:p>
      <w:pPr>
        <w:pStyle w:val="UFVEpgrafeNivel3"/>
        <w:spacing w:line="360" w:lineRule="auto" w:before="240" w:after="120"/>
        <w:ind w:firstLine="0"/>
      </w:pPr>
      <w:r>
        <w:rPr>
          <w:rFonts w:ascii="Times New Roman" w:hAnsi="Times New Roman"/>
          <w:b/>
          <w:i/>
          <w:color w:val="000000"/>
          <w:sz w:val="22"/>
        </w:rPr>
        <w:t xml:space="preserve">Métricas de predicción (ML)</w:t>
      </w:r>
    </w:p>
    <w:p>
      <w:pPr>
        <w:pStyle w:val="UFVNormal"/>
        <w:rPr>
          <w:b/>
          <w:lang w:val="en-GB"/>
        </w:rPr>
      </w:pPr>
      <w:r>
        <w:rPr>
          <w:b/>
          <w:lang w:val="en-GB"/>
        </w:rPr>
        <w:t xml:space="preserve">Las métricas de evaluación de las predicciones se seleccionaron en función del problema de regresión planteado. El RMSE (Root Mean Squared Error) es la métrica primaria de entrenamiento, que penaliza proporcionalmente los errores grandes. El MAE (Mean Absolute Error) complementa al RMSE al ser menos sensible a outliers. El R² mide la proporción de varianza explicada; valores negativos son habituales en predicción financiera y no indican un modelo inútil, sino que los retornos son extremadamente ruidosos (Gu et al., 2020). La Directional Accuracy (56.8%) es la métrica más relevante en la práctica: mide el porcentaje de semanas en que el modelo acierta la dirección del retorno (positivo o negativo). No se utiliza MAPE porque explota cuando los retornos son cercanos a cero, ni AUC-ROC porque es una métrica de clasificación.</w:t>
      </w:r>
    </w:p>
    <w:p>
      <w:pPr>
        <w:pStyle w:val="UFVNormal"/>
        <w:rPr>
          <w:b/>
          <w:lang w:val="en-GB"/>
        </w:rPr>
      </w:pPr>
      <w:r>
        <w:t xml:space="preserve">[POR INSERTAR]</w:t>
      </w:r>
    </w:p>
    <w:p>
      <w:pPr>
        <w:pStyle w:val="UFVEpgrafeNivel3"/>
        <w:spacing w:line="360" w:lineRule="auto" w:before="240" w:after="120"/>
        <w:ind w:firstLine="0"/>
      </w:pPr>
      <w:r>
        <w:rPr>
          <w:rFonts w:ascii="Times New Roman" w:hAnsi="Times New Roman"/>
          <w:b/>
          <w:i/>
          <w:color w:val="000000"/>
          <w:sz w:val="22"/>
        </w:rPr>
        <w:t xml:space="preserve">Information Coefficient</w:t>
      </w:r>
    </w:p>
    <w:p>
      <w:pPr>
        <w:pStyle w:val="UFVEpgrafeNivel3"/>
        <w:spacing w:line="360" w:lineRule="auto" w:before="240" w:after="120"/>
        <w:ind w:firstLine="0"/>
      </w:pPr>
      <w:r>
        <w:rPr>
          <w:rFonts w:ascii="Times New Roman" w:hAnsi="Times New Roman"/>
          <w:b/>
          <w:i/>
          <w:color w:val="000000"/>
          <w:sz w:val="22"/>
        </w:rPr>
        <w:t xml:space="preserve">Métricas financieras</w:t>
      </w:r>
    </w:p>
    <w:p>
      <w:pPr>
        <w:pStyle w:val="UFVNormal"/>
        <w:rPr>
          <w:b/>
          <w:lang w:val="en-GB"/>
        </w:rPr>
      </w:pPr>
      <w:r>
        <w:rPr>
          <w:b/>
          <w:lang w:val="en-GB"/>
        </w:rPr>
        <w:t xml:space="preserve">Las métricas financieras evalúan el rendimiento de las carteras resultantes. El Sharpe ratio (Sharpe, 1964) es la métrica principal: S = (Rp - Rf) / sigma_p, donde Rp es el retorno anualizado y sigma_p la volatilidad anualizada, con Rf=0. El Sortino ratio reemplaza sigma_p por la volatilidad a la baja (solo retornos negativos), penalizando exclusivamente el riesgo de pérdida. El Maximum Drawdown mide la mayor caída porcentual desde un pico hasta un valle en la curva de equity. El Calmar ratio es el cociente retorno/max_drawdown. El VaR 95% semanal (-2.11%) indica que en el 5% peor de las semanas la cartera XGBoost pierde al menos ese porcentaje, y el CVaR 95% (-3.48%) es la media de esas pérdidas extremas.</w:t>
      </w:r>
    </w:p>
    <w:p>
      <w:pPr>
        <w:pStyle w:val="UFVNormal"/>
        <w:rPr>
          <w:b/>
          <w:lang w:val="en-GB"/>
        </w:rPr>
      </w:pPr>
      <w:r>
        <w:rPr>
          <w:b/>
          <w:lang w:val="en-GB"/>
        </w:rPr>
        <w:t xml:space="preserve">Tabla 4. Comparativa de las 7 estrategias (walk-forward out-of-sample, 778 semanas).</w:t>
      </w:r>
    </w:p>
    <w:tbl>
      <w:tblPr>
        <w:tblW w:type="auto" w:w="0"/>
        <w:tblLook w:firstColumn="1" w:firstRow="1" w:lastColumn="0" w:lastRow="0" w:noHBand="0" w:noVBand="1" w:val="04A0"/>
      </w:tblPr>
      <w:tblGrid>
        <w:gridCol w:w="1464"/>
        <w:gridCol w:w="1464"/>
        <w:gridCol w:w="1464"/>
        <w:gridCol w:w="1464"/>
        <w:gridCol w:w="1464"/>
        <w:gridCol w:w="1464"/>
      </w:tblGrid>
      <w:tr>
        <w:tc>
          <w:tcPr>
            <w:tcW w:type="dxa" w:w="1464"/>
          </w:tcPr>
          <w:p>
            <w:pPr>
              <w:spacing w:after="40" w:before="40"/>
            </w:pPr>
            <w:r>
              <w:rPr>
                <w:rFonts w:ascii="Times New Roman" w:hAnsi="Times New Roman"/>
                <w:b/>
                <w:sz w:val="20"/>
              </w:rPr>
              <w:t>Estrategia</w:t>
            </w:r>
          </w:p>
        </w:tc>
        <w:tc>
          <w:tcPr>
            <w:tcW w:type="dxa" w:w="1464"/>
          </w:tcPr>
          <w:p>
            <w:pPr>
              <w:spacing w:after="40" w:before="40"/>
            </w:pPr>
            <w:r>
              <w:rPr>
                <w:rFonts w:ascii="Times New Roman" w:hAnsi="Times New Roman"/>
                <w:b/>
                <w:sz w:val="20"/>
              </w:rPr>
              <w:t>Sharpe</w:t>
            </w:r>
          </w:p>
        </w:tc>
        <w:tc>
          <w:tcPr>
            <w:tcW w:type="dxa" w:w="1464"/>
          </w:tcPr>
          <w:p>
            <w:pPr>
              <w:spacing w:after="40" w:before="40"/>
            </w:pPr>
            <w:r>
              <w:rPr>
                <w:rFonts w:ascii="Times New Roman" w:hAnsi="Times New Roman"/>
                <w:b/>
                <w:sz w:val="20"/>
              </w:rPr>
              <w:t>Ret.Anual</w:t>
            </w:r>
          </w:p>
        </w:tc>
        <w:tc>
          <w:tcPr>
            <w:tcW w:type="dxa" w:w="1464"/>
          </w:tcPr>
          <w:p>
            <w:pPr>
              <w:spacing w:after="40" w:before="40"/>
            </w:pPr>
            <w:r>
              <w:rPr>
                <w:rFonts w:ascii="Times New Roman" w:hAnsi="Times New Roman"/>
                <w:b/>
                <w:sz w:val="20"/>
              </w:rPr>
              <w:t>MaxDD</w:t>
            </w:r>
          </w:p>
        </w:tc>
        <w:tc>
          <w:tcPr>
            <w:tcW w:type="dxa" w:w="1464"/>
          </w:tcPr>
          <w:p>
            <w:pPr>
              <w:spacing w:after="40" w:before="40"/>
            </w:pPr>
            <w:r>
              <w:rPr>
                <w:rFonts w:ascii="Times New Roman" w:hAnsi="Times New Roman"/>
                <w:b/>
                <w:sz w:val="20"/>
              </w:rPr>
              <w:t>Sortino</w:t>
            </w:r>
          </w:p>
        </w:tc>
        <w:tc>
          <w:tcPr>
            <w:tcW w:type="dxa" w:w="1464"/>
          </w:tcPr>
          <w:p>
            <w:pPr>
              <w:spacing w:after="40" w:before="40"/>
            </w:pPr>
            <w:r>
              <w:rPr>
                <w:rFonts w:ascii="Times New Roman" w:hAnsi="Times New Roman"/>
                <w:b/>
                <w:sz w:val="20"/>
              </w:rPr>
              <w:t>Ret.Total</w:t>
            </w:r>
          </w:p>
        </w:tc>
      </w:tr>
      <w:tr>
        <w:tc>
          <w:tcPr>
            <w:tcW w:type="dxa" w:w="1464"/>
          </w:tcPr>
          <w:p>
            <w:pPr>
              <w:spacing w:after="40" w:before="40"/>
            </w:pPr>
            <w:r>
              <w:rPr>
                <w:rFonts w:ascii="Times New Roman" w:hAnsi="Times New Roman"/>
                <w:sz w:val="20"/>
              </w:rPr>
              <w:t>XGB Tuned</w:t>
            </w:r>
          </w:p>
        </w:tc>
        <w:tc>
          <w:tcPr>
            <w:tcW w:type="dxa" w:w="1464"/>
          </w:tcPr>
          <w:p>
            <w:pPr>
              <w:spacing w:after="40" w:before="40"/>
            </w:pPr>
            <w:r>
              <w:rPr>
                <w:rFonts w:ascii="Times New Roman" w:hAnsi="Times New Roman"/>
                <w:sz w:val="20"/>
              </w:rPr>
              <w:t>1.397</w:t>
            </w:r>
          </w:p>
        </w:tc>
        <w:tc>
          <w:tcPr>
            <w:tcW w:type="dxa" w:w="1464"/>
          </w:tcPr>
          <w:p>
            <w:pPr>
              <w:spacing w:after="40" w:before="40"/>
            </w:pPr>
            <w:r>
              <w:rPr>
                <w:rFonts w:ascii="Times New Roman" w:hAnsi="Times New Roman"/>
                <w:sz w:val="20"/>
              </w:rPr>
              <w:t>11.09%</w:t>
            </w:r>
          </w:p>
        </w:tc>
        <w:tc>
          <w:tcPr>
            <w:tcW w:type="dxa" w:w="1464"/>
          </w:tcPr>
          <w:p>
            <w:pPr>
              <w:spacing w:after="40" w:before="40"/>
            </w:pPr>
            <w:r>
              <w:rPr>
                <w:rFonts w:ascii="Times New Roman" w:hAnsi="Times New Roman"/>
                <w:sz w:val="20"/>
              </w:rPr>
              <w:t>-14.83%</w:t>
            </w:r>
          </w:p>
        </w:tc>
        <w:tc>
          <w:tcPr>
            <w:tcW w:type="dxa" w:w="1464"/>
          </w:tcPr>
          <w:p>
            <w:pPr>
              <w:spacing w:after="40" w:before="40"/>
            </w:pPr>
            <w:r>
              <w:rPr>
                <w:rFonts w:ascii="Times New Roman" w:hAnsi="Times New Roman"/>
                <w:sz w:val="20"/>
              </w:rPr>
              <w:t>1.992</w:t>
            </w:r>
          </w:p>
        </w:tc>
        <w:tc>
          <w:tcPr>
            <w:tcW w:type="dxa" w:w="1464"/>
          </w:tcPr>
          <w:p>
            <w:pPr>
              <w:spacing w:after="40" w:before="40"/>
            </w:pPr>
            <w:r>
              <w:rPr>
                <w:rFonts w:ascii="Times New Roman" w:hAnsi="Times New Roman"/>
                <w:sz w:val="20"/>
              </w:rPr>
              <w:t>425.9%</w:t>
            </w:r>
          </w:p>
        </w:tc>
      </w:tr>
      <w:tr>
        <w:tc>
          <w:tcPr>
            <w:tcW w:type="dxa" w:w="1464"/>
          </w:tcPr>
          <w:p>
            <w:pPr>
              <w:spacing w:after="40" w:before="40"/>
            </w:pPr>
            <w:r>
              <w:rPr>
                <w:rFonts w:ascii="Times New Roman" w:hAnsi="Times New Roman"/>
                <w:sz w:val="20"/>
              </w:rPr>
              <w:t>LGB Tuned</w:t>
            </w:r>
          </w:p>
        </w:tc>
        <w:tc>
          <w:tcPr>
            <w:tcW w:type="dxa" w:w="1464"/>
          </w:tcPr>
          <w:p>
            <w:pPr>
              <w:spacing w:after="40" w:before="40"/>
            </w:pPr>
            <w:r>
              <w:rPr>
                <w:rFonts w:ascii="Times New Roman" w:hAnsi="Times New Roman"/>
                <w:sz w:val="20"/>
              </w:rPr>
              <w:t>1.313</w:t>
            </w:r>
          </w:p>
        </w:tc>
        <w:tc>
          <w:tcPr>
            <w:tcW w:type="dxa" w:w="1464"/>
          </w:tcPr>
          <w:p>
            <w:pPr>
              <w:spacing w:after="40" w:before="40"/>
            </w:pPr>
            <w:r>
              <w:rPr>
                <w:rFonts w:ascii="Times New Roman" w:hAnsi="Times New Roman"/>
                <w:sz w:val="20"/>
              </w:rPr>
              <w:t>10.23%</w:t>
            </w:r>
          </w:p>
        </w:tc>
        <w:tc>
          <w:tcPr>
            <w:tcW w:type="dxa" w:w="1464"/>
          </w:tcPr>
          <w:p>
            <w:pPr>
              <w:spacing w:after="40" w:before="40"/>
            </w:pPr>
            <w:r>
              <w:rPr>
                <w:rFonts w:ascii="Times New Roman" w:hAnsi="Times New Roman"/>
                <w:sz w:val="20"/>
              </w:rPr>
              <w:t>-19.60%</w:t>
            </w:r>
          </w:p>
        </w:tc>
        <w:tc>
          <w:tcPr>
            <w:tcW w:type="dxa" w:w="1464"/>
          </w:tcPr>
          <w:p>
            <w:pPr>
              <w:spacing w:after="40" w:before="40"/>
            </w:pPr>
            <w:r>
              <w:rPr>
                <w:rFonts w:ascii="Times New Roman" w:hAnsi="Times New Roman"/>
                <w:sz w:val="20"/>
              </w:rPr>
              <w:t>1.835</w:t>
            </w:r>
          </w:p>
        </w:tc>
        <w:tc>
          <w:tcPr>
            <w:tcW w:type="dxa" w:w="1464"/>
          </w:tcPr>
          <w:p>
            <w:pPr>
              <w:spacing w:after="40" w:before="40"/>
            </w:pPr>
            <w:r>
              <w:rPr>
                <w:rFonts w:ascii="Times New Roman" w:hAnsi="Times New Roman"/>
                <w:sz w:val="20"/>
              </w:rPr>
              <w:t>361.8%</w:t>
            </w:r>
          </w:p>
        </w:tc>
      </w:tr>
      <w:tr>
        <w:tc>
          <w:tcPr>
            <w:tcW w:type="dxa" w:w="1464"/>
          </w:tcPr>
          <w:p>
            <w:pPr>
              <w:spacing w:after="40" w:before="40"/>
            </w:pPr>
            <w:r>
              <w:rPr>
                <w:rFonts w:ascii="Times New Roman" w:hAnsi="Times New Roman"/>
                <w:sz w:val="20"/>
              </w:rPr>
              <w:t>XGB Default</w:t>
            </w:r>
          </w:p>
        </w:tc>
        <w:tc>
          <w:tcPr>
            <w:tcW w:type="dxa" w:w="1464"/>
          </w:tcPr>
          <w:p>
            <w:pPr>
              <w:spacing w:after="40" w:before="40"/>
            </w:pPr>
            <w:r>
              <w:rPr>
                <w:rFonts w:ascii="Times New Roman" w:hAnsi="Times New Roman"/>
                <w:sz w:val="20"/>
              </w:rPr>
              <w:t>1.154</w:t>
            </w:r>
          </w:p>
        </w:tc>
        <w:tc>
          <w:tcPr>
            <w:tcW w:type="dxa" w:w="1464"/>
          </w:tcPr>
          <w:p>
            <w:pPr>
              <w:spacing w:after="40" w:before="40"/>
            </w:pPr>
            <w:r>
              <w:rPr>
                <w:rFonts w:ascii="Times New Roman" w:hAnsi="Times New Roman"/>
                <w:sz w:val="20"/>
              </w:rPr>
              <w:t>8.77%</w:t>
            </w:r>
          </w:p>
        </w:tc>
        <w:tc>
          <w:tcPr>
            <w:tcW w:type="dxa" w:w="1464"/>
          </w:tcPr>
          <w:p>
            <w:pPr>
              <w:spacing w:after="40" w:before="40"/>
            </w:pPr>
            <w:r>
              <w:rPr>
                <w:rFonts w:ascii="Times New Roman" w:hAnsi="Times New Roman"/>
                <w:sz w:val="20"/>
              </w:rPr>
              <w:t>-17.44%</w:t>
            </w:r>
          </w:p>
        </w:tc>
        <w:tc>
          <w:tcPr>
            <w:tcW w:type="dxa" w:w="1464"/>
          </w:tcPr>
          <w:p>
            <w:pPr>
              <w:spacing w:after="40" w:before="40"/>
            </w:pPr>
            <w:r>
              <w:rPr>
                <w:rFonts w:ascii="Times New Roman" w:hAnsi="Times New Roman"/>
                <w:sz w:val="20"/>
              </w:rPr>
              <w:t>1.692</w:t>
            </w:r>
          </w:p>
        </w:tc>
        <w:tc>
          <w:tcPr>
            <w:tcW w:type="dxa" w:w="1464"/>
          </w:tcPr>
          <w:p>
            <w:pPr>
              <w:spacing w:after="40" w:before="40"/>
            </w:pPr>
            <w:r>
              <w:rPr>
                <w:rFonts w:ascii="Times New Roman" w:hAnsi="Times New Roman"/>
                <w:sz w:val="20"/>
              </w:rPr>
              <w:t>271.5%</w:t>
            </w:r>
          </w:p>
        </w:tc>
      </w:tr>
      <w:tr>
        <w:tc>
          <w:tcPr>
            <w:tcW w:type="dxa" w:w="1464"/>
          </w:tcPr>
          <w:p>
            <w:pPr>
              <w:spacing w:after="40" w:before="40"/>
            </w:pPr>
            <w:r>
              <w:rPr>
                <w:rFonts w:ascii="Times New Roman" w:hAnsi="Times New Roman"/>
                <w:sz w:val="20"/>
              </w:rPr>
              <w:t>LGB Default</w:t>
            </w:r>
          </w:p>
        </w:tc>
        <w:tc>
          <w:tcPr>
            <w:tcW w:type="dxa" w:w="1464"/>
          </w:tcPr>
          <w:p>
            <w:pPr>
              <w:spacing w:after="40" w:before="40"/>
            </w:pPr>
            <w:r>
              <w:rPr>
                <w:rFonts w:ascii="Times New Roman" w:hAnsi="Times New Roman"/>
                <w:sz w:val="20"/>
              </w:rPr>
              <w:t>1.000</w:t>
            </w:r>
          </w:p>
        </w:tc>
        <w:tc>
          <w:tcPr>
            <w:tcW w:type="dxa" w:w="1464"/>
          </w:tcPr>
          <w:p>
            <w:pPr>
              <w:spacing w:after="40" w:before="40"/>
            </w:pPr>
            <w:r>
              <w:rPr>
                <w:rFonts w:ascii="Times New Roman" w:hAnsi="Times New Roman"/>
                <w:sz w:val="20"/>
              </w:rPr>
              <w:t>8.15%</w:t>
            </w:r>
          </w:p>
        </w:tc>
        <w:tc>
          <w:tcPr>
            <w:tcW w:type="dxa" w:w="1464"/>
          </w:tcPr>
          <w:p>
            <w:pPr>
              <w:spacing w:after="40" w:before="40"/>
            </w:pPr>
            <w:r>
              <w:rPr>
                <w:rFonts w:ascii="Times New Roman" w:hAnsi="Times New Roman"/>
                <w:sz w:val="20"/>
              </w:rPr>
              <w:t>-21.86%</w:t>
            </w:r>
          </w:p>
        </w:tc>
        <w:tc>
          <w:tcPr>
            <w:tcW w:type="dxa" w:w="1464"/>
          </w:tcPr>
          <w:p>
            <w:pPr>
              <w:spacing w:after="40" w:before="40"/>
            </w:pPr>
            <w:r>
              <w:rPr>
                <w:rFonts w:ascii="Times New Roman" w:hAnsi="Times New Roman"/>
                <w:sz w:val="20"/>
              </w:rPr>
              <w:t>1.322</w:t>
            </w:r>
          </w:p>
        </w:tc>
        <w:tc>
          <w:tcPr>
            <w:tcW w:type="dxa" w:w="1464"/>
          </w:tcPr>
          <w:p>
            <w:pPr>
              <w:spacing w:after="40" w:before="40"/>
            </w:pPr>
            <w:r>
              <w:rPr>
                <w:rFonts w:ascii="Times New Roman" w:hAnsi="Times New Roman"/>
                <w:sz w:val="20"/>
              </w:rPr>
              <w:t>238.3%</w:t>
            </w:r>
          </w:p>
        </w:tc>
      </w:tr>
      <w:tr>
        <w:tc>
          <w:tcPr>
            <w:tcW w:type="dxa" w:w="1464"/>
          </w:tcPr>
          <w:p>
            <w:pPr>
              <w:spacing w:after="40" w:before="40"/>
            </w:pPr>
            <w:r>
              <w:rPr>
                <w:rFonts w:ascii="Times New Roman" w:hAnsi="Times New Roman"/>
                <w:sz w:val="20"/>
              </w:rPr>
              <w:t>60/40</w:t>
            </w:r>
          </w:p>
        </w:tc>
        <w:tc>
          <w:tcPr>
            <w:tcW w:type="dxa" w:w="1464"/>
          </w:tcPr>
          <w:p>
            <w:pPr>
              <w:spacing w:after="40" w:before="40"/>
            </w:pPr>
            <w:r>
              <w:rPr>
                <w:rFonts w:ascii="Times New Roman" w:hAnsi="Times New Roman"/>
                <w:sz w:val="20"/>
              </w:rPr>
              <w:t>0.847</w:t>
            </w:r>
          </w:p>
        </w:tc>
        <w:tc>
          <w:tcPr>
            <w:tcW w:type="dxa" w:w="1464"/>
          </w:tcPr>
          <w:p>
            <w:pPr>
              <w:spacing w:after="40" w:before="40"/>
            </w:pPr>
            <w:r>
              <w:rPr>
                <w:rFonts w:ascii="Times New Roman" w:hAnsi="Times New Roman"/>
                <w:sz w:val="20"/>
              </w:rPr>
              <w:t>8.60%</w:t>
            </w:r>
          </w:p>
        </w:tc>
        <w:tc>
          <w:tcPr>
            <w:tcW w:type="dxa" w:w="1464"/>
          </w:tcPr>
          <w:p>
            <w:pPr>
              <w:spacing w:after="40" w:before="40"/>
            </w:pPr>
            <w:r>
              <w:rPr>
                <w:rFonts w:ascii="Times New Roman" w:hAnsi="Times New Roman"/>
                <w:sz w:val="20"/>
              </w:rPr>
              <w:t>-21.67%</w:t>
            </w:r>
          </w:p>
        </w:tc>
        <w:tc>
          <w:tcPr>
            <w:tcW w:type="dxa" w:w="1464"/>
          </w:tcPr>
          <w:p>
            <w:pPr>
              <w:spacing w:after="40" w:before="40"/>
            </w:pPr>
            <w:r>
              <w:rPr>
                <w:rFonts w:ascii="Times New Roman" w:hAnsi="Times New Roman"/>
                <w:sz w:val="20"/>
              </w:rPr>
              <w:t>1.029</w:t>
            </w:r>
          </w:p>
        </w:tc>
        <w:tc>
          <w:tcPr>
            <w:tcW w:type="dxa" w:w="1464"/>
          </w:tcPr>
          <w:p>
            <w:pPr>
              <w:spacing w:after="40" w:before="40"/>
            </w:pPr>
            <w:r>
              <w:rPr>
                <w:rFonts w:ascii="Times New Roman" w:hAnsi="Times New Roman"/>
                <w:sz w:val="20"/>
              </w:rPr>
              <w:t>262.3%</w:t>
            </w:r>
          </w:p>
        </w:tc>
      </w:tr>
      <w:tr>
        <w:tc>
          <w:tcPr>
            <w:tcW w:type="dxa" w:w="1464"/>
          </w:tcPr>
          <w:p>
            <w:pPr>
              <w:spacing w:after="40" w:before="40"/>
            </w:pPr>
            <w:r>
              <w:rPr>
                <w:rFonts w:ascii="Times New Roman" w:hAnsi="Times New Roman"/>
                <w:sz w:val="20"/>
              </w:rPr>
              <w:t>Markowitz</w:t>
            </w:r>
          </w:p>
        </w:tc>
        <w:tc>
          <w:tcPr>
            <w:tcW w:type="dxa" w:w="1464"/>
          </w:tcPr>
          <w:p>
            <w:pPr>
              <w:spacing w:after="40" w:before="40"/>
            </w:pPr>
            <w:r>
              <w:rPr>
                <w:rFonts w:ascii="Times New Roman" w:hAnsi="Times New Roman"/>
                <w:sz w:val="20"/>
              </w:rPr>
              <w:t>0.832</w:t>
            </w:r>
          </w:p>
        </w:tc>
        <w:tc>
          <w:tcPr>
            <w:tcW w:type="dxa" w:w="1464"/>
          </w:tcPr>
          <w:p>
            <w:pPr>
              <w:spacing w:after="40" w:before="40"/>
            </w:pPr>
            <w:r>
              <w:rPr>
                <w:rFonts w:ascii="Times New Roman" w:hAnsi="Times New Roman"/>
                <w:sz w:val="20"/>
              </w:rPr>
              <w:t>5.39%</w:t>
            </w:r>
          </w:p>
        </w:tc>
        <w:tc>
          <w:tcPr>
            <w:tcW w:type="dxa" w:w="1464"/>
          </w:tcPr>
          <w:p>
            <w:pPr>
              <w:spacing w:after="40" w:before="40"/>
            </w:pPr>
            <w:r>
              <w:rPr>
                <w:rFonts w:ascii="Times New Roman" w:hAnsi="Times New Roman"/>
                <w:sz w:val="20"/>
              </w:rPr>
              <w:t>-19.82%</w:t>
            </w:r>
          </w:p>
        </w:tc>
        <w:tc>
          <w:tcPr>
            <w:tcW w:type="dxa" w:w="1464"/>
          </w:tcPr>
          <w:p>
            <w:pPr>
              <w:spacing w:after="40" w:before="40"/>
            </w:pPr>
            <w:r>
              <w:rPr>
                <w:rFonts w:ascii="Times New Roman" w:hAnsi="Times New Roman"/>
                <w:sz w:val="20"/>
              </w:rPr>
              <w:t>1.031</w:t>
            </w:r>
          </w:p>
        </w:tc>
        <w:tc>
          <w:tcPr>
            <w:tcW w:type="dxa" w:w="1464"/>
          </w:tcPr>
          <w:p>
            <w:pPr>
              <w:spacing w:after="40" w:before="40"/>
            </w:pPr>
            <w:r>
              <w:rPr>
                <w:rFonts w:ascii="Times New Roman" w:hAnsi="Times New Roman"/>
                <w:sz w:val="20"/>
              </w:rPr>
              <w:t>124.1%</w:t>
            </w:r>
          </w:p>
        </w:tc>
      </w:tr>
      <w:tr>
        <w:tc>
          <w:tcPr>
            <w:tcW w:type="dxa" w:w="1464"/>
          </w:tcPr>
          <w:p>
            <w:pPr>
              <w:spacing w:after="40" w:before="40"/>
            </w:pPr>
            <w:r>
              <w:rPr>
                <w:rFonts w:ascii="Times New Roman" w:hAnsi="Times New Roman"/>
                <w:sz w:val="20"/>
              </w:rPr>
              <w:t>Equal Weight</w:t>
            </w:r>
          </w:p>
        </w:tc>
        <w:tc>
          <w:tcPr>
            <w:tcW w:type="dxa" w:w="1464"/>
          </w:tcPr>
          <w:p>
            <w:pPr>
              <w:spacing w:after="40" w:before="40"/>
            </w:pPr>
            <w:r>
              <w:rPr>
                <w:rFonts w:ascii="Times New Roman" w:hAnsi="Times New Roman"/>
                <w:sz w:val="20"/>
              </w:rPr>
              <w:t>0.649</w:t>
            </w:r>
          </w:p>
        </w:tc>
        <w:tc>
          <w:tcPr>
            <w:tcW w:type="dxa" w:w="1464"/>
          </w:tcPr>
          <w:p>
            <w:pPr>
              <w:spacing w:after="40" w:before="40"/>
            </w:pPr>
            <w:r>
              <w:rPr>
                <w:rFonts w:ascii="Times New Roman" w:hAnsi="Times New Roman"/>
                <w:sz w:val="20"/>
              </w:rPr>
              <w:t>7.30%</w:t>
            </w:r>
          </w:p>
        </w:tc>
        <w:tc>
          <w:tcPr>
            <w:tcW w:type="dxa" w:w="1464"/>
          </w:tcPr>
          <w:p>
            <w:pPr>
              <w:spacing w:after="40" w:before="40"/>
            </w:pPr>
            <w:r>
              <w:rPr>
                <w:rFonts w:ascii="Times New Roman" w:hAnsi="Times New Roman"/>
                <w:sz w:val="20"/>
              </w:rPr>
              <w:t>-24.21%</w:t>
            </w:r>
          </w:p>
        </w:tc>
        <w:tc>
          <w:tcPr>
            <w:tcW w:type="dxa" w:w="1464"/>
          </w:tcPr>
          <w:p>
            <w:pPr>
              <w:spacing w:after="40" w:before="40"/>
            </w:pPr>
            <w:r>
              <w:rPr>
                <w:rFonts w:ascii="Times New Roman" w:hAnsi="Times New Roman"/>
                <w:sz w:val="20"/>
              </w:rPr>
              <w:t>0.794</w:t>
            </w:r>
          </w:p>
        </w:tc>
        <w:tc>
          <w:tcPr>
            <w:tcW w:type="dxa" w:w="1464"/>
          </w:tcPr>
          <w:p>
            <w:pPr>
              <w:spacing w:after="40" w:before="40"/>
            </w:pPr>
            <w:r>
              <w:rPr>
                <w:rFonts w:ascii="Times New Roman" w:hAnsi="Times New Roman"/>
                <w:sz w:val="20"/>
              </w:rPr>
              <w:t>198.1%</w:t>
            </w:r>
          </w:p>
        </w:tc>
      </w:tr>
    </w:tbl>
    <w:p>
      <w:pPr>
        <w:pStyle w:val="UFVNormal"/>
        <w:rPr>
          <w:b/>
          <w:lang w:val="en-GB"/>
        </w:rPr>
      </w:pPr>
      <w:r>
        <w:t xml:space="preserve">[POR INSERTAR]</w:t>
      </w:r>
    </w:p>
    <w:p>
      <w:pPr>
        <w:pStyle w:val="UFVEpgrafeNivel3"/>
        <w:spacing w:line="360" w:lineRule="auto" w:before="240" w:after="120"/>
        <w:ind w:firstLine="0"/>
      </w:pPr>
      <w:r>
        <w:rPr>
          <w:rFonts w:ascii="Times New Roman" w:hAnsi="Times New Roman"/>
          <w:b/>
          <w:i/>
          <w:color w:val="000000"/>
          <w:sz w:val="22"/>
        </w:rPr>
        <w:t xml:space="preserve">Métricas de riesgo avanzadas</w:t>
      </w:r>
    </w:p>
    <w:p>
      <w:pPr>
        <w:pStyle w:val="UFVEpgrafeNivel3"/>
        <w:spacing w:line="360" w:lineRule="auto" w:before="240" w:after="120"/>
        <w:ind w:firstLine="0"/>
      </w:pPr>
      <w:r>
        <w:rPr>
          <w:rFonts w:ascii="Times New Roman" w:hAnsi="Times New Roman"/>
          <w:b/>
          <w:i/>
          <w:color w:val="000000"/>
          <w:sz w:val="22"/>
        </w:rPr>
        <w:t xml:space="preserve">Diagnóstico de overfitting</w:t>
      </w:r>
    </w:p>
    <w:p>
      <w:pPr>
        <w:pStyle w:val="UFVNormal"/>
        <w:rPr>
          <w:b/>
          <w:lang w:val="en-GB"/>
        </w:rPr>
      </w:pPr>
      <w:r>
        <w:rPr>
          <w:b/>
          <w:lang w:val="en-GB"/>
        </w:rPr>
        <w:t xml:space="preserve">El diagnóstico de sobreajuste se realizó comparando la desviación estándar de las predicciones con la de los retornos reales. El ratio medio es 0.16x (las predicciones son 6 veces menos volátiles que la realidad), confirmando que el modelo es conservador y no exagera. El ratio train_RMSE/test_RMSE medio es 0.92x, indicando ausencia de sobreajuste: el modelo no memoriza los datos de entrenamiento. Adicionalmente, la evolución temporal muestra que la cartera ML supera al 60/40 en 12 de los 16 años evaluados (75%), incluyendo años de crisis (2008 no se evalúa por ser período de entrenamiento, pero 2020 COVID y 2022 tipos sí).</w:t>
      </w:r>
    </w:p>
    <w:p>
      <w:pPr>
        <w:pStyle w:val="UFVEpgrafeNivel2"/>
        <w:rPr/>
      </w:pPr>
      <w:bookmarkStart w:id="4" w:name="__RefHeading___Toc177409325"/>
      <w:bookmarkEnd w:id="4"/>
      <w:r>
        <w:rPr/>
        <w:t>5.4. Visualización de resultados</w:t>
      </w:r>
    </w:p>
    <w:p>
      <w:pPr>
        <w:pStyle w:val="UFVNormal"/>
        <w:rPr>
          <w:b/>
          <w:lang w:val="en-GB"/>
        </w:rPr>
      </w:pPr>
      <w:r>
        <w:rPr>
          <w:b/>
          <w:lang w:val="en-GB"/>
        </w:rPr>
        <w:t xml:space="preserve">[Insertar imagen: docs/figures/comparativa_carteras_riesgo_retorno.png]</w:t>
      </w:r>
    </w:p>
    <w:p>
      <w:pPr>
        <w:pStyle w:val="UFVNormal"/>
        <w:rPr>
          <w:b/>
          <w:lang w:val="en-GB"/>
        </w:rPr>
      </w:pPr>
      <w:r>
        <w:rPr>
          <w:b/>
          <w:lang w:val="en-GB"/>
        </w:rPr>
        <w:t xml:space="preserve">Figura 10. Frontera eficiente y carteras del TFG (2011-2026). Los puntos grises representan 5.000 carteras aleatorias. Las estrellas rojas (XGBoost Tuned, Sharpe 1.397) y naranjas (LightGBM Tuned, Sharpe 1.313) superan la frontera eficiente estática gracias al rebalanceo dinámico semanal.</w:t>
      </w:r>
    </w:p>
    <w:p>
      <w:pPr>
        <w:pStyle w:val="UFVNormal"/>
        <w:rPr>
          <w:b/>
          <w:lang w:val="en-GB"/>
        </w:rPr>
      </w:pPr>
      <w:r>
        <w:rPr>
          <w:b/>
          <w:lang w:val="en-GB"/>
        </w:rPr>
        <w:t xml:space="preserve">[Insertar imagen: docs/figures/equity_curves.png]</w:t>
      </w:r>
    </w:p>
    <w:p>
      <w:pPr>
        <w:pStyle w:val="UFVNormal"/>
        <w:rPr>
          <w:b/>
          <w:lang w:val="en-GB"/>
        </w:rPr>
      </w:pPr>
      <w:r>
        <w:rPr>
          <w:b/>
          <w:lang w:val="en-GB"/>
        </w:rPr>
        <w:t xml:space="preserve">Figura 11. Evolución de 100 euros invertidos en cada cartera (2011-2026), escala logarítmica. XGBoost Tuned: 100 euros a 526 euros (+426%). Las zonas sombreadas indican periodos de crisis (COVID-19, subidas de tipos 2022).</w:t>
      </w:r>
    </w:p>
    <w:p>
      <w:pPr>
        <w:pStyle w:val="UFVNormal"/>
        <w:rPr>
          <w:b/>
          <w:lang w:val="en-GB"/>
        </w:rPr>
      </w:pPr>
      <w:r>
        <w:rPr>
          <w:b/>
          <w:lang w:val="en-GB"/>
        </w:rPr>
        <w:t xml:space="preserve">[Insertar imagen: docs/figures/shap_global_importance.png]</w:t>
      </w:r>
    </w:p>
    <w:p>
      <w:pPr>
        <w:pStyle w:val="UFVNormal"/>
        <w:rPr>
          <w:b/>
          <w:lang w:val="en-GB"/>
        </w:rPr>
      </w:pPr>
      <w:r>
        <w:rPr>
          <w:b/>
          <w:lang w:val="en-GB"/>
        </w:rPr>
        <w:t xml:space="preserve">Figura 12. Top 20 variables por importancia SHAP global (media de los 10 ETFs). Las Condiciones Financieras (NFCI) dominan con el 16.5% de la importancia total. Colores por dimensión: azul=mercado, rojo=riesgo, naranja=sentimiento.</w:t>
      </w:r>
    </w:p>
    <w:p>
      <w:pPr>
        <w:pStyle w:val="UFVNormal"/>
        <w:rPr>
          <w:b/>
          <w:lang w:val="en-GB"/>
        </w:rPr>
      </w:pPr>
      <w:r>
        <w:rPr>
          <w:b/>
          <w:lang w:val="en-GB"/>
        </w:rPr>
        <w:t xml:space="preserve">[Insertar imagen: docs/figures/shap_dimension_importance.png]</w:t>
      </w:r>
    </w:p>
    <w:p>
      <w:pPr>
        <w:pStyle w:val="UFVNormal"/>
        <w:rPr>
          <w:b/>
          <w:lang w:val="en-GB"/>
        </w:rPr>
      </w:pPr>
      <w:r>
        <w:rPr>
          <w:b/>
          <w:lang w:val="en-GB"/>
        </w:rPr>
        <w:t xml:space="preserve">Figura 13. Contribución de cada dimensión al poder predictivo. Riesgo aporta 5 veces más información por variable (5.3%/feat) que Mercado (1.1%/feat). NLP de noticias contribuye 0%.</w:t>
      </w:r>
    </w:p>
    <w:p>
      <w:pPr>
        <w:pStyle w:val="UFVNormal"/>
        <w:rPr>
          <w:b/>
          <w:lang w:val="en-GB"/>
        </w:rPr>
      </w:pPr>
      <w:r>
        <w:rPr>
          <w:b/>
          <w:lang w:val="en-GB"/>
        </w:rPr>
        <w:t xml:space="preserve">[Insertar imagen: docs/figures/shap_beeswarm_spy.png]</w:t>
      </w:r>
    </w:p>
    <w:p>
      <w:pPr>
        <w:pStyle w:val="UFVNormal"/>
        <w:rPr>
          <w:b/>
          <w:lang w:val="en-GB"/>
        </w:rPr>
      </w:pPr>
      <w:r>
        <w:rPr>
          <w:b/>
          <w:lang w:val="en-GB"/>
        </w:rPr>
        <w:t xml:space="preserve">Figura 14. SHAP beeswarm para SPY (S&amp;P 500). Dir. Accuracy: 59.6%. El NFCI alto (rojo) empuja las predicciones a la baja. El VIX alto tiene efecto negativo.</w:t>
      </w:r>
    </w:p>
    <w:p>
      <w:pPr>
        <w:pStyle w:val="UFVNormal"/>
        <w:rPr>
          <w:b/>
          <w:lang w:val="en-GB"/>
        </w:rPr>
      </w:pPr>
      <w:r>
        <w:rPr>
          <w:b/>
          <w:lang w:val="en-GB"/>
        </w:rPr>
        <w:t xml:space="preserve">[Insertar imagen: docs/figures/shap_beeswarm_agg.png]</w:t>
      </w:r>
    </w:p>
    <w:p>
      <w:pPr>
        <w:pStyle w:val="UFVNormal"/>
        <w:rPr>
          <w:b/>
          <w:lang w:val="en-GB"/>
        </w:rPr>
      </w:pPr>
      <w:r>
        <w:rPr>
          <w:b/>
          <w:lang w:val="en-GB"/>
        </w:rPr>
        <w:t xml:space="preserve">Figura 15. SHAP beeswarm para AGG (Bonos US). Dir. Accuracy: 56.9%. Escala ~100 veces menor que SPY — renta fija menos volátil.</w:t>
      </w:r>
    </w:p>
    <w:p>
      <w:pPr>
        <w:pStyle w:val="UFVNormal"/>
        <w:rPr>
          <w:b/>
          <w:lang w:val="en-GB"/>
        </w:rPr>
      </w:pPr>
      <w:r>
        <w:rPr>
          <w:b/>
          <w:lang w:val="en-GB"/>
        </w:rPr>
        <w:t xml:space="preserve">[Insertar imagen: docs/figures/shap_beeswarm_gld.png]</w:t>
      </w:r>
    </w:p>
    <w:p>
      <w:pPr>
        <w:pStyle w:val="UFVNormal"/>
        <w:rPr>
          <w:b/>
          <w:lang w:val="en-GB"/>
        </w:rPr>
      </w:pPr>
      <w:r>
        <w:rPr>
          <w:b/>
          <w:lang w:val="en-GB"/>
        </w:rPr>
        <w:t xml:space="preserve">Figura 16. SHAP beeswarm para GLD (Oro). Dir. Accuracy: 54.9%. Google:Inflación es el driver principal — el oro actúa como cobertura inflacionaria.</w:t>
      </w:r>
    </w:p>
    <w:p>
      <w:pPr>
        <w:pStyle w:val="UFVNormal"/>
        <w:rPr>
          <w:b/>
          <w:lang w:val="en-GB"/>
        </w:rPr>
      </w:pPr>
      <w:r>
        <w:rPr>
          <w:b/>
          <w:lang w:val="en-GB"/>
        </w:rPr>
        <w:t xml:space="preserve">[Insertar imagen: docs/figures/shap_etf_comparison.png]</w:t>
      </w:r>
    </w:p>
    <w:p>
      <w:pPr>
        <w:pStyle w:val="UFVNormal"/>
        <w:rPr>
          <w:b/>
          <w:lang w:val="en-GB"/>
        </w:rPr>
      </w:pPr>
      <w:r>
        <w:rPr>
          <w:b/>
          <w:lang w:val="en-GB"/>
        </w:rPr>
        <w:t xml:space="preserve">Figura 17. Importancia SHAP por variable y ETF (top 15). Las líneas blancas separan renta variable, renta fija y alternativos.</w:t>
      </w:r>
    </w:p>
    <w:p>
      <w:pPr>
        <w:pStyle w:val="UFVNormal"/>
        <w:rPr>
          <w:b/>
          <w:lang w:val="en-GB"/>
        </w:rPr>
      </w:pPr>
      <w:r>
        <w:rPr>
          <w:b/>
          <w:lang w:val="en-GB"/>
        </w:rPr>
        <w:t xml:space="preserve">[Insertar imagen: docs/figures/shap_temporal_importance.png]</w:t>
      </w:r>
    </w:p>
    <w:p>
      <w:pPr>
        <w:pStyle w:val="UFVNormal"/>
        <w:rPr>
          <w:b/>
          <w:lang w:val="en-GB"/>
        </w:rPr>
      </w:pPr>
      <w:r>
        <w:rPr>
          <w:b/>
          <w:lang w:val="en-GB"/>
        </w:rPr>
        <w:t xml:space="preserve">Figura 18. Evolución temporal de importancia SHAP en tres períodos. 2016-2020 incluye crisis COVID-19. Las Condiciones Financieras (NFCI) ganan importancia en periodos de crisis.</w:t>
      </w:r>
    </w:p>
    <w:p>
      <w:pPr>
        <w:pStyle w:val="UFVNormal"/>
        <w:rPr>
          <w:b/>
          <w:lang w:val="en-GB"/>
        </w:rPr>
      </w:pPr>
      <w:r>
        <w:rPr>
          <w:b/>
          <w:lang w:val="en-GB"/>
        </w:rPr>
        <w:t xml:space="preserve">[Insertar imagen: docs/figures/shap_waterfall_extreme.png]</w:t>
      </w:r>
    </w:p>
    <w:p>
      <w:pPr>
        <w:pStyle w:val="UFVNormal"/>
        <w:rPr>
          <w:b/>
          <w:lang w:val="en-GB"/>
        </w:rPr>
      </w:pPr>
      <w:r>
        <w:rPr>
          <w:b/>
          <w:lang w:val="en-GB"/>
        </w:rPr>
        <w:t xml:space="preserve">Figura 19. SHAP waterfall para SPY, semana del 17 de marzo de 2023 (crisis bancaria SVB). El deterioro de las condiciones financieras empuja la predicción a la baja.</w:t>
      </w:r>
    </w:p>
    <w:p>
      <w:pPr>
        <w:pStyle w:val="UFVEpgrafeNivel2"/>
        <w:rPr/>
      </w:pPr>
      <w:bookmarkStart w:id="4" w:name="__RefHeading___Toc177409325"/>
      <w:bookmarkEnd w:id="4"/>
      <w:r>
        <w:rPr/>
        <w:t>5.5. Interpretación de resultados</w:t>
      </w:r>
    </w:p>
    <w:p>
      <w:pPr>
        <w:pStyle w:val="UFVEpgrafeNivel3"/>
        <w:spacing w:line="360" w:lineRule="auto" w:before="240" w:after="120"/>
        <w:ind w:firstLine="0"/>
      </w:pPr>
      <w:r>
        <w:rPr>
          <w:rFonts w:ascii="Times New Roman" w:hAnsi="Times New Roman"/>
          <w:b/>
          <w:i/>
          <w:color w:val="000000"/>
          <w:sz w:val="22"/>
        </w:rPr>
        <w:t xml:space="preserve">Interpretación SHAP</w:t>
      </w:r>
    </w:p>
    <w:p>
      <w:pPr>
        <w:pStyle w:val="UFVNormal"/>
        <w:rPr>
          <w:b/>
          <w:lang w:val="en-GB"/>
        </w:rPr>
      </w:pPr>
      <w:r>
        <w:rPr>
          <w:b/>
          <w:lang w:val="en-GB"/>
        </w:rPr>
        <w:t xml:space="preserve">El análisis SHAP revela que las tres variables más importantes a nivel global son: las Condiciones Financieras (NFCI, 16.5% de importancia), el Drawdown de Emergentes (3.7%) y el Nivel del VIX (3.5%). La dimensión de Mercado concentra el 68.4% de la importancia total (60 features), pero la dimensión de Riesgo es 5 veces más eficiente: con solo 4 features aporta el 21.3%, lo que equivale a 5.3% por variable frente al 1.1% por variable de Mercado. Las 22 features de NLP de noticias contribuyen 0% al poder predictivo, coherente con que tienen 94.3% de valores faltantes.</w:t>
      </w:r>
    </w:p>
    <w:p>
      <w:pPr>
        <w:pStyle w:val="UFVNormal"/>
        <w:rPr>
          <w:b/>
          <w:lang w:val="en-GB"/>
        </w:rPr>
      </w:pPr>
      <w:r>
        <w:rPr>
          <w:b/>
          <w:lang w:val="en-GB"/>
        </w:rPr>
        <w:t xml:space="preserve">Cada ETF tiene drivers diferentes. El NFCI domina para los ETFs de renta variable (SPY, QQQ, IWM, EFA). El Drawdown propio domina para Emergentes (EEM). Para el Oro (GLD), Google:Inflación es la variable más importante, reflejando el papel del oro como cobertura inflacionaria. Para Bonos US (AGG), el retorno propio domina debido a la alta autocorrelación de los retornos de renta fija. El modelo se adapta a diferentes regímenes: la importancia relativa de las variables cambia entre los períodos 2011-2015, 2016-2020 (crisis COVID) y 2021-2025 (subidas de tipos).</w:t>
      </w:r>
    </w:p>
    <w:p>
      <w:pPr>
        <w:pStyle w:val="UFVEpgrafeNivel3"/>
        <w:spacing w:line="360" w:lineRule="auto" w:before="240" w:after="120"/>
        <w:ind w:firstLine="0"/>
      </w:pPr>
      <w:r>
        <w:rPr>
          <w:rFonts w:ascii="Times New Roman" w:hAnsi="Times New Roman"/>
          <w:b/>
          <w:i/>
          <w:color w:val="000000"/>
          <w:sz w:val="22"/>
        </w:rPr>
        <w:t xml:space="preserve">Experimentos de feature engineering</w:t>
      </w:r>
    </w:p>
    <w:p>
      <w:pPr>
        <w:pStyle w:val="UFVNormal"/>
        <w:rPr>
          <w:b/>
          <w:lang w:val="en-GB"/>
        </w:rPr>
      </w:pPr>
      <w:r>
        <w:rPr>
          <w:b/>
          <w:lang w:val="en-GB"/>
        </w:rPr>
        <w:t xml:space="preserve">Se realizaron dos experimentos adicionales para evaluar la robustez del dataset de 109 features. En el Experimento 1, se añadieron 12 nuevas variables (WEI, CCSA, STLFSI4, MOVE Index, spread 10Y-3M, VIX term structure, correlación SPY-AGG, dispersión de retornos). El Sharpe bajó de 1.397 a 1.203 con 121 features, indicando que las nuevas variables aportan más ruido que señal. En el Experimento 2, se eliminaron 49 features con SHAP &lt; 0.00005 (todas las NLP, la mayoría de sentimiento y algunas macro). El Sharpe bajó a 1.271 con 60 features, demostrando que las features aparentemente irrelevantes contribuyen colectivamente al poder predictivo.</w:t>
      </w:r>
    </w:p>
    <w:p>
      <w:pPr>
        <w:pStyle w:val="UFVNormal"/>
        <w:rPr>
          <w:b/>
          <w:lang w:val="en-GB"/>
        </w:rPr>
      </w:pPr>
      <w:r>
        <w:rPr>
          <w:b/>
          <w:lang w:val="en-GB"/>
        </w:rPr>
        <w:t xml:space="preserve">La conclusión es que 109 features es el óptimo: ni añadir ni eliminar mejora el resultado. Este hallazgo es metodológicamente relevante porque demuestra que XGBoost maneja eficientemente features de baja importancia individual sin necesidad de feature selection previa, y que documentar lo que no funciona es tan valioso como lo que sí.</w:t>
      </w:r>
    </w:p>
    <w:p>
      <w:pPr>
        <w:pStyle w:val="UFVNormal"/>
        <w:rPr>
          <w:b/>
          <w:lang w:val="en-GB"/>
        </w:rPr>
      </w:pPr>
      <w:r>
        <w:t xml:space="preserve">[POR INSERTAR]</w:t>
      </w:r>
    </w:p>
    <w:p>
      <w:pPr>
        <w:pStyle w:val="UFVEpgrafeNivel3"/>
        <w:spacing w:line="360" w:lineRule="auto" w:before="240" w:after="120"/>
        <w:ind w:firstLine="0"/>
      </w:pPr>
      <w:r>
        <w:rPr>
          <w:rFonts w:ascii="Times New Roman" w:hAnsi="Times New Roman"/>
          <w:b/>
          <w:i/>
          <w:color w:val="000000"/>
          <w:sz w:val="22"/>
        </w:rPr>
        <w:t>Análisis por subperíodo</w:t>
      </w:r>
    </w:p>
    <w:p>
      <w:pPr>
        <w:pStyle w:val="UFVNormal"/>
        <w:rPr>
          <w:b/>
          <w:lang w:val="en-GB"/>
        </w:rPr>
      </w:pPr>
      <w:r>
        <w:t xml:space="preserve">[POR INSERTAR]</w:t>
      </w:r>
    </w:p>
    <w:p>
      <w:pPr>
        <w:pStyle w:val="UFVEpgrafeNivel3"/>
        <w:spacing w:line="360" w:lineRule="auto" w:before="240" w:after="120"/>
        <w:ind w:firstLine="0"/>
      </w:pPr>
      <w:r>
        <w:rPr>
          <w:rFonts w:ascii="Times New Roman" w:hAnsi="Times New Roman"/>
          <w:b/>
          <w:i/>
          <w:color w:val="000000"/>
          <w:sz w:val="22"/>
        </w:rPr>
        <w:t>Transaction costs y turnover</w:t>
      </w:r>
    </w:p>
    <w:p>
      <w:pPr>
        <w:pStyle w:val="UFVNormal"/>
        <w:rPr>
          <w:b/>
          <w:lang w:val="en-GB"/>
        </w:rPr>
      </w:pPr>
      <w:r>
        <w:t xml:space="preserve">[POR INSERTAR]</w:t>
      </w:r>
    </w:p>
    <w:p>
      <w:pPr>
        <w:pStyle w:val="UFVEpgrafeNivel3"/>
        <w:spacing w:line="360" w:lineRule="auto" w:before="240" w:after="120"/>
        <w:ind w:firstLine="0"/>
      </w:pPr>
      <w:r>
        <w:rPr>
          <w:rFonts w:ascii="Times New Roman" w:hAnsi="Times New Roman"/>
          <w:b/>
          <w:i/>
          <w:color w:val="000000"/>
          <w:sz w:val="22"/>
        </w:rPr>
        <w:t>Robustez estadística y data snooping</w:t>
      </w:r>
    </w:p>
    <w:p>
      <w:pPr>
        <w:pStyle w:val="UFVEpgrafeNivel3"/>
        <w:spacing w:line="360" w:lineRule="auto" w:before="240" w:after="120"/>
        <w:ind w:firstLine="0"/>
      </w:pPr>
      <w:r>
        <w:rPr>
          <w:rFonts w:ascii="Times New Roman" w:hAnsi="Times New Roman"/>
          <w:b/>
          <w:i/>
          <w:color w:val="000000"/>
          <w:sz w:val="22"/>
        </w:rPr>
        <w:t xml:space="preserve">Valor añadido del Machine Learning</w:t>
      </w:r>
    </w:p>
    <w:p>
      <w:pPr>
        <w:pStyle w:val="UFVNormal"/>
        <w:rPr>
          <w:b/>
          <w:lang w:val="en-GB"/>
        </w:rPr>
      </w:pPr>
      <w:r>
        <w:rPr>
          <w:b/>
          <w:lang w:val="en-GB"/>
        </w:rPr>
        <w:t xml:space="preserve">Las carteras ML superan la frontera eficiente estática porque el rebalanceo dinámico semanal adapta los pesos a las condiciones cambiantes del mercado. La diferencia entre el Sharpe estático de la frontera eficiente (1.028) y el Sharpe walk-forward del XGBoost Tuned (1.397) cuantifica el valor añadido del ML: 0.369 puntos de Sharpe, equivalentes a un incremento del 36% en la eficiencia riesgo-retorno. La cartera XGBoost Tuned reduce el maximum drawdown de -24.21% (equal weight) a -14.83%, proporcionando protección significativa en periodos de crisis.</w:t>
      </w:r>
    </w:p>
    <w:p>
      <w:pPr>
        <w:pStyle w:val="UFVEpgrafeNivel3"/>
        <w:spacing w:line="360" w:lineRule="auto" w:before="240" w:after="120"/>
        <w:ind w:firstLine="0"/>
      </w:pPr>
      <w:r>
        <w:rPr>
          <w:rFonts w:ascii="Times New Roman" w:hAnsi="Times New Roman"/>
          <w:b/>
          <w:i/>
          <w:color w:val="000000"/>
          <w:sz w:val="22"/>
        </w:rPr>
        <w:t xml:space="preserve">Limitaciones</w:t>
      </w:r>
    </w:p>
    <w:p>
      <w:pPr>
        <w:pStyle w:val="UFVNormal"/>
        <w:rPr>
          <w:b/>
          <w:lang w:val="en-GB"/>
        </w:rPr>
      </w:pPr>
      <w:r>
        <w:rPr>
          <w:b/>
          <w:lang w:val="en-GB"/>
        </w:rPr>
        <w:t xml:space="preserve">Los resultados deben interpretarse considerando las siguientes limitaciones. Primero, no se incluyen costes de transacción ni slippage, que reducirían los retornos netos del rebalanceo semanal. Segundo, el período 2011-2026 fue predominantemente alcista para la renta variable estadounidense, lo que favorece las estrategias largas. Tercero, el R² negativo indica que las predicciones puntuales son débiles; el valor del modelo reside en acertar la dirección (56.8% &gt; 50%), no la magnitud exacta. Cuarto, el universo de 10 ETFs es limitado y los resultados podrían no generalizarse a universos más amplios o a mercados menos líquidos.</w:t>
      </w:r>
    </w:p>
    <w:p>
      <w:pPr>
        <w:pStyle w:val="UFVEpgrafeNivel1"/>
        <w:rPr/>
      </w:pPr>
      <w:bookmarkStart w:id="12" w:name="__RefHeading___Toc177409333"/>
      <w:bookmarkEnd w:id="12"/>
      <w:r>
        <w:rPr/>
        <w:t>6. ANÁLISIS DE NEGOCIO</w:t>
      </w:r>
    </w:p>
    <w:p>
      <w:pPr>
        <w:pStyle w:val="UFVNormal"/>
        <w:rPr/>
      </w:pPr>
      <w:r>
        <w:rPr/>
        <w:t>[POR INSERTAR]</w:t>
      </w:r>
      <w:r/>
    </w:p>
    <w:p>
      <w:pPr>
        <w:pStyle w:val="UFVEpgrafeNivel1"/>
        <w:ind w:hanging="0" w:start="0"/>
        <w:rPr/>
      </w:pPr>
      <w:bookmarkStart w:id="13" w:name="__RefHeading___Toc177409334"/>
      <w:bookmarkEnd w:id="13"/>
      <w:r>
        <w:rPr>
          <w:caps w:val="false"/>
          <w:smallCaps w:val="false"/>
        </w:rPr>
        <w:t>7. CONCLUSIONES GENERALES DEL TRABAJO</w:t>
      </w:r>
    </w:p>
    <w:p>
      <w:pPr>
        <w:pStyle w:val="UFVNormal"/>
        <w:rPr/>
      </w:pPr>
      <w:r>
        <w:rPr/>
        <w:t>[POR INSERTAR — Conclusiones, limitaciones y líneas de trabajo futuro.]</w:t>
      </w:r>
      <w:r/>
    </w:p>
    <w:p>
      <w:pPr>
        <w:pStyle w:val="UFVEpgrafeNivel1"/>
        <w:ind w:hanging="0" w:start="0"/>
        <w:rPr/>
      </w:pPr>
      <w:bookmarkStart w:id="14" w:name="__RefHeading___Toc177409335"/>
      <w:r>
        <w:rPr>
          <w:caps w:val="false"/>
          <w:smallCaps w:val="false"/>
        </w:rPr>
        <w:t>8. REFERENCIAS BIBLIOGRÁFICAS</w:t>
      </w:r>
      <w:bookmarkEnd w:id="14"/>
      <w:r>
        <w:rPr>
          <w:caps w:val="false"/>
          <w:smallCaps w:val="false"/>
        </w:rPr>
      </w:r>
    </w:p>
    <w:p>
      <w:pPr>
        <w:pStyle w:val="UFVNormal"/>
        <w:rPr/>
      </w:pPr>
      <w:r>
        <w:rPr/>
      </w:r>
      <w:r>
        <w:rPr>
          <w:b/>
        </w:rPr>
      </w:r>
      <w:r>
        <w:rPr/>
      </w:r>
    </w:p>
    <w:p>
      <w:pPr>
        <w:pStyle w:val="UFVNormal"/>
        <w:rPr/>
      </w:pPr>
      <w:r>
        <w:rPr/>
      </w:r>
    </w:p>
    <w:p>
      <w:pPr>
        <w:pStyle w:val="UFVReferencias"/>
        <w:rPr/>
      </w:pPr>
      <w:r>
        <w:rPr>
          <w:lang w:val="en-US"/>
        </w:rPr>
        <w:t>Baker, M., &amp; Wurgler, J. (2006). Investor sentiment and the cross-section of stock returns. The Journal of Finance, 61(4), 1645-1680.</w:t>
      </w:r>
      <w:r>
        <w:rPr>
          <w:i/>
          <w:lang w:val="en-US"/>
        </w:rPr>
      </w:r>
      <w:r>
        <w:rPr>
          <w:lang w:val="en-US"/>
        </w:rPr>
      </w:r>
    </w:p>
    <w:p>
      <w:pPr>
        <w:pStyle w:val="UFVReferencias"/>
        <w:rPr/>
      </w:pPr>
      <w:r>
        <w:rPr>
          <w:lang w:val="en-US"/>
        </w:rPr>
        <w:t>Ban, G. Y., El Karoui, N., &amp; Lim, A. E. (2018). Machine learning and portfolio optimization. Management Science, 64(3), 1136-1154.</w:t>
      </w:r>
      <w:r>
        <w:rPr>
          <w:i/>
          <w:lang w:val="en-US"/>
        </w:rPr>
      </w:r>
      <w:r>
        <w:rPr>
          <w:lang w:val="en-US"/>
        </w:rPr>
      </w:r>
    </w:p>
    <w:p>
      <w:pPr>
        <w:pStyle w:val="UFVReferencias"/>
        <w:rPr/>
      </w:pPr>
      <w:r>
        <w:rPr/>
        <w:t>Black, F., &amp; Litterman, R. (1992). Global portfolio optimization. Financial Analysts Journal, 48(5), 28-43.</w:t>
      </w:r>
      <w:r>
        <w:rPr>
          <w:i/>
        </w:rPr>
      </w:r>
      <w:r>
        <w:rPr/>
      </w:r>
    </w:p>
    <w:p>
      <w:pPr>
        <w:pStyle w:val="UFVReferencias"/>
        <w:rPr/>
      </w:pPr>
      <w:r>
        <w:rPr/>
        <w:t>Chen, T., &amp; Guestrin, C. (2016). XGBoost: A scalable tree boosting system. Proceedings of the 22nd ACM SIGKDD, 785-794.</w:t>
      </w:r>
      <w:r>
        <w:rPr>
          <w:i/>
        </w:rPr>
      </w:r>
      <w:r>
        <w:rPr/>
      </w:r>
    </w:p>
    <w:p>
      <w:pPr>
        <w:pStyle w:val="UFVReferencias"/>
        <w:rPr/>
      </w:pPr>
      <w:r>
        <w:rPr/>
        <w:t>Da, Z., Engelberg, J., &amp; Gao, P. (2015). The sum of all FEARS investor sentiment and asset prices. The Review of Financial Studies, 28(1), 1-32.</w:t>
      </w:r>
      <w:r>
        <w:rPr>
          <w:lang w:val="en-US"/>
        </w:rPr>
      </w:r>
      <w:r>
        <w:rPr>
          <w:i/>
          <w:lang w:val="en-US"/>
        </w:rPr>
      </w:r>
      <w:r>
        <w:rPr>
          <w:lang w:val="en-US"/>
        </w:rPr>
      </w:r>
    </w:p>
    <w:p>
      <w:pPr>
        <w:pStyle w:val="UFVReferencias"/>
        <w:rPr/>
      </w:pPr>
      <w:r>
        <w:rPr/>
        <w:t xml:space="preserve">de Prado, M. L. (2018). Advances in Financial Machine Learning. John Wiley &amp; Sons.</w:t>
      </w:r>
    </w:p>
    <w:p>
      <w:pPr>
        <w:pStyle w:val="UFVReferencias"/>
        <w:rPr/>
      </w:pPr>
      <w:r>
        <w:rPr/>
      </w:r>
    </w:p>
    <w:p>
      <w:pPr>
        <w:pStyle w:val="UFVReferencias"/>
        <w:rPr/>
      </w:pPr>
      <w:r>
        <w:rPr/>
        <w:t xml:space="preserve">Fischer, T., &amp; Krauss, C. (2018). Deep learning with LSTM networks for financial market predictions. European Journal of Operational Research, 270(2), 654-669.</w:t>
      </w:r>
    </w:p>
    <w:p>
      <w:pPr>
        <w:pStyle w:val="UFVReferencias"/>
        <w:rPr/>
      </w:pPr>
      <w:r>
        <w:rPr/>
        <w:t xml:space="preserve">Friedman, J. H. (2001). Greedy function approximation: A gradient boosting machine. The Annals of Statistics, 29(5), 1189-1232.</w:t>
      </w:r>
    </w:p>
    <w:p>
      <w:pPr>
        <w:pStyle w:val="UFVReferencias"/>
        <w:rPr/>
      </w:pPr>
      <w:r>
        <w:rPr/>
        <w:t xml:space="preserve">Gu, S., Kelly, B., &amp; Xiu, D. (2020). Empirical asset pricing via machine learning. The Review of Financial Studies, 33(5), 2223-2273.</w:t>
      </w:r>
    </w:p>
    <w:p>
      <w:pPr>
        <w:pStyle w:val="UFVReferencias"/>
        <w:rPr/>
      </w:pPr>
      <w:r>
        <w:rPr/>
        <w:t xml:space="preserve">Ke, G., et al. (2017). LightGBM: A highly efficient gradient boosting decision tree. Advances in Neural Information Processing Systems, 30.</w:t>
      </w:r>
    </w:p>
    <w:p>
      <w:pPr>
        <w:pStyle w:val="UFVReferencias"/>
        <w:rPr/>
      </w:pPr>
      <w:r>
        <w:rPr/>
        <w:t xml:space="preserve">Leippold, M., Wang, Q., &amp; Zhou, W. (2022). Machine learning in the Chinese stock market. Journal of Financial Economics, 145(2), 64-82.</w:t>
      </w:r>
    </w:p>
    <w:p>
      <w:pPr>
        <w:pStyle w:val="UFVReferencias"/>
        <w:rPr/>
      </w:pPr>
      <w:r>
        <w:rPr/>
        <w:t xml:space="preserve">Lundberg, S. M., &amp; Lee, S. I. (2017). A unified approach to interpreting model predictions. Advances in NeurIPS, 30.</w:t>
      </w:r>
    </w:p>
    <w:p>
      <w:pPr>
        <w:pStyle w:val="UFVReferencias"/>
        <w:rPr/>
      </w:pPr>
      <w:r>
        <w:rPr/>
        <w:t xml:space="preserve">Lundberg, S. M., et al. (2020). From local explanations to global understanding with explainable AI for trees. Nature Machine Intelligence, 2(1), 56-67.</w:t>
      </w:r>
    </w:p>
    <w:p>
      <w:pPr>
        <w:pStyle w:val="UFVReferencias"/>
        <w:rPr/>
      </w:pPr>
      <w:r>
        <w:rPr/>
        <w:t xml:space="preserve">Markowitz, H. (1952). Portfolio selection. The Journal of Finance, 7(1), 77-91.</w:t>
      </w:r>
    </w:p>
    <w:p>
      <w:pPr>
        <w:pStyle w:val="UFVReferencias"/>
        <w:rPr/>
      </w:pPr>
      <w:r>
        <w:rPr/>
        <w:t xml:space="preserve">Sharpe, W. F. (1964). Capital asset prices: A theory of market equilibrium. The Journal of Finance, 19(3), 425-442.</w:t>
      </w:r>
    </w:p>
    <w:p>
      <w:pPr>
        <w:pStyle w:val="UFVReferencias"/>
        <w:rPr/>
      </w:pPr>
      <w:r>
        <w:rPr/>
        <w:t xml:space="preserve">Tashman, L. J. (2000). Out-of-sample tests of forecasting accuracy. International Journal of Forecasting, 16(4), 437-450.</w:t>
      </w:r>
    </w:p>
    <w:p>
      <w:pPr>
        <w:pStyle w:val="UFVReferencias"/>
        <w:rPr/>
      </w:pPr>
      <w:r>
        <w:rPr/>
        <w:t xml:space="preserve">Yan, J. (2025). Portfolio risk management with gradient boosting: LightGBM vs XGBoost. Journal of Risk and Financial Management, 18(2), 85.</w:t>
      </w:r>
    </w:p>
    <w:p>
      <w:pPr>
        <w:pStyle w:val="UFVReferencias"/>
        <w:rPr>
          <w:lang w:val="en-GB"/>
        </w:rPr>
      </w:pPr>
      <w:r>
        <w:rPr>
          <w:lang w:val="en-GB"/>
        </w:rPr>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