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</w:t>
      </w:r>
      <w:r>
        <w:rPr>
          <w:rFonts w:ascii="Verdana" w:hAnsi="Verdana"/>
          <w:color w:val="FF0000"/>
          <w:sz w:val="24"/>
          <w:szCs w:val="24"/>
        </w:rPr>
        <w:t>5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Ingresar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 xml:space="preserve">ículo 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usado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74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60"/>
        <w:gridCol w:w="36"/>
        <w:gridCol w:w="6777"/>
      </w:tblGrid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Ingresar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culo  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usado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el ingreso de informaci</w:t>
            </w:r>
            <w:r>
              <w:rPr>
                <w:rFonts w:ascii="Verdana" w:hAnsi="Verdana"/>
                <w:szCs w:val="20"/>
                <w:lang w:eastAsia="es-ES"/>
              </w:rPr>
              <w:t xml:space="preserve">ón de automóviles </w:t>
            </w:r>
            <w:r>
              <w:rPr>
                <w:rFonts w:ascii="Verdana" w:hAnsi="Verdana"/>
                <w:szCs w:val="20"/>
                <w:lang w:eastAsia="es-ES"/>
              </w:rPr>
              <w:t>usados</w:t>
            </w:r>
            <w:r>
              <w:rPr>
                <w:rFonts w:ascii="Verdana" w:hAnsi="Verdana"/>
                <w:szCs w:val="20"/>
                <w:lang w:eastAsia="es-ES"/>
              </w:rPr>
              <w:t xml:space="preserve"> que no están registrados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no debe estar registrado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exitosa de ingreso de veh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ículo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ingreso fallido al 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Solicitud de ingresar un vehículo </w:t>
            </w:r>
            <w:r>
              <w:rPr>
                <w:rFonts w:ascii="Verdana" w:hAnsi="Verdana"/>
                <w:color w:val="000000"/>
                <w:szCs w:val="20"/>
              </w:rPr>
              <w:t>usado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1. Recibe una solicitud de ingresar un vehículo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usado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2. Muestra una ventana en donde solicita el identificador, la marca, color, cilindraje,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modelo, propietario anterior, kilometraje, siniestros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y precio de compra del veh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ículo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usado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6. Muestra las opciones de guardar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szCs w:val="20"/>
                    </w:rPr>
                    <w:t>7.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guardar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Comprueba que los datos est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én diligenciados correctamente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9. Almacena en la base de datos todos los datos diligenciados y la fecha en que se ingresó el veh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 xml:space="preserve">ículo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usado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10. Confirma el ingreso exitoso del veh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 xml:space="preserve">ículo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usado</w:t>
                  </w:r>
                  <w:r>
                    <w:rPr>
                      <w:rFonts w:ascii="Verdana" w:hAnsi="Verdana"/>
                      <w:szCs w:val="20"/>
                    </w:rPr>
                    <w:t>, oculta las opciones y muestra la opción salir.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Cs w:val="20"/>
                    </w:rPr>
                    <w:t>11.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12.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13.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14.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15.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 puede ser cualquiera de los pasos 3, 4 o 7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73" w:type="dxa"/>
            <w:gridSpan w:val="3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Registrar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 xml:space="preserve">ículo 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usado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Ingresar veh</w:t>
    </w:r>
    <w:r>
      <w:rPr>
        <w:i/>
        <w:color w:val="FF0000"/>
        <w:szCs w:val="24"/>
        <w:lang w:val="es-ES_tradnl" w:eastAsia="es-ES"/>
      </w:rPr>
      <w:t xml:space="preserve">ículo </w:t>
    </w:r>
    <w:r>
      <w:rPr>
        <w:i/>
        <w:color w:val="FF0000"/>
        <w:szCs w:val="24"/>
        <w:lang w:val="es-ES_tradnl" w:eastAsia="es-ES"/>
      </w:rPr>
      <w:t>usado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4</Pages>
  <Words>418</Words>
  <Characters>2344</Characters>
  <CharactersWithSpaces>2671</CharactersWithSpaces>
  <Paragraphs>105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2024-03-03T17:08:36Z</dcterms:modified>
  <cp:revision>7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