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02CA04E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F9225D">
        <w:rPr>
          <w:b/>
          <w:bCs/>
        </w:rPr>
        <w:t>60</w:t>
      </w:r>
      <w:r w:rsidRPr="00183E3E">
        <w:t xml:space="preserve">, destinada a vivienda, cuya titularidad corresponde a </w:t>
      </w:r>
      <w:r w:rsidR="00F9225D">
        <w:rPr>
          <w:b/>
          <w:bCs/>
        </w:rPr>
        <w:t>Cuzzolino Daniela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9225D">
        <w:rPr>
          <w:b/>
          <w:bCs/>
        </w:rPr>
        <w:t>03</w:t>
      </w:r>
      <w:r>
        <w:rPr>
          <w:b/>
          <w:bCs/>
        </w:rPr>
        <w:t xml:space="preserve"> de </w:t>
      </w:r>
      <w:r w:rsidR="00F9225D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041E2"/>
    <w:rsid w:val="00EE34AF"/>
    <w:rsid w:val="00F66D59"/>
    <w:rsid w:val="00F9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2026-09-03T21:08:00Z</dcterms:modified>
</cp:coreProperties>
</file>