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1E7C7B9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DA7C05">
        <w:rPr>
          <w:b/>
          <w:bCs/>
        </w:rPr>
        <w:t>70</w:t>
      </w:r>
      <w:r w:rsidRPr="00183E3E">
        <w:t xml:space="preserve">, destinada a vivienda, cuya titularidad corresponde a </w:t>
      </w:r>
      <w:r w:rsidR="00DA7C05" w:rsidRPr="00DA7C05">
        <w:rPr>
          <w:b/>
          <w:bCs/>
        </w:rPr>
        <w:t>Gazzaneo, Francisco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67BD8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DA7C05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2026-09-01T14:13:00Z</dcterms:modified>
</cp:coreProperties>
</file>