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E354E1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8C4C14">
        <w:rPr>
          <w:b/>
          <w:bCs/>
        </w:rPr>
        <w:t>59</w:t>
      </w:r>
      <w:r w:rsidRPr="00183E3E">
        <w:t xml:space="preserve">, destinada a vivienda, cuya titularidad corresponde a </w:t>
      </w:r>
      <w:r w:rsidR="008C4C14">
        <w:rPr>
          <w:b/>
          <w:bCs/>
        </w:rPr>
        <w:t>Silvestre, Gustavo Villarruel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020CF0">
        <w:rPr>
          <w:b/>
          <w:bCs/>
        </w:rPr>
        <w:t>3</w:t>
      </w:r>
      <w:r>
        <w:rPr>
          <w:b/>
          <w:bCs/>
        </w:rPr>
        <w:t xml:space="preserve"> de </w:t>
      </w:r>
      <w:r w:rsidR="00020C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0CF0"/>
    <w:rsid w:val="000223FE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7D34A7"/>
    <w:rsid w:val="00815997"/>
    <w:rsid w:val="00834168"/>
    <w:rsid w:val="008C4C14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2026-09-06T01:00:00Z</dcterms:modified>
</cp:coreProperties>
</file>