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784E94FA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020CF0">
        <w:rPr>
          <w:b/>
          <w:bCs/>
        </w:rPr>
        <w:t>26</w:t>
      </w:r>
      <w:r w:rsidRPr="00183E3E">
        <w:t xml:space="preserve">, destinada a vivienda, cuya titularidad corresponde a </w:t>
      </w:r>
      <w:r w:rsidR="00020CF0">
        <w:rPr>
          <w:b/>
          <w:bCs/>
        </w:rPr>
        <w:t>Chehab, Gabriel Adrian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020CF0">
        <w:rPr>
          <w:b/>
          <w:bCs/>
        </w:rPr>
        <w:t>3</w:t>
      </w:r>
      <w:r>
        <w:rPr>
          <w:b/>
          <w:bCs/>
        </w:rPr>
        <w:t xml:space="preserve"> de </w:t>
      </w:r>
      <w:r w:rsidR="00020CF0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20CF0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7D34A7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2026-09-06T00:59:00Z</dcterms:modified>
</cp:coreProperties>
</file>