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0A1B90C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E35278">
        <w:rPr>
          <w:b/>
          <w:bCs/>
        </w:rPr>
        <w:t>39</w:t>
      </w:r>
      <w:r w:rsidRPr="00183E3E">
        <w:t xml:space="preserve">, destinada a vivienda, cuya titularidad corresponde a </w:t>
      </w:r>
      <w:r w:rsidR="00E35278">
        <w:rPr>
          <w:b/>
          <w:bCs/>
        </w:rPr>
        <w:t>Solleiro Carolina Mabel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1B4242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815997"/>
    <w:rsid w:val="00834168"/>
    <w:rsid w:val="008D29FE"/>
    <w:rsid w:val="00947378"/>
    <w:rsid w:val="00B162BA"/>
    <w:rsid w:val="00BA0599"/>
    <w:rsid w:val="00BE063C"/>
    <w:rsid w:val="00CA2734"/>
    <w:rsid w:val="00E35278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2026-08-31T17:07:00Z</dcterms:modified>
</cp:coreProperties>
</file>