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8E7C" w14:textId="77777777" w:rsidR="004C3D5F" w:rsidRPr="00E74AE5" w:rsidRDefault="004C3D5F">
      <w:pPr>
        <w:spacing w:before="2200"/>
        <w:rPr>
          <w:color w:val="C45911" w:themeColor="accent2" w:themeShade="BF"/>
        </w:rPr>
      </w:pPr>
    </w:p>
    <w:p w14:paraId="1517FB4C" w14:textId="77777777" w:rsidR="004C3D5F" w:rsidRPr="00E74AE5" w:rsidRDefault="00000000">
      <w:pPr>
        <w:spacing w:after="80"/>
        <w:jc w:val="center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  <w:sz w:val="40"/>
          <w:szCs w:val="40"/>
        </w:rPr>
        <w:t>ANÁLISIS DEL SECTOR INMOBILIARIO Y DE LA CONSTRUCCIÓN EN CABA</w:t>
      </w:r>
    </w:p>
    <w:p w14:paraId="54105AB1" w14:textId="77777777" w:rsidR="004C3D5F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B6B73"/>
          <w:sz w:val="26"/>
          <w:szCs w:val="26"/>
        </w:rPr>
        <w:t>Costos, actividad y precios inmobiliarios (2021–2025)</w:t>
      </w:r>
    </w:p>
    <w:p w14:paraId="1274081A" w14:textId="77777777" w:rsidR="004C3D5F" w:rsidRDefault="00000000">
      <w:pPr>
        <w:spacing w:after="60"/>
        <w:jc w:val="center"/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  <w:sz w:val="24"/>
          <w:szCs w:val="24"/>
        </w:rPr>
        <w:t>Preparado por Mateo Caporusso</w:t>
      </w:r>
    </w:p>
    <w:p w14:paraId="08679215" w14:textId="66C24F4C" w:rsidR="004C3D5F" w:rsidRDefault="00000000">
      <w:pPr>
        <w:spacing w:after="60"/>
        <w:jc w:val="center"/>
      </w:pPr>
      <w:r>
        <w:rPr>
          <w:rFonts w:ascii="Calibri" w:eastAsia="Calibri" w:hAnsi="Calibri" w:cs="Calibri"/>
          <w:color w:val="5B6B73"/>
          <w:sz w:val="22"/>
          <w:szCs w:val="22"/>
        </w:rPr>
        <w:t xml:space="preserve">Proyecto de Portfolio </w:t>
      </w:r>
    </w:p>
    <w:p w14:paraId="085BF1CB" w14:textId="77777777" w:rsidR="004C3D5F" w:rsidRDefault="00000000">
      <w:pPr>
        <w:spacing w:after="60"/>
        <w:jc w:val="center"/>
      </w:pPr>
      <w:r>
        <w:rPr>
          <w:rFonts w:ascii="Calibri" w:eastAsia="Calibri" w:hAnsi="Calibri" w:cs="Calibri"/>
          <w:color w:val="5B6B73"/>
        </w:rPr>
        <w:t xml:space="preserve">Fuente: IDECBA / </w:t>
      </w:r>
      <w:proofErr w:type="spellStart"/>
      <w:r>
        <w:rPr>
          <w:rFonts w:ascii="Calibri" w:eastAsia="Calibri" w:hAnsi="Calibri" w:cs="Calibri"/>
          <w:color w:val="5B6B73"/>
        </w:rPr>
        <w:t>DGEyC</w:t>
      </w:r>
      <w:proofErr w:type="spellEnd"/>
      <w:r>
        <w:rPr>
          <w:rFonts w:ascii="Calibri" w:eastAsia="Calibri" w:hAnsi="Calibri" w:cs="Calibri"/>
          <w:color w:val="5B6B73"/>
        </w:rPr>
        <w:t xml:space="preserve"> — GCBA · Buenos Aires Data</w:t>
      </w:r>
    </w:p>
    <w:p w14:paraId="4A57BB22" w14:textId="77777777" w:rsidR="004C3D5F" w:rsidRDefault="00000000">
      <w:r>
        <w:br w:type="page"/>
      </w:r>
    </w:p>
    <w:p w14:paraId="22B2DEA5" w14:textId="2252C121" w:rsidR="004C3D5F" w:rsidRPr="00E74AE5" w:rsidRDefault="00000000">
      <w:pPr>
        <w:pStyle w:val="Ttulo1"/>
        <w:spacing w:before="320" w:after="16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lastRenderedPageBreak/>
        <w:t xml:space="preserve">1. Resumen </w:t>
      </w:r>
    </w:p>
    <w:p w14:paraId="43142ADF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Este proyecto analiza la evolución del sector inmobiliario y de la construcción en la Ciudad Autónoma de Buenos Aires durante 2021–2025.</w:t>
      </w:r>
    </w:p>
    <w:p w14:paraId="77BD7910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Se integraron datos oficiales de inflación, costos de construcción, permisos de obra y precios de publicación de departamentos para analizar tres dimensiones principales: costos, actividad y precios.</w:t>
      </w:r>
    </w:p>
    <w:p w14:paraId="3ADA42AA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El análisis muestra comportamientos distintos entre estos indicadores. Los costos de construcción aumentaron por debajo del nivel general de precios, la actividad constructiva cayó hasta 2024 y se recuperó en 2025, y los precios de publicación en USD/m² se mantuvieron prácticamente estables.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E4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C3D5F" w14:paraId="4BA25AB7" w14:textId="77777777" w:rsidTr="00E74AE5">
        <w:tc>
          <w:tcPr>
            <w:tcW w:w="1250" w:type="pct"/>
            <w:shd w:val="clear" w:color="auto" w:fill="FBE4D5" w:themeFill="accent2" w:themeFillTint="3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23C444E" w14:textId="77777777" w:rsidR="004C3D5F" w:rsidRPr="00E74AE5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b/>
                <w:bCs/>
                <w:color w:val="000000" w:themeColor="text1"/>
                <w:sz w:val="30"/>
                <w:szCs w:val="30"/>
              </w:rPr>
              <w:t>-24,7%</w:t>
            </w:r>
          </w:p>
          <w:p w14:paraId="3D15484A" w14:textId="77777777" w:rsidR="004C3D5F" w:rsidRPr="00E74AE5" w:rsidRDefault="00000000">
            <w:pPr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Costo real de construcción 2025 vs 2021</w:t>
            </w:r>
          </w:p>
        </w:tc>
        <w:tc>
          <w:tcPr>
            <w:tcW w:w="1250" w:type="pct"/>
            <w:shd w:val="clear" w:color="auto" w:fill="FBE4D5" w:themeFill="accent2" w:themeFillTint="3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483248F" w14:textId="77777777" w:rsidR="004C3D5F" w:rsidRPr="00E74AE5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b/>
                <w:bCs/>
                <w:color w:val="000000" w:themeColor="text1"/>
                <w:sz w:val="30"/>
                <w:szCs w:val="30"/>
              </w:rPr>
              <w:t>+31,8%</w:t>
            </w:r>
          </w:p>
          <w:p w14:paraId="661E6E72" w14:textId="77777777" w:rsidR="004C3D5F" w:rsidRPr="00E74AE5" w:rsidRDefault="00000000">
            <w:pPr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Superficie registrada 2025 vs 2024</w:t>
            </w:r>
          </w:p>
        </w:tc>
        <w:tc>
          <w:tcPr>
            <w:tcW w:w="1250" w:type="pct"/>
            <w:shd w:val="clear" w:color="auto" w:fill="FBE4D5" w:themeFill="accent2" w:themeFillTint="3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87FE5DA" w14:textId="77777777" w:rsidR="004C3D5F" w:rsidRPr="00E74AE5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b/>
                <w:bCs/>
                <w:color w:val="000000" w:themeColor="text1"/>
                <w:sz w:val="30"/>
                <w:szCs w:val="30"/>
              </w:rPr>
              <w:t>USD 2.589</w:t>
            </w:r>
          </w:p>
          <w:p w14:paraId="1DA1BF41" w14:textId="77777777" w:rsidR="004C3D5F" w:rsidRPr="00E74AE5" w:rsidRDefault="00000000">
            <w:pPr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Precio promedio por m² en 2025 (+0,7% vs 2021)</w:t>
            </w:r>
          </w:p>
        </w:tc>
        <w:tc>
          <w:tcPr>
            <w:tcW w:w="1250" w:type="pct"/>
            <w:shd w:val="clear" w:color="auto" w:fill="FBE4D5" w:themeFill="accent2" w:themeFillTint="3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132D908" w14:textId="77777777" w:rsidR="004C3D5F" w:rsidRPr="00E74AE5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b/>
                <w:bCs/>
                <w:color w:val="000000" w:themeColor="text1"/>
                <w:sz w:val="30"/>
                <w:szCs w:val="30"/>
              </w:rPr>
              <w:t>Comuna 14</w:t>
            </w:r>
          </w:p>
          <w:p w14:paraId="76BCFF7D" w14:textId="77777777" w:rsidR="004C3D5F" w:rsidRPr="00E74AE5" w:rsidRDefault="00000000">
            <w:pPr>
              <w:jc w:val="center"/>
              <w:rPr>
                <w:color w:val="000000" w:themeColor="text1"/>
              </w:rPr>
            </w:pPr>
            <w:r w:rsidRPr="00E74AE5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Comuna con el precio más alto en 2025</w:t>
            </w:r>
          </w:p>
        </w:tc>
      </w:tr>
    </w:tbl>
    <w:p w14:paraId="5A031CB3" w14:textId="77777777" w:rsidR="004C3D5F" w:rsidRPr="00E74AE5" w:rsidRDefault="00000000">
      <w:pPr>
        <w:pStyle w:val="Ttulo1"/>
        <w:spacing w:before="320" w:after="16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2. Problema y Objetivo</w:t>
      </w:r>
    </w:p>
    <w:p w14:paraId="4470DC03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El sector inmobiliario y de la construcción está condicionado por múltiples variables que no necesariamente evolucionan al mismo ritmo.</w:t>
      </w:r>
    </w:p>
    <w:p w14:paraId="38B548E4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El proyecto busca responder:</w:t>
      </w:r>
    </w:p>
    <w:p w14:paraId="1DBA1897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¿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Cómo evolucionaron los costos de construcción frente a la inflación?</w:t>
      </w:r>
    </w:p>
    <w:p w14:paraId="074E1075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¿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Cómo cambió la actividad constructiva?</w:t>
      </w:r>
    </w:p>
    <w:p w14:paraId="58DA0370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¿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Qué ocurrió con los precios de las propiedades?</w:t>
      </w:r>
    </w:p>
    <w:p w14:paraId="3EC2BC99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¿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Qué diferencias existen entre las comunas?</w:t>
      </w:r>
    </w:p>
    <w:p w14:paraId="4FCA1C69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¿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Qué relación puede observarse entre costos y precios?</w:t>
      </w:r>
    </w:p>
    <w:p w14:paraId="17B0D864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El objetivo es obtener una visión conjunta del sector mediante datos oficiales, sin establecer relaciones causales.</w:t>
      </w:r>
    </w:p>
    <w:p w14:paraId="766A2B8C" w14:textId="6FFFCE9C" w:rsidR="004C3D5F" w:rsidRPr="00E74AE5" w:rsidRDefault="00000000">
      <w:pPr>
        <w:pStyle w:val="Ttulo1"/>
        <w:spacing w:before="320" w:after="16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3. Datos</w:t>
      </w:r>
      <w:r w:rsidR="00E74AE5" w:rsidRPr="00E74AE5">
        <w:rPr>
          <w:rFonts w:ascii="Calibri" w:eastAsia="Calibri" w:hAnsi="Calibri" w:cs="Calibri"/>
          <w:b/>
          <w:bCs/>
          <w:color w:val="C45911" w:themeColor="accent2" w:themeShade="BF"/>
        </w:rPr>
        <w:t xml:space="preserve"> / </w:t>
      </w:r>
      <w:proofErr w:type="gramStart"/>
      <w:r w:rsidR="00E74AE5" w:rsidRPr="00E74AE5">
        <w:rPr>
          <w:rFonts w:ascii="Calibri" w:eastAsia="Calibri" w:hAnsi="Calibri" w:cs="Calibri"/>
          <w:b/>
          <w:bCs/>
          <w:color w:val="C45911" w:themeColor="accent2" w:themeShade="BF"/>
        </w:rPr>
        <w:t xml:space="preserve">fuentes </w:t>
      </w: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 xml:space="preserve"> y</w:t>
      </w:r>
      <w:proofErr w:type="gramEnd"/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 xml:space="preserve"> Metodología</w:t>
      </w:r>
    </w:p>
    <w:p w14:paraId="6215950A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Se utilizaron cuatro fuentes principales:</w:t>
      </w:r>
    </w:p>
    <w:p w14:paraId="71039226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IPCBA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: evolución del nivel general de precios.</w:t>
      </w:r>
    </w:p>
    <w:p w14:paraId="310A9CC3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ICC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: evolución del costo de construcción y sus componentes.</w:t>
      </w:r>
    </w:p>
    <w:p w14:paraId="7F2CC079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Permisos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de obra: permisos otorgados y superficie registrada.</w:t>
      </w:r>
    </w:p>
    <w:p w14:paraId="72E0E7C7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Precio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de departamentos: precios de publicación en USD/m² por comuna.</w:t>
      </w:r>
    </w:p>
    <w:p w14:paraId="3928A704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Los datos fueron revisados y cargados en PostgreSQL, donde se realizaron las transformaciones mediante SQL. Los resultados fueron posteriormente visualizados en Power BI Desktop.</w:t>
      </w:r>
    </w:p>
    <w:p w14:paraId="679C29AE" w14:textId="1C256241" w:rsidR="004C3D5F" w:rsidRDefault="00000000">
      <w:pPr>
        <w:spacing w:after="200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El análisis utiliza agregaciones, comparaciones interanuales e índices con base 2021 = 100. No se utilizaron modelos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 xml:space="preserve">predictivos </w:t>
      </w:r>
      <w:r w:rsidR="00E74AE5">
        <w:rPr>
          <w:rFonts w:ascii="Calibri" w:eastAsia="Calibri" w:hAnsi="Calibri" w:cs="Calibri"/>
          <w:color w:val="222222"/>
          <w:sz w:val="22"/>
          <w:szCs w:val="22"/>
        </w:rPr>
        <w:t>.</w:t>
      </w:r>
      <w:proofErr w:type="gramEnd"/>
    </w:p>
    <w:p w14:paraId="1ABC3FFC" w14:textId="77777777" w:rsidR="00E74AE5" w:rsidRDefault="00E74AE5">
      <w:pPr>
        <w:spacing w:after="200"/>
        <w:jc w:val="both"/>
      </w:pPr>
    </w:p>
    <w:p w14:paraId="6CF7E142" w14:textId="77777777" w:rsidR="004C3D5F" w:rsidRPr="00E74AE5" w:rsidRDefault="00000000">
      <w:pPr>
        <w:pStyle w:val="Ttulo1"/>
        <w:spacing w:before="320" w:after="16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lastRenderedPageBreak/>
        <w:t>4. Hallazgos Principales</w:t>
      </w:r>
    </w:p>
    <w:p w14:paraId="7C899423" w14:textId="77777777" w:rsidR="004C3D5F" w:rsidRPr="00E74AE5" w:rsidRDefault="00000000">
      <w:pPr>
        <w:pStyle w:val="Ttulo2"/>
        <w:spacing w:before="280" w:after="14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4.1 Costos de Construcción</w:t>
      </w:r>
    </w:p>
    <w:p w14:paraId="450509F6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Durante 2021–2025, el costo de construcción aumentó de forma nominal, pero lo hizo por debajo del nivel general de precios.</w:t>
      </w:r>
    </w:p>
    <w:p w14:paraId="6D5BF6F5" w14:textId="77777777" w:rsidR="004C3D5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9AA2961" wp14:editId="30023DF7">
            <wp:extent cx="5334000" cy="3057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F24" w14:textId="42EF554D" w:rsidR="004C3D5F" w:rsidRPr="00A25B72" w:rsidRDefault="00000000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</w:rPr>
      </w:pPr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>En 2025, el costo relativo se ubicó en 75,3, equivalente a una reducción relativa del 24,7% respecto de 2021</w:t>
      </w:r>
      <w:r w:rsidRPr="00A25B72">
        <w:rPr>
          <w:rFonts w:ascii="Calibri" w:eastAsia="Calibri" w:hAnsi="Calibri" w:cs="Calibri"/>
          <w:b/>
          <w:bCs/>
          <w:i/>
          <w:iCs/>
          <w:color w:val="222222"/>
        </w:rPr>
        <w:t>.</w:t>
      </w:r>
    </w:p>
    <w:p w14:paraId="4AD3A284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Los materiales también ganaron peso dentro de la estructura del ICC: en 2025 superaron a la mano de obra y a los gastos generales.</w:t>
      </w:r>
    </w:p>
    <w:p w14:paraId="340E8502" w14:textId="77777777" w:rsidR="004C3D5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10FEA65" wp14:editId="3AA01157">
            <wp:extent cx="5334000" cy="3057525"/>
            <wp:effectExtent l="0" t="0" r="0" b="0"/>
            <wp:docPr id="129088237" name="Imagen 129088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7ED0" w14:textId="72A851FF" w:rsidR="004C3D5F" w:rsidRDefault="00000000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</w:pPr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>La mano de obra fue el componente que más creció en términos porcentuales (+1.579% entre 2021 y 2025), aunque los materiales se mantienen como el rubro de mayor peso en pesos.</w:t>
      </w:r>
    </w:p>
    <w:p w14:paraId="525F8180" w14:textId="77777777" w:rsidR="00A25B72" w:rsidRPr="00A25B72" w:rsidRDefault="00A25B72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</w:pPr>
    </w:p>
    <w:p w14:paraId="4D27C781" w14:textId="77777777" w:rsidR="004C3D5F" w:rsidRPr="00E74AE5" w:rsidRDefault="00000000">
      <w:pPr>
        <w:pStyle w:val="Ttulo2"/>
        <w:spacing w:before="280" w:after="14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lastRenderedPageBreak/>
        <w:t>4.2 Actividad Constructiva</w:t>
      </w:r>
    </w:p>
    <w:p w14:paraId="0A1D86D2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La actividad constructiva mostró una fuerte caída entre 2021 y 2024. La superficie registrada pasó de 8,1 millones de m² a 3,5 millones de m², una baja del 57%. En 2025 se produjo una recuperación.</w:t>
      </w:r>
    </w:p>
    <w:p w14:paraId="29C9C96F" w14:textId="77777777" w:rsidR="004C3D5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9C5F89E" wp14:editId="2ADFA037">
            <wp:extent cx="5334000" cy="3057525"/>
            <wp:effectExtent l="0" t="0" r="0" b="0"/>
            <wp:docPr id="1041082589" name="Imagen 104108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0F9A" w14:textId="3E5E9A79" w:rsidR="004C3D5F" w:rsidRPr="00A25B72" w:rsidRDefault="00000000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</w:pPr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>En 2025 la superficie registrada aumentó 31,8% respecto de 2024, impulsada principalmente por la obra nueva.</w:t>
      </w:r>
    </w:p>
    <w:p w14:paraId="36CF503A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Dentro de esa superficie, la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multivivienda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domina ampliamente sobre el resto de los destinos de obra.</w:t>
      </w:r>
    </w:p>
    <w:p w14:paraId="4A458D46" w14:textId="77777777" w:rsidR="004C3D5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0121726" wp14:editId="310EFD59">
            <wp:extent cx="5334000" cy="3057525"/>
            <wp:effectExtent l="0" t="0" r="0" b="0"/>
            <wp:docPr id="1929905450" name="Imagen 192990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EAB7" w14:textId="4E58F118" w:rsidR="004C3D5F" w:rsidRPr="00A25B72" w:rsidRDefault="00000000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</w:pPr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 xml:space="preserve">Las tres categorías de </w:t>
      </w:r>
      <w:proofErr w:type="spellStart"/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>multivivienda</w:t>
      </w:r>
      <w:proofErr w:type="spellEnd"/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 xml:space="preserve"> concentran el 88% de toda la superficie registrada en 2025.</w:t>
      </w:r>
    </w:p>
    <w:p w14:paraId="6C59453F" w14:textId="77777777" w:rsidR="004C3D5F" w:rsidRPr="00E74AE5" w:rsidRDefault="00000000">
      <w:pPr>
        <w:pStyle w:val="Ttulo2"/>
        <w:spacing w:before="280" w:after="14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4.3 Mercado Inmobiliario</w:t>
      </w:r>
    </w:p>
    <w:p w14:paraId="37C268C4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Los precios de publicación en dólares por metro cuadrado permanecieron prácticamente estables durante el período.</w:t>
      </w:r>
    </w:p>
    <w:p w14:paraId="3839E9D1" w14:textId="77777777" w:rsidR="004C3D5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71A126E" wp14:editId="2E41CA4C">
            <wp:extent cx="5334000" cy="3057525"/>
            <wp:effectExtent l="0" t="0" r="0" b="0"/>
            <wp:docPr id="1469309469" name="Imagen 1469309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4368" w14:textId="4525F717" w:rsidR="004C3D5F" w:rsidRPr="00A25B72" w:rsidRDefault="00000000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</w:pPr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>La brecha entre a estrenar y usado se amplió con el tiempo: pasó de representar aproximadamente 26% en 2021 a cerca de 42% en 2025.</w:t>
      </w:r>
    </w:p>
    <w:p w14:paraId="21C7B9F6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Sin embargo, existen diferencias importantes entre comunas.</w:t>
      </w:r>
    </w:p>
    <w:p w14:paraId="0635C94B" w14:textId="77777777" w:rsidR="004C3D5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CFA9243" wp14:editId="23C9E736">
            <wp:extent cx="5334000" cy="3057525"/>
            <wp:effectExtent l="0" t="0" r="0" b="0"/>
            <wp:docPr id="1951517065" name="Imagen 1951517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6271" w14:textId="5C85113C" w:rsidR="004C3D5F" w:rsidRPr="00A25B72" w:rsidRDefault="00000000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</w:pPr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>La Comuna 14 presentó el mayor precio promedio (USD 3.466/m²), 2,6 veces el valor de la Comuna 8, la más baja del ranking.</w:t>
      </w:r>
    </w:p>
    <w:p w14:paraId="40894225" w14:textId="77777777" w:rsidR="004C3D5F" w:rsidRPr="00E74AE5" w:rsidRDefault="00000000">
      <w:pPr>
        <w:pStyle w:val="Ttulo2"/>
        <w:spacing w:before="280" w:after="14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4.4 Costos vs. Precios</w:t>
      </w:r>
    </w:p>
    <w:p w14:paraId="6CBB6F03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Para comparar ambas variables se utilizaron índices con base 2021 = 100.</w:t>
      </w:r>
    </w:p>
    <w:p w14:paraId="6D9EC3AB" w14:textId="77777777" w:rsidR="004C3D5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3B7D86A" wp14:editId="0EF60D2A">
            <wp:extent cx="5334000" cy="3057525"/>
            <wp:effectExtent l="0" t="0" r="0" b="0"/>
            <wp:docPr id="1925437646" name="Imagen 1925437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22A9" w14:textId="77F30981" w:rsidR="004C3D5F" w:rsidRPr="00A25B72" w:rsidRDefault="00000000" w:rsidP="00A25B72">
      <w:pPr>
        <w:spacing w:after="200"/>
        <w:jc w:val="center"/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</w:pPr>
      <w:r w:rsidRPr="00A25B72">
        <w:rPr>
          <w:rFonts w:ascii="Calibri" w:eastAsia="Calibri" w:hAnsi="Calibri" w:cs="Calibri"/>
          <w:b/>
          <w:bCs/>
          <w:i/>
          <w:iCs/>
          <w:color w:val="222222"/>
          <w:u w:val="single" w:color="C45911" w:themeColor="accent2" w:themeShade="BF"/>
        </w:rPr>
        <w:t>En 2025, el índice de costo fue 75,3 frente a un índice de precio de 100,7, una brecha de 25,4 puntos.</w:t>
      </w:r>
    </w:p>
    <w:p w14:paraId="05969BEB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Esta relación es descriptiva y no permite concluir que la rentabilidad de los proyectos haya aumentado.</w:t>
      </w:r>
    </w:p>
    <w:p w14:paraId="39284CAC" w14:textId="128D6AD3" w:rsidR="004C3D5F" w:rsidRPr="00E74AE5" w:rsidRDefault="00E74AE5">
      <w:pPr>
        <w:pStyle w:val="Ttulo1"/>
        <w:spacing w:before="320" w:after="160"/>
        <w:rPr>
          <w:rFonts w:ascii="Calibri" w:eastAsia="Calibri" w:hAnsi="Calibri" w:cs="Calibri"/>
          <w:b/>
          <w:bCs/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5. Conclusiones</w:t>
      </w:r>
    </w:p>
    <w:p w14:paraId="5A12338E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Entre 2021 y 2025, el sector mostró comportamientos diferentes según la variable analizada.</w:t>
      </w:r>
    </w:p>
    <w:p w14:paraId="0750BCF6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Los costos de construcción perdieron peso relativo frente al nivel general de precios, mientras que los materiales adquirieron mayor importancia dentro del ICC.</w:t>
      </w:r>
    </w:p>
    <w:p w14:paraId="3F6DCBD6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La actividad constructiva cayó durante varios años y mostró una recuperación significativa en 2025.</w:t>
      </w:r>
    </w:p>
    <w:p w14:paraId="7231997F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Por otro lado, los precios de publicación de departamentos en USD/m² permanecieron prácticamente estables en el promedio de CABA, aunque con diferencias importantes entre comunas.</w:t>
      </w:r>
    </w:p>
    <w:p w14:paraId="73DA8549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En conjunto, el análisis muestra que observar costos, actividad y precios de manera integrada permite obtener una visión más completa del sector que analizar cada indicador por separado.</w:t>
      </w:r>
    </w:p>
    <w:p w14:paraId="21382DF1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Los resultados son descriptivos y no permiten establecer causalidad ni medir directamente la rentabilidad de un proyecto inmobiliario.</w:t>
      </w:r>
    </w:p>
    <w:p w14:paraId="03474A1A" w14:textId="77777777" w:rsidR="004C3D5F" w:rsidRPr="00E74AE5" w:rsidRDefault="00000000">
      <w:pPr>
        <w:pStyle w:val="Ttulo1"/>
        <w:spacing w:before="320" w:after="160"/>
        <w:rPr>
          <w:rFonts w:ascii="Calibri" w:eastAsia="Calibri" w:hAnsi="Calibri" w:cs="Calibri"/>
          <w:b/>
          <w:bCs/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7. Limitaciones</w:t>
      </w:r>
    </w:p>
    <w:p w14:paraId="60F268DD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Los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precios inmobiliarios corresponden a precios de publicación, no de cierre.</w:t>
      </w:r>
    </w:p>
    <w:p w14:paraId="4EADC093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El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ICC no incluye terreno, financiamiento, impuestos ni margen del desarrollador.</w:t>
      </w:r>
    </w:p>
    <w:p w14:paraId="7AC1B385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Los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permisos representan actividad registrada, no necesariamente obras terminadas.</w:t>
      </w:r>
    </w:p>
    <w:p w14:paraId="7410F9A3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La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relación ICC/IPCBA es un indicador relativo y no una medida de rentabilidad.</w:t>
      </w:r>
    </w:p>
    <w:p w14:paraId="4A45DA06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Las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relaciones encontradas no permiten establecer causalidad.</w:t>
      </w:r>
    </w:p>
    <w:p w14:paraId="74CA0319" w14:textId="77777777" w:rsidR="004C3D5F" w:rsidRPr="00E74AE5" w:rsidRDefault="00000000">
      <w:pPr>
        <w:pStyle w:val="Ttulo1"/>
        <w:spacing w:before="320" w:after="160"/>
        <w:rPr>
          <w:color w:val="C45911" w:themeColor="accent2" w:themeShade="BF"/>
        </w:rPr>
      </w:pPr>
      <w:r w:rsidRPr="00E74AE5">
        <w:rPr>
          <w:rFonts w:ascii="Calibri" w:eastAsia="Calibri" w:hAnsi="Calibri" w:cs="Calibri"/>
          <w:b/>
          <w:bCs/>
          <w:color w:val="C45911" w:themeColor="accent2" w:themeShade="BF"/>
        </w:rPr>
        <w:t>8. Herramientas y Fuentes</w:t>
      </w:r>
    </w:p>
    <w:p w14:paraId="04E5DE02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 xml:space="preserve">Herramientas: Excel · PostgreSQL · SQL ·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pgAdmin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4 · Power BI Desktop</w:t>
      </w:r>
    </w:p>
    <w:p w14:paraId="01829306" w14:textId="77777777" w:rsidR="004C3D5F" w:rsidRDefault="00000000">
      <w:pPr>
        <w:spacing w:after="20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Fuentes: IDECBA /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DGEyC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-GCBA · Buenos Aires Data</w:t>
      </w:r>
    </w:p>
    <w:p w14:paraId="094F0BAC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IPCBA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: estadisticaciudad.gob.ar/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eyc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/banco-datos/ipcba-base-2021-100</w:t>
      </w:r>
    </w:p>
    <w:p w14:paraId="387F8BB2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ICC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: estadisticaciudad.gob.ar/eyc/categoria-banco-datos/indice-de-costo-de-la-construccion</w:t>
      </w:r>
    </w:p>
    <w:p w14:paraId="101EF236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Permisos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: estadisticaciudad.gob.ar/eyc/categoria-banco-datos/permisos-otorgados</w:t>
      </w:r>
    </w:p>
    <w:p w14:paraId="0E3EC8CD" w14:textId="77777777" w:rsidR="004C3D5F" w:rsidRDefault="00000000">
      <w:pPr>
        <w:spacing w:after="120"/>
        <w:ind w:left="30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●  Precios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inmobiliarios: data.buenosaires.gob.ar/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dataset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/mercado-inmobiliario</w:t>
      </w:r>
    </w:p>
    <w:sectPr w:rsidR="004C3D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3032"/>
    <w:multiLevelType w:val="hybridMultilevel"/>
    <w:tmpl w:val="36D4CE20"/>
    <w:lvl w:ilvl="0" w:tplc="47B8DDFE">
      <w:start w:val="1"/>
      <w:numFmt w:val="bullet"/>
      <w:lvlText w:val="●"/>
      <w:lvlJc w:val="left"/>
      <w:pPr>
        <w:ind w:left="720" w:hanging="360"/>
      </w:pPr>
    </w:lvl>
    <w:lvl w:ilvl="1" w:tplc="E9D640CA">
      <w:start w:val="1"/>
      <w:numFmt w:val="bullet"/>
      <w:lvlText w:val="○"/>
      <w:lvlJc w:val="left"/>
      <w:pPr>
        <w:ind w:left="1440" w:hanging="360"/>
      </w:pPr>
    </w:lvl>
    <w:lvl w:ilvl="2" w:tplc="E5B05480">
      <w:start w:val="1"/>
      <w:numFmt w:val="bullet"/>
      <w:lvlText w:val="■"/>
      <w:lvlJc w:val="left"/>
      <w:pPr>
        <w:ind w:left="2160" w:hanging="360"/>
      </w:pPr>
    </w:lvl>
    <w:lvl w:ilvl="3" w:tplc="3D488818">
      <w:start w:val="1"/>
      <w:numFmt w:val="bullet"/>
      <w:lvlText w:val="●"/>
      <w:lvlJc w:val="left"/>
      <w:pPr>
        <w:ind w:left="2880" w:hanging="360"/>
      </w:pPr>
    </w:lvl>
    <w:lvl w:ilvl="4" w:tplc="A37663D4">
      <w:start w:val="1"/>
      <w:numFmt w:val="bullet"/>
      <w:lvlText w:val="○"/>
      <w:lvlJc w:val="left"/>
      <w:pPr>
        <w:ind w:left="3600" w:hanging="360"/>
      </w:pPr>
    </w:lvl>
    <w:lvl w:ilvl="5" w:tplc="4316FC7E">
      <w:start w:val="1"/>
      <w:numFmt w:val="bullet"/>
      <w:lvlText w:val="■"/>
      <w:lvlJc w:val="left"/>
      <w:pPr>
        <w:ind w:left="4320" w:hanging="360"/>
      </w:pPr>
    </w:lvl>
    <w:lvl w:ilvl="6" w:tplc="F8569924">
      <w:start w:val="1"/>
      <w:numFmt w:val="bullet"/>
      <w:lvlText w:val="●"/>
      <w:lvlJc w:val="left"/>
      <w:pPr>
        <w:ind w:left="5040" w:hanging="360"/>
      </w:pPr>
    </w:lvl>
    <w:lvl w:ilvl="7" w:tplc="6CFEEF68">
      <w:start w:val="1"/>
      <w:numFmt w:val="bullet"/>
      <w:lvlText w:val="●"/>
      <w:lvlJc w:val="left"/>
      <w:pPr>
        <w:ind w:left="5760" w:hanging="360"/>
      </w:pPr>
    </w:lvl>
    <w:lvl w:ilvl="8" w:tplc="FFBC6A8A">
      <w:start w:val="1"/>
      <w:numFmt w:val="bullet"/>
      <w:lvlText w:val="●"/>
      <w:lvlJc w:val="left"/>
      <w:pPr>
        <w:ind w:left="6480" w:hanging="360"/>
      </w:pPr>
    </w:lvl>
  </w:abstractNum>
  <w:num w:numId="1" w16cid:durableId="527716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5F"/>
    <w:rsid w:val="004C3D5F"/>
    <w:rsid w:val="005E54FC"/>
    <w:rsid w:val="00A25B72"/>
    <w:rsid w:val="00D05861"/>
    <w:rsid w:val="00E7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E43B"/>
  <w15:docId w15:val="{4581C712-6A9B-4F23-91DE-0D20720D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06158-2905-44E7-AD29-94F69B5E6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912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Mateo Caporusso</cp:lastModifiedBy>
  <cp:revision>3</cp:revision>
  <dcterms:created xsi:type="dcterms:W3CDTF">2026-09-15T18:18:00Z</dcterms:created>
  <dcterms:modified xsi:type="dcterms:W3CDTF">2026-09-15T18:39:00Z</dcterms:modified>
</cp:coreProperties>
</file>