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Listado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Proyecto 7: IA Matemática — Cliente Triskeledu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Mateo Carrasco y Adolfo Cartes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4" w:sz="12" w:val="single"/>
        </w:pBdr>
        <w:spacing w:after="200" w:before="200" w:lineRule="auto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Vista de usuario: Alumno  (17 casos de uso)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Requerimiento(s) / 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Registrar cuenta de 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RF-01</w:t>
              <w:br/>
              <w:t>Precede a: CU-A3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Vincular cuenta con tutor mediante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RF-02, RF-21</w:t>
              <w:br/>
              <w:t>Requiere: CU-T3 · Registra el consentimiento parental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Gestionar perfil de 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Resolver ejercicio adaptativo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RF-04 a RF-09 (agrupa el flujo principal)</w:t>
              <w:br/>
              <w:t>Base · extiende: CU-A6, CU-A11, CU-A12 · incluye: CU-A7, CU-A9, CU-A10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Realizar diagnóstico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RF-04</w:t>
              <w:br/>
              <w:t>Extiende a CU-A5 · incluye: CU-A7, CU-A9, CU-A10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Generar ejercicio según 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RF-05</w:t>
              <w:br/>
              <w:t>Incluido por: CU-A5, CU-A6, CU-A8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Resolver ejercicio personalizado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RF-16 (lado alumno)</w:t>
              <w:br/>
              <w:t>Base · extiende: CU-A11, CU-A12 · incluye: CU-A9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Corregir respuesta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RF-06</w:t>
              <w:br/>
              <w:t>Incluido por: CU-A5, CU-A6, CU-A8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Actualizar nivel de dominio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RF-07</w:t>
              <w:br/>
              <w:t>Incluido por: CU-A5, CU-A6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Actualizar racha diaria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RF-08</w:t>
              <w:br/>
              <w:t>Extiende a CU-A5, CU-A8 · extendido por: CU-A13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Actualizar misiones y niveles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RF-09</w:t>
              <w:br/>
              <w:t>Extiende a CU-A5, CU-A8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Recibir notificación de racha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RF-10</w:t>
              <w:br/>
              <w:t>Extiende a CU-A11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Ver historial de ejercicios (propio)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Ver estadísticas de progreso (propio)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Usar aplicación sin conexión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RF-18</w:t>
              <w:br/>
              <w:t>Base · extendido por: CU-A17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Sincronizar progreso al recuperar conexión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RF-19</w:t>
              <w:br/>
              <w:t>Extiende a CU-A16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1f3864" w:space="4" w:sz="12" w:val="single"/>
        </w:pBdr>
        <w:spacing w:after="200" w:before="200" w:lineRule="auto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Vista de usuario: Tutor  (12 casos de uso)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Requerimiento(s) / 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Registrar cuenta de tutor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Generar código de vinculación para hijo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RF-02</w:t>
              <w:br/>
              <w:t>Habilita: CU-A3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Verificar identidad del adulto (PIN)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RNF-02 (PIN de control parental)</w:t>
              <w:br/>
              <w:t>Incluido por: CU-T5, CU-T8, CU-T10, CU-T11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Ver panel de control parental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RF-13</w:t>
              <w:br/>
              <w:t>Base · incluye: CU-T4, CU-T6, CU-T7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Ver historial de ejercicios del hijo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RF-11</w:t>
              <w:br/>
              <w:t>Incluido por: CU-T5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Ver estadísticas de progreso del hijo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RF-12</w:t>
              <w:br/>
              <w:t>Incluido por: CU-T5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Crear ejercicio personalizado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RF-14</w:t>
              <w:br/>
              <w:t>Base · incluye: CU-T4, CU-T9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Seleccionar alternativa correcta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RF-15</w:t>
              <w:br/>
              <w:t>Incluido por: CU-T8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Editar ejercicio personalizado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RF-17 (parte)</w:t>
              <w:br/>
              <w:t>Base · incluye: CU-T4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Eliminar ejercicio personalizado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RF-17 (parte)</w:t>
              <w:br/>
              <w:t>Base · incluye: CU-T4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Ver resultado de ejercicio personalizado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RF-16 (lado tutor)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before="28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Total: 29 casos de uso (17 Alumno + 12 Tutor).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80" w:lineRule="auto"/>
        <w:rPr/>
      </w:pPr>
      <w:r w:rsidDel="00000000" w:rsidR="00000000" w:rsidRPr="00000000">
        <w:rPr>
          <w:b/>
          <w:bCs w:val="1"/>
          <w:color w:val="1f3864"/>
          <w:sz w:val="22"/>
          <w:szCs w:val="22"/>
          <w:rtl w:val="0"/>
        </w:rPr>
        <w:t>Trazabilidad con la Lista de Requerimientos (v3.0, RF-01 a RF-26)</w:t>
      </w:r>
    </w:p>
    <w:p w:rsidR="00000000" w:rsidDel="00000000" w:rsidP="00000000" w:rsidRDefault="00000000" w:rsidRPr="00000000" w14:paraId="00000083">
      <w:pPr>
        <w:spacing w:before="280" w:lineRule="auto"/>
        <w:rPr/>
      </w:pPr>
      <w:r w:rsidDel="00000000" w:rsidR="00000000" w:rsidRPr="00000000">
        <w:rPr>
          <w:b w:val="0"/>
          <w:bCs w:val="1"/>
          <w:color w:val="1f3864"/>
          <w:sz w:val="22"/>
          <w:szCs w:val="22"/>
          <w:rtl w:val="0"/>
        </w:rPr>
        <w:t>Los 29 casos de uso cubren los requerimientos RF-01 a RF-19 y RF-21. Los requerimientos RF-20 (mascota virtual), RF-22 (cierre de sesión), RF-23 (recuperación de contraseña), RF-24 (eliminación de cuenta y datos) y RF-25 (resolución de conflictos de sincronización) no tienen un caso de uso propio en esta Fase 1: RF-20 y RF-25 son comportamientos del sistema derivados de CU-A11, CU-A12 y CU-A17, y RF-22, RF-23 y RF-24 corresponden al ciclo de vida de la cuenta, cuyo modelado se incorporará en la Fase 2 junto con RF-26 (exportación). Se deja declarada la brecha para no presentar una trazabilidad aparente que no existe.</w:t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