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after="0"/>
      </w:pPr>
    </w:p>
    <w:p>
      <w:pPr>
        <w:spacing w:after="0"/>
      </w:pPr>
    </w:p>
    <w:p>
      <w:pPr>
        <w:spacing w:after="120"/>
        <w:jc w:val="center"/>
      </w:pPr>
      <w:r>
        <w:rPr>
          <w:rFonts w:ascii="Calibri" w:cs="Calibri" w:eastAsia="Calibri" w:hAnsi="Calibri"/>
          <w:b/>
          <w:bCs/>
          <w:color w:val="1F3864"/>
          <w:sz w:val="22"/>
          <w:szCs w:val="22"/>
        </w:rPr>
        <w:t xml:space="preserve">DUOC UC · ESCUELA DE INFORMÁTICA Y TELECOMUNICACIONES</w:t>
      </w:r>
    </w:p>
    <w:p>
      <w:pPr>
        <w:spacing w:after="600"/>
        <w:jc w:val="center"/>
      </w:pPr>
      <w:r>
        <w:rPr>
          <w:rFonts w:ascii="Calibri" w:cs="Calibri" w:eastAsia="Calibri" w:hAnsi="Calibri"/>
          <w:sz w:val="22"/>
          <w:szCs w:val="22"/>
        </w:rPr>
        <w:t xml:space="preserve">Sede Padre Alonso de Ovalle · Ingeniería en Informática</w:t>
      </w:r>
    </w:p>
    <w:p>
      <w:pPr>
        <w:spacing w:after="100"/>
        <w:jc w:val="center"/>
      </w:pPr>
      <w:r>
        <w:rPr>
          <w:rFonts w:ascii="Calibri" w:cs="Calibri" w:eastAsia="Calibri" w:hAnsi="Calibri"/>
          <w:b/>
          <w:bCs/>
          <w:color w:val="1F3864"/>
          <w:sz w:val="52"/>
          <w:szCs w:val="52"/>
        </w:rPr>
        <w:t xml:space="preserve">PROYECTO 7: IA MATEMÁTICA</w:t>
      </w:r>
    </w:p>
    <w:p>
      <w:pPr>
        <w:spacing w:after="500"/>
        <w:jc w:val="center"/>
      </w:pPr>
      <w:r>
        <w:rPr>
          <w:rFonts w:ascii="Calibri" w:cs="Calibri" w:eastAsia="Calibri" w:hAnsi="Calibri"/>
          <w:i/>
          <w:iCs/>
          <w:sz w:val="28"/>
          <w:szCs w:val="28"/>
        </w:rPr>
        <w:t xml:space="preserve">Informe formativo de definición del Proyecto APT — Fase 1</w:t>
      </w:r>
    </w:p>
    <w:p>
      <w:pPr>
        <w:pBdr>
          <w:top w:val="single" w:color="1F3864" w:sz="6" w:space="10"/>
        </w:pBdr>
        <w:spacing w:after="700"/>
        <w:jc w:val="center"/>
      </w:pPr>
      <w:r>
        <w:rPr>
          <w:rFonts w:ascii="Calibri" w:cs="Calibri" w:eastAsia="Calibri" w:hAnsi="Calibri"/>
          <w:sz w:val="24"/>
          <w:szCs w:val="24"/>
        </w:rPr>
        <w:t xml:space="preserve">Cliente: Triskeledu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tblGrid>
      <w:tr>
        <w:trPr>
          <w:tblHeader/>
        </w:trPr>
        <w:tc>
          <w:tcPr>
            <w:tcW w:type="dxa" w:w="26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default">Antecedente</w:t>
            </w:r>
          </w:p>
        </w:tc>
        <w:tc>
          <w:tcPr>
            <w:tcW w:type="dxa" w:w="54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default">Detalle</w:t>
            </w:r>
          </w:p>
        </w:tc>
      </w:tr>
      <w:tr>
        <w:trPr>
          <w:tblHeader w:val="false"/>
        </w:trPr>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Asignatura</w:t>
            </w:r>
          </w:p>
        </w:tc>
        <w:tc>
          <w:tcPr>
            <w:tcW w:type="dxa" w:w="54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Capstone (PTY4614)</w:t>
            </w:r>
          </w:p>
        </w:tc>
      </w:tr>
      <w:tr>
        <w:trPr>
          <w:tblHeader w:val="false"/>
        </w:trPr>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Evaluación</w:t>
            </w:r>
          </w:p>
        </w:tc>
        <w:tc>
          <w:tcPr>
            <w:tcW w:type="dxa" w:w="54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1.4 Formativa Definición Proyecto APT — Fase 1 (sin ponderación)</w:t>
            </w:r>
          </w:p>
        </w:tc>
      </w:tr>
      <w:tr>
        <w:trPr>
          <w:tblHeader w:val="false"/>
        </w:trPr>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Agente evaluativo</w:t>
            </w:r>
          </w:p>
        </w:tc>
        <w:tc>
          <w:tcPr>
            <w:tcW w:type="dxa" w:w="5400"/>
            <w:tcMar>
              <w:top w:type="dxa" w:w="80"/>
              <w:left w:type="dxa" w:w="110"/>
              <w:bottom w:type="dxa" w:w="80"/>
              <w:right w:type="dxa" w:w="110"/>
            </w:tcMar>
          </w:tcPr>
          <w:p>
            <w:pPr>
              <w:spacing w:after="0" w:line="240"/>
              <w:jc w:val="left"/>
            </w:pPr>
            <w:r>
              <w:rPr>
                <w:rFonts w:ascii="Calibri" w:cs="Calibri" w:eastAsia="Calibri" w:hAnsi="Calibri"/>
                <w:sz w:val="20"/>
                <w:szCs w:val="20"/>
              </w:rPr>
              <w:t xml:space="preserve">Heteroevaluación</w:t>
            </w:r>
          </w:p>
        </w:tc>
      </w:tr>
      <w:tr>
        <w:trPr>
          <w:tblHeader w:val="false"/>
        </w:trPr>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Integrantes</w:t>
            </w:r>
          </w:p>
        </w:tc>
        <w:tc>
          <w:tcPr>
            <w:tcW w:type="dxa" w:w="54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Mateo Andrés Carrasco Flores · Adolfo Andrés Cartes Canales</w:t>
            </w:r>
          </w:p>
        </w:tc>
      </w:tr>
      <w:tr>
        <w:trPr>
          <w:tblHeader w:val="false"/>
        </w:trPr>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Docente</w:t>
            </w:r>
          </w:p>
        </w:tc>
        <w:tc>
          <w:tcPr>
            <w:tcW w:type="dxa" w:w="54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Arturo Vargas</w:t>
            </w:r>
          </w:p>
        </w:tc>
      </w:tr>
      <w:tr>
        <w:trPr>
          <w:tblHeader w:val="false"/>
        </w:trPr>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Fecha de entrega</w:t>
            </w:r>
          </w:p>
        </w:tc>
        <w:tc>
          <w:tcPr>
            <w:tcW w:type="dxa" w:w="54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12 de septiembre de 2026</w:t>
            </w:r>
          </w:p>
        </w:tc>
      </w:tr>
    </w:tbl>
    <w:p>
      <w:r>
        <w:br w:type="page"/>
      </w:r>
    </w:p>
    <w:p>
      <w:pPr>
        <w:pStyle w:val="Heading1"/>
        <w:spacing w:after="200" w:before="320" w:line="360"/>
      </w:pPr>
      <w:r>
        <w:rPr>
          <w:rFonts w:ascii="Calibri" w:cs="Calibri" w:eastAsia="Calibri" w:hAnsi="Calibri"/>
          <w:b/>
          <w:bCs/>
          <w:color w:val="1F3864"/>
          <w:sz w:val="30"/>
          <w:szCs w:val="30"/>
        </w:rPr>
        <w:t xml:space="preserve">Índice</w:t>
      </w:r>
    </w:p>
    <w:p>
      <w:pPr>
        <w:tabs>
          <w:tab w:val="right" w:pos="9026" w:leader="dot"/>
        </w:tabs>
        <w:spacing w:after="60" w:line="360"/>
        <w:ind w:left="0"/>
      </w:pPr>
      <w:r>
        <w:rPr>
          <w:rFonts w:ascii="Calibri" w:cs="Calibri" w:eastAsia="Calibri" w:hAnsi="Calibri"/>
          <w:b/>
          <w:bCs/>
          <w:sz w:val="22"/>
          <w:szCs w:val="22"/>
        </w:rPr>
        <w:t xml:space="preserve">Resumen</w:t>
      </w:r>
      <w:r>
        <w:rPr>
          <w:rFonts w:ascii="Calibri" w:cs="Calibri" w:eastAsia="Calibri" w:hAnsi="Calibri"/>
          <w:sz w:val="22"/>
          <w:szCs w:val="22"/>
        </w:rPr>
        <w:tab/>
      </w:r>
      <w:r>
        <w:rPr>
          <w:rFonts w:ascii="Calibri" w:cs="Calibri" w:eastAsia="Calibri" w:hAnsi="Calibri"/>
          <w:b/>
          <w:bCs/>
          <w:sz w:val="22"/>
          <w:szCs w:val="22"/>
        </w:rPr>
        <w:t xml:space="preserve">3</w:t>
      </w:r>
    </w:p>
    <w:p>
      <w:pPr>
        <w:tabs>
          <w:tab w:val="right" w:pos="9026" w:leader="dot"/>
        </w:tabs>
        <w:spacing w:after="60" w:line="360"/>
        <w:ind w:left="0"/>
      </w:pPr>
      <w:r>
        <w:rPr>
          <w:rFonts w:ascii="Calibri" w:cs="Calibri" w:eastAsia="Calibri" w:hAnsi="Calibri"/>
          <w:b/>
          <w:bCs/>
          <w:sz w:val="22"/>
          <w:szCs w:val="22"/>
        </w:rPr>
        <w:t xml:space="preserve">Desarrollo de ingeniería</w:t>
      </w:r>
      <w:r>
        <w:rPr>
          <w:rFonts w:ascii="Calibri" w:cs="Calibri" w:eastAsia="Calibri" w:hAnsi="Calibri"/>
          <w:sz w:val="22"/>
          <w:szCs w:val="22"/>
        </w:rPr>
        <w:tab/>
      </w:r>
      <w:r>
        <w:rPr>
          <w:rFonts w:ascii="Calibri" w:cs="Calibri" w:eastAsia="Calibri" w:hAnsi="Calibri"/>
          <w:b/>
          <w:bCs/>
          <w:sz w:val="22"/>
          <w:szCs w:val="22"/>
        </w:rPr>
        <w:t xml:space="preserve">4</w:t>
      </w:r>
    </w:p>
    <w:p>
      <w:pPr>
        <w:tabs>
          <w:tab w:val="right" w:pos="9026" w:leader="dot"/>
        </w:tabs>
        <w:spacing w:after="40" w:line="360"/>
        <w:ind w:left="431"/>
      </w:pPr>
      <w:r>
        <w:rPr>
          <w:rFonts w:ascii="Calibri" w:cs="Calibri" w:eastAsia="Calibri" w:hAnsi="Calibri"/>
          <w:b w:val="false"/>
          <w:bCs w:val="false"/>
          <w:sz w:val="22"/>
          <w:szCs w:val="22"/>
        </w:rPr>
        <w:t xml:space="preserve">1. Descripción del Proyecto APT y justificación de su relevancia</w:t>
      </w:r>
      <w:r>
        <w:rPr>
          <w:rFonts w:ascii="Calibri" w:cs="Calibri" w:eastAsia="Calibri" w:hAnsi="Calibri"/>
          <w:sz w:val="22"/>
          <w:szCs w:val="22"/>
        </w:rPr>
        <w:tab/>
      </w:r>
      <w:r>
        <w:rPr>
          <w:rFonts w:ascii="Calibri" w:cs="Calibri" w:eastAsia="Calibri" w:hAnsi="Calibri"/>
          <w:b w:val="false"/>
          <w:bCs w:val="false"/>
          <w:sz w:val="22"/>
          <w:szCs w:val="22"/>
        </w:rPr>
        <w:t xml:space="preserve">4</w:t>
      </w:r>
    </w:p>
    <w:p>
      <w:pPr>
        <w:tabs>
          <w:tab w:val="right" w:pos="9026" w:leader="dot"/>
        </w:tabs>
        <w:spacing w:after="40" w:line="360"/>
        <w:ind w:left="431"/>
      </w:pPr>
      <w:r>
        <w:rPr>
          <w:rFonts w:ascii="Calibri" w:cs="Calibri" w:eastAsia="Calibri" w:hAnsi="Calibri"/>
          <w:b w:val="false"/>
          <w:bCs w:val="false"/>
          <w:sz w:val="22"/>
          <w:szCs w:val="22"/>
        </w:rPr>
        <w:t xml:space="preserve">2. Relación del Proyecto APT con las competencias del perfil de egreso</w:t>
      </w:r>
      <w:r>
        <w:rPr>
          <w:rFonts w:ascii="Calibri" w:cs="Calibri" w:eastAsia="Calibri" w:hAnsi="Calibri"/>
          <w:sz w:val="22"/>
          <w:szCs w:val="22"/>
        </w:rPr>
        <w:tab/>
      </w:r>
      <w:r>
        <w:rPr>
          <w:rFonts w:ascii="Calibri" w:cs="Calibri" w:eastAsia="Calibri" w:hAnsi="Calibri"/>
          <w:b w:val="false"/>
          <w:bCs w:val="false"/>
          <w:sz w:val="22"/>
          <w:szCs w:val="22"/>
        </w:rPr>
        <w:t xml:space="preserve">5</w:t>
      </w:r>
    </w:p>
    <w:p>
      <w:pPr>
        <w:tabs>
          <w:tab w:val="right" w:pos="9026" w:leader="dot"/>
        </w:tabs>
        <w:spacing w:after="40" w:line="360"/>
        <w:ind w:left="431"/>
      </w:pPr>
      <w:r>
        <w:rPr>
          <w:rFonts w:ascii="Calibri" w:cs="Calibri" w:eastAsia="Calibri" w:hAnsi="Calibri"/>
          <w:b w:val="false"/>
          <w:bCs w:val="false"/>
          <w:sz w:val="22"/>
          <w:szCs w:val="22"/>
        </w:rPr>
        <w:t xml:space="preserve">3. Relación del Proyecto APT con los intereses profesionales del equipo</w:t>
      </w:r>
      <w:r>
        <w:rPr>
          <w:rFonts w:ascii="Calibri" w:cs="Calibri" w:eastAsia="Calibri" w:hAnsi="Calibri"/>
          <w:sz w:val="22"/>
          <w:szCs w:val="22"/>
        </w:rPr>
        <w:tab/>
      </w:r>
      <w:r>
        <w:rPr>
          <w:rFonts w:ascii="Calibri" w:cs="Calibri" w:eastAsia="Calibri" w:hAnsi="Calibri"/>
          <w:b w:val="false"/>
          <w:bCs w:val="false"/>
          <w:sz w:val="22"/>
          <w:szCs w:val="22"/>
        </w:rPr>
        <w:t xml:space="preserve">6</w:t>
      </w:r>
    </w:p>
    <w:p>
      <w:pPr>
        <w:tabs>
          <w:tab w:val="right" w:pos="9026" w:leader="dot"/>
        </w:tabs>
        <w:spacing w:after="40" w:line="360"/>
        <w:ind w:left="431"/>
      </w:pPr>
      <w:r>
        <w:rPr>
          <w:rFonts w:ascii="Calibri" w:cs="Calibri" w:eastAsia="Calibri" w:hAnsi="Calibri"/>
          <w:b w:val="false"/>
          <w:bCs w:val="false"/>
          <w:sz w:val="22"/>
          <w:szCs w:val="22"/>
        </w:rPr>
        <w:t xml:space="preserve">4. Factibilidad del proyecto en el marco de la asignatura</w:t>
      </w:r>
      <w:r>
        <w:rPr>
          <w:rFonts w:ascii="Calibri" w:cs="Calibri" w:eastAsia="Calibri" w:hAnsi="Calibri"/>
          <w:sz w:val="22"/>
          <w:szCs w:val="22"/>
        </w:rPr>
        <w:tab/>
      </w:r>
      <w:r>
        <w:rPr>
          <w:rFonts w:ascii="Calibri" w:cs="Calibri" w:eastAsia="Calibri" w:hAnsi="Calibri"/>
          <w:b w:val="false"/>
          <w:bCs w:val="false"/>
          <w:sz w:val="22"/>
          <w:szCs w:val="22"/>
        </w:rPr>
        <w:t xml:space="preserve">6</w:t>
      </w:r>
    </w:p>
    <w:p>
      <w:pPr>
        <w:tabs>
          <w:tab w:val="right" w:pos="9026" w:leader="dot"/>
        </w:tabs>
        <w:spacing w:after="40" w:line="360"/>
        <w:ind w:left="431"/>
      </w:pPr>
      <w:r>
        <w:rPr>
          <w:rFonts w:ascii="Calibri" w:cs="Calibri" w:eastAsia="Calibri" w:hAnsi="Calibri"/>
          <w:b w:val="false"/>
          <w:bCs w:val="false"/>
          <w:sz w:val="22"/>
          <w:szCs w:val="22"/>
        </w:rPr>
        <w:t xml:space="preserve">5. Indicadores de calidad disciplinarios en la definición del proyecto</w:t>
      </w:r>
      <w:r>
        <w:rPr>
          <w:rFonts w:ascii="Calibri" w:cs="Calibri" w:eastAsia="Calibri" w:hAnsi="Calibri"/>
          <w:sz w:val="22"/>
          <w:szCs w:val="22"/>
        </w:rPr>
        <w:tab/>
      </w:r>
      <w:r>
        <w:rPr>
          <w:rFonts w:ascii="Calibri" w:cs="Calibri" w:eastAsia="Calibri" w:hAnsi="Calibri"/>
          <w:b w:val="false"/>
          <w:bCs w:val="false"/>
          <w:sz w:val="22"/>
          <w:szCs w:val="22"/>
        </w:rPr>
        <w:t xml:space="preserve">7</w:t>
      </w:r>
    </w:p>
    <w:p>
      <w:pPr>
        <w:tabs>
          <w:tab w:val="right" w:pos="9026" w:leader="dot"/>
        </w:tabs>
        <w:spacing w:after="60" w:line="360"/>
        <w:ind w:left="0"/>
      </w:pPr>
      <w:r>
        <w:rPr>
          <w:rFonts w:ascii="Calibri" w:cs="Calibri" w:eastAsia="Calibri" w:hAnsi="Calibri"/>
          <w:b/>
          <w:bCs/>
          <w:sz w:val="22"/>
          <w:szCs w:val="22"/>
        </w:rPr>
        <w:t xml:space="preserve">Conclusiones individuales</w:t>
      </w:r>
      <w:r>
        <w:rPr>
          <w:rFonts w:ascii="Calibri" w:cs="Calibri" w:eastAsia="Calibri" w:hAnsi="Calibri"/>
          <w:sz w:val="22"/>
          <w:szCs w:val="22"/>
        </w:rPr>
        <w:tab/>
      </w:r>
      <w:r>
        <w:rPr>
          <w:rFonts w:ascii="Calibri" w:cs="Calibri" w:eastAsia="Calibri" w:hAnsi="Calibri"/>
          <w:b/>
          <w:bCs/>
          <w:sz w:val="22"/>
          <w:szCs w:val="22"/>
        </w:rPr>
        <w:t xml:space="preserve">9</w:t>
      </w:r>
    </w:p>
    <w:p>
      <w:pPr>
        <w:tabs>
          <w:tab w:val="right" w:pos="9026" w:leader="dot"/>
        </w:tabs>
        <w:spacing w:after="40" w:line="360"/>
        <w:ind w:left="431"/>
      </w:pPr>
      <w:r>
        <w:rPr>
          <w:rFonts w:ascii="Calibri" w:cs="Calibri" w:eastAsia="Calibri" w:hAnsi="Calibri"/>
          <w:b w:val="false"/>
          <w:bCs w:val="false"/>
          <w:sz w:val="22"/>
          <w:szCs w:val="22"/>
        </w:rPr>
        <w:t xml:space="preserve">Mateo Carrasco — Analista de Requerimientos y QA</w:t>
      </w:r>
      <w:r>
        <w:rPr>
          <w:rFonts w:ascii="Calibri" w:cs="Calibri" w:eastAsia="Calibri" w:hAnsi="Calibri"/>
          <w:sz w:val="22"/>
          <w:szCs w:val="22"/>
        </w:rPr>
        <w:tab/>
      </w:r>
      <w:r>
        <w:rPr>
          <w:rFonts w:ascii="Calibri" w:cs="Calibri" w:eastAsia="Calibri" w:hAnsi="Calibri"/>
          <w:b w:val="false"/>
          <w:bCs w:val="false"/>
          <w:sz w:val="22"/>
          <w:szCs w:val="22"/>
        </w:rPr>
        <w:t xml:space="preserve">9</w:t>
      </w:r>
    </w:p>
    <w:p>
      <w:pPr>
        <w:tabs>
          <w:tab w:val="right" w:pos="9026" w:leader="dot"/>
        </w:tabs>
        <w:spacing w:after="40" w:line="360"/>
        <w:ind w:left="431"/>
      </w:pPr>
      <w:r>
        <w:rPr>
          <w:rFonts w:ascii="Calibri" w:cs="Calibri" w:eastAsia="Calibri" w:hAnsi="Calibri"/>
          <w:b w:val="false"/>
          <w:bCs w:val="false"/>
          <w:sz w:val="22"/>
          <w:szCs w:val="22"/>
        </w:rPr>
        <w:t xml:space="preserve">Adolfo Cartes — Jefe de Proyecto y Desarrollador</w:t>
      </w:r>
      <w:r>
        <w:rPr>
          <w:rFonts w:ascii="Calibri" w:cs="Calibri" w:eastAsia="Calibri" w:hAnsi="Calibri"/>
          <w:sz w:val="22"/>
          <w:szCs w:val="22"/>
        </w:rPr>
        <w:tab/>
      </w:r>
      <w:r>
        <w:rPr>
          <w:rFonts w:ascii="Calibri" w:cs="Calibri" w:eastAsia="Calibri" w:hAnsi="Calibri"/>
          <w:b w:val="false"/>
          <w:bCs w:val="false"/>
          <w:sz w:val="22"/>
          <w:szCs w:val="22"/>
        </w:rPr>
        <w:t xml:space="preserve">9</w:t>
      </w:r>
    </w:p>
    <w:p>
      <w:pPr>
        <w:tabs>
          <w:tab w:val="right" w:pos="9026" w:leader="dot"/>
        </w:tabs>
        <w:spacing w:after="60" w:line="360"/>
        <w:ind w:left="0"/>
      </w:pPr>
      <w:r>
        <w:rPr>
          <w:rFonts w:ascii="Calibri" w:cs="Calibri" w:eastAsia="Calibri" w:hAnsi="Calibri"/>
          <w:b/>
          <w:bCs/>
          <w:sz w:val="22"/>
          <w:szCs w:val="22"/>
        </w:rPr>
        <w:t xml:space="preserve">Reflexión</w:t>
      </w:r>
      <w:r>
        <w:rPr>
          <w:rFonts w:ascii="Calibri" w:cs="Calibri" w:eastAsia="Calibri" w:hAnsi="Calibri"/>
          <w:sz w:val="22"/>
          <w:szCs w:val="22"/>
        </w:rPr>
        <w:tab/>
      </w:r>
      <w:r>
        <w:rPr>
          <w:rFonts w:ascii="Calibri" w:cs="Calibri" w:eastAsia="Calibri" w:hAnsi="Calibri"/>
          <w:b/>
          <w:bCs/>
          <w:sz w:val="22"/>
          <w:szCs w:val="22"/>
        </w:rPr>
        <w:t xml:space="preserve">11</w:t>
      </w:r>
    </w:p>
    <w:p>
      <w:pPr>
        <w:tabs>
          <w:tab w:val="right" w:pos="9026" w:leader="dot"/>
        </w:tabs>
        <w:spacing w:after="60" w:line="360"/>
        <w:ind w:left="0"/>
      </w:pPr>
      <w:r>
        <w:rPr>
          <w:rFonts w:ascii="Calibri" w:cs="Calibri" w:eastAsia="Calibri" w:hAnsi="Calibri"/>
          <w:b/>
          <w:bCs/>
          <w:sz w:val="22"/>
          <w:szCs w:val="22"/>
        </w:rPr>
        <w:t xml:space="preserve">Referencias bibliográficas</w:t>
      </w:r>
      <w:r>
        <w:rPr>
          <w:rFonts w:ascii="Calibri" w:cs="Calibri" w:eastAsia="Calibri" w:hAnsi="Calibri"/>
          <w:sz w:val="22"/>
          <w:szCs w:val="22"/>
        </w:rPr>
        <w:tab/>
      </w:r>
      <w:r>
        <w:rPr>
          <w:rFonts w:ascii="Calibri" w:cs="Calibri" w:eastAsia="Calibri" w:hAnsi="Calibri"/>
          <w:b/>
          <w:bCs/>
          <w:sz w:val="22"/>
          <w:szCs w:val="22"/>
        </w:rPr>
        <w:t xml:space="preserve">12</w:t>
      </w:r>
    </w:p>
    <w:p>
      <w:pPr>
        <w:tabs>
          <w:tab w:val="right" w:pos="9026" w:leader="dot"/>
        </w:tabs>
        <w:spacing w:after="60" w:line="360"/>
        <w:ind w:left="0"/>
      </w:pPr>
      <w:r>
        <w:rPr>
          <w:rFonts w:ascii="Calibri" w:cs="Calibri" w:eastAsia="Calibri" w:hAnsi="Calibri"/>
          <w:b/>
          <w:bCs/>
          <w:sz w:val="22"/>
          <w:szCs w:val="22"/>
        </w:rPr>
        <w:t xml:space="preserve">Anexo de evidencia</w:t>
      </w:r>
      <w:r>
        <w:rPr>
          <w:rFonts w:ascii="Calibri" w:cs="Calibri" w:eastAsia="Calibri" w:hAnsi="Calibri"/>
          <w:sz w:val="22"/>
          <w:szCs w:val="22"/>
        </w:rPr>
        <w:tab/>
      </w:r>
      <w:r>
        <w:rPr>
          <w:rFonts w:ascii="Calibri" w:cs="Calibri" w:eastAsia="Calibri" w:hAnsi="Calibri"/>
          <w:b/>
          <w:bCs/>
          <w:sz w:val="22"/>
          <w:szCs w:val="22"/>
        </w:rPr>
        <w:t xml:space="preserve">13</w:t>
      </w:r>
    </w:p>
    <w:p>
      <w:r>
        <w:br w:type="page"/>
      </w:r>
    </w:p>
    <w:p>
      <w:pPr>
        <w:pStyle w:val="Heading1"/>
        <w:spacing w:after="200" w:before="320" w:line="360"/>
      </w:pPr>
      <w:r>
        <w:rPr>
          <w:rFonts w:ascii="Calibri" w:cs="Calibri" w:eastAsia="Calibri" w:hAnsi="Calibri"/>
          <w:b/>
          <w:bCs/>
          <w:color w:val="1F3864"/>
          <w:sz w:val="30"/>
          <w:szCs w:val="30"/>
        </w:rPr>
        <w:t xml:space="preserve">Resumen</w:t>
      </w:r>
    </w:p>
    <w:p>
      <w:pPr>
        <w:spacing w:after="160" w:line="360"/>
        <w:jc w:val="both"/>
      </w:pPr>
      <w:r>
        <w:rPr>
          <w:rFonts w:ascii="Calibri" w:cs="Calibri" w:eastAsia="Calibri" w:hAnsi="Calibri"/>
          <w:sz w:val="22"/>
          <w:szCs w:val="22"/>
        </w:rPr>
        <w:t xml:space="preserve">La educación matemática en la enseñanza básica chilena presenta una brecha medida y persistente. Los resultados PISA 2025, publicados el 8 de septiembre de 2026, sitúan a Chile en 403 puntos en matemática frente a un promedio OCDE de 463, con un 59% de los estudiantes de quince años que no alcanza el nivel básico de competencia. Los resultados Simce 2024 muestran el mismo fenómeno desde dentro: 4° básico alcanzó su mayor registro histórico con 264 puntos, mientras 6° básico cayó a 245. La brecha no se abre porque los niños no puedan aprender, sino porque el curso avanza a un único ritmo y la retroalimentación de los ejercicios llega tarde.</w:t>
      </w:r>
    </w:p>
    <w:p>
      <w:pPr>
        <w:spacing w:after="160" w:line="360"/>
        <w:jc w:val="both"/>
      </w:pPr>
      <w:r>
        <w:rPr>
          <w:rFonts w:ascii="Calibri" w:cs="Calibri" w:eastAsia="Calibri" w:hAnsi="Calibri"/>
          <w:sz w:val="22"/>
          <w:szCs w:val="22"/>
        </w:rPr>
        <w:t xml:space="preserve">Este informe presenta IA Matemática, la definición de Fase 1 del Proyecto APT desarrollado por Mateo Carrasco y Adolfo Cartes para el cliente Triskeledu. La solución propuesta es una aplicación móvil que combina la lógica de progresión del método Kumon con inteligencia artificial, organizada en cinco módulos: un motor de dominio que modela el nivel de cada alumno por habilidad matemática, un proveedor de ejercicios en dos capas, un motor de corrección local, un motor de engagement basado en rachas, misiones y una mascota virtual, y un panel de control parental que además permite al tutor crear ejercicios personalizados.</w:t>
      </w:r>
    </w:p>
    <w:p>
      <w:pPr>
        <w:spacing w:after="160" w:line="360"/>
        <w:jc w:val="both"/>
      </w:pPr>
      <w:r>
        <w:rPr>
          <w:rFonts w:ascii="Calibri" w:cs="Calibri" w:eastAsia="Calibri" w:hAnsi="Calibri"/>
          <w:sz w:val="22"/>
          <w:szCs w:val="22"/>
        </w:rPr>
        <w:t xml:space="preserve">Dos decisiones de diseño definen el proyecto. La corrección es local y determinista, lo que permite operar por completo sin conexión a internet y entregar retroalimentación en menos de 500 ms en el percentil 95; el modelo generativo aporta variedad de enunciados de forma asíncrona y nunca corrige la respuesta de un niño. El tratamiento de los datos personales de menores se diseña desde el inicio conforme a la Ley N° 19.628 y a la Ley N° 21.719, con consentimiento parental auditable, minimización de datos y derechos de eliminación y portabilidad efectivos.</w:t>
      </w:r>
    </w:p>
    <w:p>
      <w:pPr>
        <w:spacing w:after="260" w:line="360"/>
        <w:jc w:val="both"/>
      </w:pPr>
      <w:r>
        <w:rPr>
          <w:rFonts w:ascii="Calibri" w:cs="Calibri" w:eastAsia="Calibri" w:hAnsi="Calibri"/>
          <w:sz w:val="22"/>
          <w:szCs w:val="22"/>
        </w:rPr>
        <w:t xml:space="preserve">La Fase 1 produjo 26 requerimientos funcionales, 10 requerimientos no funcionales con método de verificación declarado, 29 casos de uso con sus diagramas y plantillas, un diagrama de arquitectura, una carta Gantt, una matriz RACI y un plan de riesgos. El informe argumenta la relevancia del proyecto, su relación con las competencias del perfil de egreso y con los intereses profesionales de ambos integrantes, y su factibilidad dentro del semestre académico.</w:t>
      </w:r>
    </w:p>
    <w:p>
      <w:pPr>
        <w:spacing w:after="160" w:line="360"/>
        <w:jc w:val="both"/>
      </w:pPr>
      <w:r>
        <w:rPr>
          <w:rFonts w:ascii="Calibri" w:cs="Calibri" w:eastAsia="Calibri" w:hAnsi="Calibri"/>
          <w:b/>
          <w:bCs/>
          <w:sz w:val="22"/>
          <w:szCs w:val="22"/>
        </w:rPr>
        <w:t xml:space="preserve">Palabras clave: </w:t>
      </w:r>
      <w:r>
        <w:rPr>
          <w:rFonts w:ascii="Calibri" w:cs="Calibri" w:eastAsia="Calibri" w:hAnsi="Calibri"/>
          <w:i/>
          <w:iCs/>
          <w:sz w:val="22"/>
          <w:szCs w:val="22"/>
        </w:rPr>
        <w:t xml:space="preserve">aprendizaje adaptativo, educación matemática, aplicación móvil, funcionamiento sin conexión, protección de datos personales, ingeniería de software.</w:t>
      </w:r>
    </w:p>
    <w:p>
      <w:r>
        <w:br w:type="page"/>
      </w:r>
    </w:p>
    <w:p>
      <w:pPr>
        <w:pStyle w:val="Heading1"/>
        <w:spacing w:after="200" w:before="320" w:line="360"/>
      </w:pPr>
      <w:r>
        <w:rPr>
          <w:rFonts w:ascii="Calibri" w:cs="Calibri" w:eastAsia="Calibri" w:hAnsi="Calibri"/>
          <w:b/>
          <w:bCs/>
          <w:color w:val="1F3864"/>
          <w:sz w:val="30"/>
          <w:szCs w:val="30"/>
        </w:rPr>
        <w:t xml:space="preserve">Desarrollo de ingeniería</w:t>
      </w:r>
    </w:p>
    <w:p>
      <w:pPr>
        <w:pStyle w:val="Heading2"/>
        <w:spacing w:after="140" w:before="260" w:line="360"/>
      </w:pPr>
      <w:r>
        <w:rPr>
          <w:rFonts w:ascii="Calibri" w:cs="Calibri" w:eastAsia="Calibri" w:hAnsi="Calibri"/>
          <w:b/>
          <w:bCs/>
          <w:color w:val="1F3864"/>
          <w:sz w:val="25"/>
          <w:szCs w:val="25"/>
        </w:rPr>
        <w:t xml:space="preserve">1. Descripción del Proyecto APT y justificación de su relevancia</w:t>
      </w:r>
    </w:p>
    <w:p>
      <w:pPr>
        <w:spacing w:after="160" w:line="360"/>
        <w:jc w:val="both"/>
      </w:pPr>
      <w:r>
        <w:rPr>
          <w:rFonts w:ascii="Calibri" w:cs="Calibri" w:eastAsia="Calibri" w:hAnsi="Calibri"/>
          <w:sz w:val="22"/>
          <w:szCs w:val="22"/>
        </w:rPr>
        <w:t xml:space="preserve">El Proyecto APT consiste en desarrollar, para el cliente Triskeledu, una aplicación móvil de matemáticas adaptativas dirigida a niños de 6 a 12 años. El sistema mide el nivel real de dominio de cada alumno sobre cada habilidad matemática, le entrega ejercicios ajustados a ese nivel, corrige su respuesta de forma instantánea en el propio dispositivo y entrega a su tutor un panel desde el cual puede seguir el progreso y crear ejercicios personalizados para reforzar lo que estime necesario.</w:t>
      </w:r>
    </w:p>
    <w:p>
      <w:pPr>
        <w:spacing w:after="160" w:line="360"/>
        <w:jc w:val="both"/>
      </w:pPr>
      <w:r>
        <w:rPr>
          <w:rFonts w:ascii="Calibri" w:cs="Calibri" w:eastAsia="Calibri" w:hAnsi="Calibri"/>
          <w:sz w:val="22"/>
          <w:szCs w:val="22"/>
        </w:rPr>
        <w:t xml:space="preserve">El problema que aborda no es hipotético. Los resultados PISA 2025 publicados el 8 de septiembre de 2026 sitúan a Chile en 403 puntos en matemática frente a un promedio OCDE de 463, con seis de cada diez estudiantes de quince años por debajo del nivel básico de competencia. El Simce 2024 muestra dónde se origina esa distancia: 4° básico alcanzó 264 puntos, su mayor registro histórico, mientras 6° básico cayó a 245, seis puntos menos que en 2018. El avance inicial no se sostiene cuando el contenido se vuelve acumulativo, que es exactamente el punto en que las brechas de dominio no resueltas empiezan a pesar. El propio Ministerio de Educación reconoció el problema al lanzar en junio de 2023 la Estrategia de Reactivación Matemática, que priorizó 1.300 establecimientos.</w:t>
      </w:r>
    </w:p>
    <w:p>
      <w:pPr>
        <w:spacing w:after="160" w:line="360"/>
        <w:jc w:val="both"/>
      </w:pPr>
      <w:r>
        <w:rPr>
          <w:rFonts w:ascii="Calibri" w:cs="Calibri" w:eastAsia="Calibri" w:hAnsi="Calibri"/>
          <w:sz w:val="22"/>
          <w:szCs w:val="22"/>
        </w:rPr>
        <w:t xml:space="preserve">Se identifican tres mecanismos que producen esas cifras y que el proyecto ataca de forma directa: el feedback tardío, porque la corrección manual separa el error de su retroalimentación; el ritmo fijo de grupo, porque el curso avanza igual para todos sin importar el dominio real de cada estudiante; y el avance estancado, porque sin personalización las brechas se acumulan de forma silenciosa y se detectan cuando ya son grandes.</w:t>
      </w:r>
    </w:p>
    <w:p>
      <w:pPr>
        <w:spacing w:after="160" w:line="360"/>
        <w:jc w:val="both"/>
      </w:pPr>
      <w:r>
        <w:rPr>
          <w:rFonts w:ascii="Calibri" w:cs="Calibri" w:eastAsia="Calibri" w:hAnsi="Calibri"/>
          <w:sz w:val="22"/>
          <w:szCs w:val="22"/>
        </w:rPr>
        <w:t xml:space="preserve">La relevancia para el campo laboral de la carrera es doble. Por una parte, el proyecto se ejecuta con un cliente real que valida alcance y decisiones técnicas, lo que reproduce las condiciones de un encargo profesional y no de un ejercicio académico. Por otra, obliga a resolver problemas que son propios del ejercicio de la ingeniería informática y no admiten una solución de laboratorio: diseñar un modelo de datos que represente alumnos, habilidades, niveles de dominio y eventos de intento; construir una aplicación móvil que funcione sin conexión y sincronice sin perder información; integrar un modelo generativo acotando su riesgo; y cumplir una normativa de protección de datos que entra en plena vigencia el 1 de diciembre de 2026 y que trata datos de menores de edad.</w:t>
      </w:r>
    </w:p>
    <w:p>
      <w:pPr>
        <w:spacing w:after="160" w:line="360"/>
        <w:jc w:val="both"/>
      </w:pPr>
      <w:r>
        <w:rPr>
          <w:rFonts w:ascii="Calibri" w:cs="Calibri" w:eastAsia="Calibri" w:hAnsi="Calibri"/>
          <w:sz w:val="22"/>
          <w:szCs w:val="22"/>
        </w:rPr>
        <w:t xml:space="preserve">El alcance quedó formalizado en 26 requerimientos funcionales y 10 requerimientos no funcionales, y especificado en 29 casos de uso —17 de la vista Alumno y 12 de la vista Tutor— con su diagrama general, sus diagramas particulares y sus plantillas. Cada requerimiento no funcional declara su método de verificación, de modo que ninguno queda enunciado sin una forma de comprobarlo.</w:t>
      </w:r>
    </w:p>
    <w:p>
      <w:pPr>
        <w:pStyle w:val="Heading2"/>
        <w:spacing w:after="140" w:before="260" w:line="360"/>
      </w:pPr>
      <w:r>
        <w:rPr>
          <w:rFonts w:ascii="Calibri" w:cs="Calibri" w:eastAsia="Calibri" w:hAnsi="Calibri"/>
          <w:b/>
          <w:bCs/>
          <w:color w:val="1F3864"/>
          <w:sz w:val="25"/>
          <w:szCs w:val="25"/>
        </w:rPr>
        <w:t xml:space="preserve">2. Relación del Proyecto APT con las competencias del perfil de egreso</w:t>
      </w:r>
    </w:p>
    <w:p>
      <w:pPr>
        <w:spacing w:after="160" w:line="360"/>
        <w:jc w:val="both"/>
      </w:pPr>
      <w:r>
        <w:rPr>
          <w:rFonts w:ascii="Calibri" w:cs="Calibri" w:eastAsia="Calibri" w:hAnsi="Calibri"/>
          <w:sz w:val="22"/>
          <w:szCs w:val="22"/>
        </w:rPr>
        <w:t xml:space="preserve">El proyecto moviliza cuatro competencias del perfil de egreso de Ingeniería en Informática. No se trata de una correspondencia declarativa: cada competencia es exigida por un problema concreto del proyecto que no puede resolverse sin ella.</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300"/>
      </w:tblGrid>
      <w:tr>
        <w:trPr>
          <w:tblHeader/>
        </w:trPr>
        <w:tc>
          <w:tcPr>
            <w:tcW w:type="dxa" w:w="20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Competencia</w:t>
            </w:r>
          </w:p>
        </w:tc>
        <w:tc>
          <w:tcPr>
            <w:tcW w:type="dxa" w:w="34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Cómo la exige el proyecto</w:t>
            </w:r>
          </w:p>
        </w:tc>
        <w:tc>
          <w:tcPr>
            <w:tcW w:type="dxa" w:w="33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Evidencia de Fase 1</w:t>
            </w:r>
          </w:p>
        </w:tc>
      </w:tr>
      <w:tr>
        <w:trPr>
          <w:tblHeader w:val="false"/>
        </w:trPr>
        <w:tc>
          <w:tcPr>
            <w:tcW w:type="dxa" w:w="2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Gestionar proyectos informáticos, ofreciendo alternativas para la toma de decisiones de acuerdo a los requerimientos de la organización.</w:t>
            </w:r>
          </w:p>
        </w:tc>
        <w:tc>
          <w:tcPr>
            <w:tcW w:type="dxa" w:w="3400"/>
            <w:tcMar>
              <w:top w:type="dxa" w:w="80"/>
              <w:left w:type="dxa" w:w="110"/>
              <w:bottom w:type="dxa" w:w="80"/>
              <w:right w:type="dxa" w:w="110"/>
            </w:tcMar>
          </w:tcPr>
          <w:p>
            <w:pPr>
              <w:spacing w:after="0" w:line="240"/>
              <w:jc w:val="left"/>
            </w:pPr>
            <w:r>
              <w:rPr>
                <w:rFonts w:ascii="Calibri" w:cs="Calibri" w:eastAsia="Calibri" w:hAnsi="Calibri"/>
                <w:sz w:val="20"/>
                <w:szCs w:val="20"/>
              </w:rPr>
              <w:t xml:space="preserve">El alcance se define con un cliente que aún no valida el stack, de modo que el equipo debe presentar alternativas técnicas y sostener el avance sin bloquearse. Exige planificar contra una línea base, repartir responsabilidades sin ambigüedad y anticipar riesgos.</w:t>
            </w:r>
          </w:p>
        </w:tc>
        <w:tc>
          <w:tcPr>
            <w:tcW w:type="dxa" w:w="33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Carta Gantt de la Fase 1, matriz RACI de 39 actividades con un único responsable y un único aprobador por fila, y plan de riesgos con 13 riesgos identificados, su probabilidad, su impacto y su acción de mitigación.</w:t>
            </w:r>
          </w:p>
        </w:tc>
      </w:tr>
      <w:tr>
        <w:trPr>
          <w:tblHeader w:val="false"/>
        </w:trPr>
        <w:tc>
          <w:tcPr>
            <w:tcW w:type="dxa" w:w="2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Construir modelos de datos para soportar los requerimientos de la organización de acuerdo a un diseño definido y escalable en el tiempo.</w:t>
            </w:r>
          </w:p>
        </w:tc>
        <w:tc>
          <w:tcPr>
            <w:tcW w:type="dxa" w:w="34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El motor de dominio necesita representar alumnos, habilidades, niveles de dominio, ejercicios e intentos. El requerimiento de sincronización obliga además a modelar cada intento como un evento inmutable, de modo que el nivel de dominio sea siempre un valor derivado y recalculable y nunca un valor en disputa entre dispositivos.</w:t>
            </w:r>
          </w:p>
        </w:tc>
        <w:tc>
          <w:tcPr>
            <w:tcW w:type="dxa" w:w="33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Diagrama de arquitectura del sistema y definición del modelo de datos sobre PostgreSQL gestionado con Supabase, más SQLite en el dispositivo para el lote de ejercicios y el registro de intentos.</w:t>
            </w:r>
          </w:p>
        </w:tc>
      </w:tr>
      <w:tr>
        <w:trPr>
          <w:tblHeader w:val="false"/>
        </w:trPr>
        <w:tc>
          <w:tcPr>
            <w:tcW w:type="dxa" w:w="2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Desarrollar una solución de software utilizando técnicas que permitan sistematizar el proceso de desarrollo y mantenimiento, asegurando el logro de los objetivos.</w:t>
            </w:r>
          </w:p>
        </w:tc>
        <w:tc>
          <w:tcPr>
            <w:tcW w:type="dxa" w:w="3400"/>
            <w:tcMar>
              <w:top w:type="dxa" w:w="80"/>
              <w:left w:type="dxa" w:w="110"/>
              <w:bottom w:type="dxa" w:w="80"/>
              <w:right w:type="dxa" w:w="110"/>
            </w:tcMar>
          </w:tcPr>
          <w:p>
            <w:pPr>
              <w:spacing w:after="0" w:line="240"/>
              <w:jc w:val="left"/>
            </w:pPr>
            <w:r>
              <w:rPr>
                <w:rFonts w:ascii="Calibri" w:cs="Calibri" w:eastAsia="Calibri" w:hAnsi="Calibri"/>
                <w:sz w:val="20"/>
                <w:szCs w:val="20"/>
              </w:rPr>
              <w:t xml:space="preserve">La solución integra tres componentes que deben funcionar como uno: aplicación móvil, backend y modelo generativo externo. La operación sin conexión atraviesa a los tres y condiciona el diseño de cada uno.</w:t>
            </w:r>
          </w:p>
        </w:tc>
        <w:tc>
          <w:tcPr>
            <w:tcW w:type="dxa" w:w="33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Definición del stack tecnológico tentativo, especificación UML de los 29 casos de uso y mockups de las pantallas de las vistas Alumno y Tutor.</w:t>
            </w:r>
          </w:p>
        </w:tc>
      </w:tr>
      <w:tr>
        <w:trPr>
          <w:tblHeader w:val="false"/>
        </w:trPr>
        <w:tc>
          <w:tcPr>
            <w:tcW w:type="dxa" w:w="2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Realizar pruebas de certificación tanto de los productos como de los procesos utilizando buenas prácticas definidas por la industria.</w:t>
            </w:r>
          </w:p>
        </w:tc>
        <w:tc>
          <w:tcPr>
            <w:tcW w:type="dxa" w:w="34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Requerimientos como la corrección bajo 500 ms en el percentil 95, la usabilidad de 8 de cada 10 niños sin intervención adulta o los 500 usuarios concurrentes no son afirmaciones sino compromisos verificables, y exigen diseñar la prueba que los comprueba.</w:t>
            </w:r>
          </w:p>
        </w:tc>
        <w:tc>
          <w:tcPr>
            <w:tcW w:type="dxa" w:w="33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Método de verificación declarado para cada uno de los 10 requerimientos no funcionales, y asignación del rol de QA con potestad de aprobación independiente de quien desarrolla.</w:t>
            </w:r>
          </w:p>
        </w:tc>
      </w:tr>
    </w:tbl>
    <w:p>
      <w:pPr>
        <w:spacing w:after="60" w:line="360"/>
        <w:jc w:val="both"/>
      </w:pPr>
      <w:r>
        <w:rPr>
          <w:rFonts w:ascii="Calibri" w:cs="Calibri" w:eastAsia="Calibri" w:hAnsi="Calibri"/>
          <w:sz w:val="22"/>
          <w:szCs w:val="22"/>
        </w:rPr>
        <w:t xml:space="preserve"/>
      </w:r>
    </w:p>
    <w:p>
      <w:pPr>
        <w:spacing w:after="160" w:line="360"/>
        <w:jc w:val="both"/>
      </w:pPr>
      <w:r>
        <w:rPr>
          <w:rFonts w:ascii="Calibri" w:cs="Calibri" w:eastAsia="Calibri" w:hAnsi="Calibri"/>
          <w:sz w:val="22"/>
          <w:szCs w:val="22"/>
        </w:rPr>
        <w:t xml:space="preserve">La selección de estas cuatro competencias responde a una dependencia y no a una suma: sin gestión del alcance el proyecto no cabe en el semestre; sin un modelo de datos bien diseñado el motor de dominio no puede calcular nada; sin integración funcional no hay producto que mostrar al cliente; y sin validación formal de lo construido no hay forma de sostener que el producto cumple lo que promete.</w:t>
      </w:r>
    </w:p>
    <w:p>
      <w:pPr>
        <w:pStyle w:val="Heading2"/>
        <w:spacing w:after="140" w:before="260" w:line="360"/>
      </w:pPr>
      <w:r>
        <w:rPr>
          <w:rFonts w:ascii="Calibri" w:cs="Calibri" w:eastAsia="Calibri" w:hAnsi="Calibri"/>
          <w:b/>
          <w:bCs/>
          <w:color w:val="1F3864"/>
          <w:sz w:val="25"/>
          <w:szCs w:val="25"/>
        </w:rPr>
        <w:t xml:space="preserve">3. Relación del Proyecto APT con los intereses profesionales del equipo</w:t>
      </w:r>
    </w:p>
    <w:p>
      <w:pPr>
        <w:spacing w:after="160" w:line="360"/>
        <w:jc w:val="both"/>
      </w:pPr>
      <w:r>
        <w:rPr>
          <w:rFonts w:ascii="Calibri" w:cs="Calibri" w:eastAsia="Calibri" w:hAnsi="Calibri"/>
          <w:sz w:val="22"/>
          <w:szCs w:val="22"/>
        </w:rPr>
        <w:t xml:space="preserve">Somos dos integrantes con intereses distintos y complementarios, y repartimos los roles a partir de esa diferencia y no al azar.</w:t>
      </w:r>
    </w:p>
    <w:p>
      <w:pPr>
        <w:spacing w:after="160" w:line="360"/>
        <w:jc w:val="both"/>
      </w:pPr>
      <w:r>
        <w:rPr>
          <w:rFonts w:ascii="Calibri" w:cs="Calibri" w:eastAsia="Calibri" w:hAnsi="Calibri"/>
          <w:sz w:val="22"/>
          <w:szCs w:val="22"/>
        </w:rPr>
        <w:t xml:space="preserve">Mateo orienta sus intereses al trabajo con datos y al desarrollo backend. En su autoevaluación declaró como fortalezas la programación de bases de datos, la programación web y móvil, la integración de plataformas y Big Data, y reconoció como áreas por reforzar la arquitectura de software y la gestión de riesgos. Su experiencia como practicante de datos en el Centro de Datos e Inteligencia Artificial de la Contraloría General de la República, donde trabaja con consultas SQL y herramientas de visualización, la proyectamos en este proyecto sobre el diseño del modelo de datos, la construcción del backend con FastAPI y la integración del modelo generativo. Por eso le asignamos los roles de Analista de Requerimientos y QA, que lo enfrentan además a las dos competencias que él mismo identificó como más débiles.</w:t>
      </w:r>
    </w:p>
    <w:p>
      <w:pPr>
        <w:spacing w:after="160" w:line="360"/>
        <w:jc w:val="both"/>
      </w:pPr>
      <w:r>
        <w:rPr>
          <w:rFonts w:ascii="Calibri" w:cs="Calibri" w:eastAsia="Calibri" w:hAnsi="Calibri"/>
          <w:sz w:val="22"/>
          <w:szCs w:val="22"/>
        </w:rPr>
        <w:t xml:space="preserve">Adolfo orienta los suyos al desarrollo de software fullstack, en particular al diseño y construcción de aplicaciones completas de principio a fin. En su autoevaluación declaró como fortalezas el desarrollo de soluciones de software y el modelamiento y gestión de bases de datos, y reconoció como áreas por reforzar la ciberseguridad, el desarrollo específico para plataformas móviles y la conducción de un proyecto completo. Realiza su práctica profesional en Triskeledu, el cliente de este proyecto, lo que nos facilita el acceso a las instancias de validación. Le asignamos los roles de Jefe de Proyecto y Desarrollador, que lo enfrentan directamente a la conducción de proyecto que identificó como pendiente.</w:t>
      </w:r>
    </w:p>
    <w:p>
      <w:pPr>
        <w:spacing w:after="160" w:line="360"/>
        <w:jc w:val="both"/>
      </w:pPr>
      <w:r>
        <w:rPr>
          <w:rFonts w:ascii="Calibri" w:cs="Calibri" w:eastAsia="Calibri" w:hAnsi="Calibri"/>
          <w:sz w:val="22"/>
          <w:szCs w:val="22"/>
        </w:rPr>
        <w:t xml:space="preserve">El proyecto conecta con ambos perfiles en un punto común: es una solución tecnológica completa y real, con un cliente que la validará, y no un prototipo de asignatura. A Mateo le aporta un modelo de datos no trivial y un backend con integración de IA; a Adolfo, el desarrollo móvil que ha trabajado menos y la exigencia de seguridad que reconoció como su principal brecha, ya que el sistema trata datos personales de menores de edad bajo la Ley N° 21.719. En ambos casos el proyecto nos empuja hacia lo que declaramos no dominar, que es precisamente lo que esperamos de esta asignatura.</w:t>
      </w:r>
    </w:p>
    <w:p>
      <w:pPr>
        <w:pStyle w:val="Heading2"/>
        <w:spacing w:after="140" w:before="260" w:line="360"/>
      </w:pPr>
      <w:r>
        <w:rPr>
          <w:rFonts w:ascii="Calibri" w:cs="Calibri" w:eastAsia="Calibri" w:hAnsi="Calibri"/>
          <w:b/>
          <w:bCs/>
          <w:color w:val="1F3864"/>
          <w:sz w:val="25"/>
          <w:szCs w:val="25"/>
        </w:rPr>
        <w:t xml:space="preserve">4. Factibilidad del proyecto en el marco de la asignatura</w:t>
      </w:r>
    </w:p>
    <w:p>
      <w:pPr>
        <w:spacing w:after="160" w:line="360"/>
        <w:jc w:val="both"/>
      </w:pPr>
      <w:r>
        <w:rPr>
          <w:rFonts w:ascii="Calibri" w:cs="Calibri" w:eastAsia="Calibri" w:hAnsi="Calibri"/>
          <w:sz w:val="22"/>
          <w:szCs w:val="22"/>
        </w:rPr>
        <w:t xml:space="preserve">Consideramos que el proyecto es factible de desarrollar dentro del semestre académico, que comprende 18 semanas desde el lunes 24 de agosto hasta el domingo 27 de diciembre de 2026, organizado en las tres fases de la asignatura: definición del proyecto, desarrollo iterativo y cierre. La Fase 1 se ejecutó entre el 27 de agosto y el 12 de septiembre de 2026, dentro de las semanas S1 a S3, y cierra en S4 con la entrega y revisión de la Guía de Definición del Proyecto APT. Las horas que la asignatura asigna al trabajo del proyecto, sumadas al trabajo autónomo que planificamos, nos parecen suficientes para cubrir levantamiento, diseño, desarrollo y cierre de una primera versión funcional.</w:t>
      </w:r>
    </w:p>
    <w:p>
      <w:pPr>
        <w:spacing w:after="160" w:line="360"/>
        <w:jc w:val="both"/>
      </w:pPr>
      <w:r>
        <w:rPr>
          <w:rFonts w:ascii="Calibri" w:cs="Calibri" w:eastAsia="Calibri" w:hAnsi="Calibri"/>
          <w:sz w:val="22"/>
          <w:szCs w:val="22"/>
        </w:rPr>
        <w:t xml:space="preserve">En cuanto a materiales, el proyecto no requiere infraestructura especial. Usaremos herramientas de uso libre o con planes gratuitos suficientes para el alcance definido —Flutter para la aplicación móvil, Python con FastAPI para el backend, Supabase sobre PostgreSQL para datos y autenticación, y SQLite en el dispositivo para el modo sin conexión—, nuestros propios equipos y dispositivos móviles de prueba. El único costo variable que identificamos es el consumo de la API del modelo generativo, que acotamos mediante un tope mensual de gasto y la reutilización de los ejercicios ya generados.</w:t>
      </w:r>
    </w:p>
    <w:p>
      <w:pPr>
        <w:spacing w:after="160" w:line="360"/>
        <w:jc w:val="both"/>
      </w:pPr>
      <w:r>
        <w:rPr>
          <w:rFonts w:ascii="Calibri" w:cs="Calibri" w:eastAsia="Calibri" w:hAnsi="Calibri"/>
          <w:sz w:val="22"/>
          <w:szCs w:val="22"/>
        </w:rPr>
        <w:t xml:space="preserve">Entre los factores externos que nos facilitan el desarrollo, el principal es contar con un cliente real disponible para validar el alcance, los requerimientos y el stack en reuniones periódicas, lo que reduce el riesgo de construir una solución desalineada. Que uno de nosotros realice su práctica profesional en Triskeledu nos facilita el acceso a esas instancias.</w:t>
      </w:r>
    </w:p>
    <w:p>
      <w:pPr>
        <w:spacing w:after="160" w:line="360"/>
        <w:jc w:val="both"/>
      </w:pPr>
      <w:r>
        <w:rPr>
          <w:rFonts w:ascii="Calibri" w:cs="Calibri" w:eastAsia="Calibri" w:hAnsi="Calibri"/>
          <w:sz w:val="22"/>
          <w:szCs w:val="22"/>
        </w:rPr>
        <w:t xml:space="preserve">Identificamos también tres dificultades y declaramos cómo las abordaríamos, porque una factibilidad que solo enumera facilidades no es un análisis:</w:t>
      </w:r>
    </w:p>
    <w:p>
      <w:pPr>
        <w:pStyle w:val="ListParagraph"/>
        <w:numPr>
          <w:ilvl w:val="0"/>
          <w:numId w:val="2"/>
        </w:numPr>
        <w:spacing w:after="90" w:line="360"/>
        <w:jc w:val="both"/>
      </w:pPr>
      <w:r>
        <w:rPr>
          <w:rFonts w:ascii="Calibri" w:cs="Calibri" w:eastAsia="Calibri" w:hAnsi="Calibri"/>
          <w:b/>
          <w:bCs/>
          <w:sz w:val="22"/>
          <w:szCs w:val="22"/>
        </w:rPr>
        <w:t xml:space="preserve">Calibración del motor de dominio. </w:t>
      </w:r>
      <w:r>
        <w:rPr>
          <w:rFonts w:ascii="Calibri" w:cs="Calibri" w:eastAsia="Calibri" w:hAnsi="Calibri"/>
          <w:sz w:val="22"/>
          <w:szCs w:val="22"/>
        </w:rPr>
        <w:t xml:space="preserve">Ajustar correctamente el modelo adaptativo y el generador de ejercicios puede exceder el tiempo disponible. Priorizaremos una primera versión simple basada en reglas y umbrales por habilidad —subir dificultad tras cinco aciertos consecutivos, bajarla tras tres errores—, dejando la sofisticación del modelo como mejora incremental. La aplicación cumple su objetivo pedagógico con esa versión.</w:t>
      </w:r>
    </w:p>
    <w:p>
      <w:pPr>
        <w:pStyle w:val="ListParagraph"/>
        <w:numPr>
          <w:ilvl w:val="0"/>
          <w:numId w:val="2"/>
        </w:numPr>
        <w:spacing w:after="90" w:line="360"/>
        <w:jc w:val="both"/>
      </w:pPr>
      <w:r>
        <w:rPr>
          <w:rFonts w:ascii="Calibri" w:cs="Calibri" w:eastAsia="Calibri" w:hAnsi="Calibri"/>
          <w:b/>
          <w:bCs/>
          <w:sz w:val="22"/>
          <w:szCs w:val="22"/>
        </w:rPr>
        <w:t xml:space="preserve">Disponibilidad del cliente para validar. </w:t>
      </w:r>
      <w:r>
        <w:rPr>
          <w:rFonts w:ascii="Calibri" w:cs="Calibri" w:eastAsia="Calibri" w:hAnsi="Calibri"/>
          <w:sz w:val="22"/>
          <w:szCs w:val="22"/>
        </w:rPr>
        <w:t xml:space="preserve">Mantenemos el alcance y el stack declarados como tentativos hasta la primera reunión de validación. Mientras tanto avanzamos en todo lo que no depende del cliente; si transcurren diez días sin respuesta, escalaremos con el docente y seguiremos sobre supuestos documentados.</w:t>
      </w:r>
    </w:p>
    <w:p>
      <w:pPr>
        <w:pStyle w:val="ListParagraph"/>
        <w:numPr>
          <w:ilvl w:val="0"/>
          <w:numId w:val="2"/>
        </w:numPr>
        <w:spacing w:after="90" w:line="360"/>
        <w:jc w:val="both"/>
      </w:pPr>
      <w:r>
        <w:rPr>
          <w:rFonts w:ascii="Calibri" w:cs="Calibri" w:eastAsia="Calibri" w:hAnsi="Calibri"/>
          <w:b/>
          <w:bCs/>
          <w:sz w:val="22"/>
          <w:szCs w:val="22"/>
        </w:rPr>
        <w:t xml:space="preserve">Riesgo de que el modelo generativo entregue contenido incorrecto a un niño. </w:t>
      </w:r>
      <w:r>
        <w:rPr>
          <w:rFonts w:ascii="Calibri" w:cs="Calibri" w:eastAsia="Calibri" w:hAnsi="Calibri"/>
          <w:sz w:val="22"/>
          <w:szCs w:val="22"/>
        </w:rPr>
        <w:t xml:space="preserve">Lo resolvimos por diseño y no por control posterior: el modelo genera enunciados de forma asíncrona y fuera de la sesión, su salida pasa por un validador automático de corrección matemática y adecuación etaria, y la corrección de las respuestas es local y determinista. Si el modelo falla, el sistema opera con plantillas paramétricas y el proyecto no se detiene.</w:t>
      </w:r>
    </w:p>
    <w:p>
      <w:pPr>
        <w:pStyle w:val="Heading2"/>
        <w:spacing w:after="140" w:before="260" w:line="360"/>
      </w:pPr>
      <w:r>
        <w:rPr>
          <w:rFonts w:ascii="Calibri" w:cs="Calibri" w:eastAsia="Calibri" w:hAnsi="Calibri"/>
          <w:b/>
          <w:bCs/>
          <w:color w:val="1F3864"/>
          <w:sz w:val="25"/>
          <w:szCs w:val="25"/>
        </w:rPr>
        <w:t xml:space="preserve">5. Indicadores de calidad disciplinarios en la definición del proyecto</w:t>
      </w:r>
    </w:p>
    <w:p>
      <w:pPr>
        <w:spacing w:after="160" w:line="360"/>
        <w:jc w:val="both"/>
      </w:pPr>
      <w:r>
        <w:rPr>
          <w:rFonts w:ascii="Calibri" w:cs="Calibri" w:eastAsia="Calibri" w:hAnsi="Calibri"/>
          <w:sz w:val="22"/>
          <w:szCs w:val="22"/>
        </w:rPr>
        <w:t xml:space="preserve">La definición presentada se construyó atendiendo a los indicadores de calidad asociados a las competencias movilizadas. La tabla siguiente declara en qué entregable de la Fase 1 se encuentra la evidencia de cada indicador y cuáles quedan comprometidos para las fases siguientes.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000"/>
      </w:tblGrid>
      <w:tr>
        <w:trPr>
          <w:tblHeader/>
        </w:trPr>
        <w:tc>
          <w:tcPr>
            <w:tcW w:type="dxa" w:w="12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Ind.</w:t>
            </w:r>
          </w:p>
        </w:tc>
        <w:tc>
          <w:tcPr>
            <w:tcW w:type="dxa" w:w="35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Indicador de calidad</w:t>
            </w:r>
          </w:p>
        </w:tc>
        <w:tc>
          <w:tcPr>
            <w:tcW w:type="dxa" w:w="40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Evidencia o compromiso</w:t>
            </w:r>
          </w:p>
        </w:tc>
      </w:tr>
      <w:tr>
        <w:trPr>
          <w:tblHeader w:val="false"/>
        </w:trPr>
        <w:tc>
          <w:tcPr>
            <w:tcW w:type="dxa" w:w="1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2.1</w:t>
            </w:r>
          </w:p>
        </w:tc>
        <w:tc>
          <w:tcPr>
            <w:tcW w:type="dxa" w:w="3500"/>
            <w:tcMar>
              <w:top w:type="dxa" w:w="80"/>
              <w:left w:type="dxa" w:w="110"/>
              <w:bottom w:type="dxa" w:w="80"/>
              <w:right w:type="dxa" w:w="110"/>
            </w:tcMar>
          </w:tcPr>
          <w:p>
            <w:pPr>
              <w:spacing w:after="0" w:line="240"/>
              <w:jc w:val="left"/>
            </w:pPr>
            <w:r>
              <w:rPr>
                <w:rFonts w:ascii="Calibri" w:cs="Calibri" w:eastAsia="Calibri" w:hAnsi="Calibri"/>
                <w:sz w:val="20"/>
                <w:szCs w:val="20"/>
              </w:rPr>
              <w:t xml:space="preserve">Planifica proyectos informáticos ofreciendo alternativas para la toma de decisiones.</w:t>
            </w:r>
          </w:p>
        </w:tc>
        <w:tc>
          <w:tcPr>
            <w:tcW w:type="dxa" w:w="4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Carta Gantt de la Fase 1 con 13 actividades fechadas y su responsable; matriz RACI de 39 actividades; stack declarado como tentativo con alternativas y justificación de cada componente.</w:t>
            </w:r>
          </w:p>
        </w:tc>
      </w:tr>
      <w:tr>
        <w:trPr>
          <w:tblHeader w:val="false"/>
        </w:trPr>
        <w:tc>
          <w:tcPr>
            <w:tcW w:type="dxa" w:w="1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2.2</w:t>
            </w:r>
          </w:p>
        </w:tc>
        <w:tc>
          <w:tcPr>
            <w:tcW w:type="dxa" w:w="35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Controla proyectos informáticos ofreciendo alternativas para la toma de decisiones.</w:t>
            </w:r>
          </w:p>
        </w:tc>
        <w:tc>
          <w:tcPr>
            <w:tcW w:type="dxa" w:w="4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Plan de riesgos con 13 riesgos identificados, probabilidad, impacto y acción de mitigación, incluida la condición de activación de cada contingencia. Control contra la línea base comprometido para las Fases 2 y 3.</w:t>
            </w:r>
          </w:p>
        </w:tc>
      </w:tr>
      <w:tr>
        <w:trPr>
          <w:tblHeader w:val="false"/>
        </w:trPr>
        <w:tc>
          <w:tcPr>
            <w:tcW w:type="dxa" w:w="1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3.1</w:t>
            </w:r>
          </w:p>
        </w:tc>
        <w:tc>
          <w:tcPr>
            <w:tcW w:type="dxa" w:w="35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Diseña modelos de datos escalables en el tiempo.</w:t>
            </w:r>
          </w:p>
        </w:tc>
        <w:tc>
          <w:tcPr>
            <w:tcW w:type="dxa" w:w="4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Diagrama de arquitectura y definición de las entidades del dominio. El modelo lógico, el modelo relacional y el diccionario de datos quedan comprometidos como cierre del diseño.</w:t>
            </w:r>
          </w:p>
        </w:tc>
      </w:tr>
      <w:tr>
        <w:trPr>
          <w:tblHeader w:val="false"/>
        </w:trPr>
        <w:tc>
          <w:tcPr>
            <w:tcW w:type="dxa" w:w="1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3.2</w:t>
            </w:r>
          </w:p>
        </w:tc>
        <w:tc>
          <w:tcPr>
            <w:tcW w:type="dxa" w:w="35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Implementa modelos de datos escalables en el tiempo.</w:t>
            </w:r>
          </w:p>
        </w:tc>
        <w:tc>
          <w:tcPr>
            <w:tcW w:type="dxa" w:w="4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Comprometido para el Sprint de configuración base de la Fase 2, sobre PostgreSQL gestionado con Supabase.</w:t>
            </w:r>
          </w:p>
        </w:tc>
      </w:tr>
      <w:tr>
        <w:trPr>
          <w:tblHeader w:val="false"/>
        </w:trPr>
        <w:tc>
          <w:tcPr>
            <w:tcW w:type="dxa" w:w="1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4.1</w:t>
            </w:r>
          </w:p>
        </w:tc>
        <w:tc>
          <w:tcPr>
            <w:tcW w:type="dxa" w:w="35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Construye una solución de software.</w:t>
            </w:r>
          </w:p>
        </w:tc>
        <w:tc>
          <w:tcPr>
            <w:tcW w:type="dxa" w:w="4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Especificación previa completa: 26 requerimientos funcionales, 29 casos de uso con diagramas y plantillas, y mockups de ambas vistas. La construcción se ejecuta en la Fase 2.</w:t>
            </w:r>
          </w:p>
        </w:tc>
      </w:tr>
      <w:tr>
        <w:trPr>
          <w:tblHeader w:val="false"/>
        </w:trPr>
        <w:tc>
          <w:tcPr>
            <w:tcW w:type="dxa" w:w="1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4.2</w:t>
            </w:r>
          </w:p>
        </w:tc>
        <w:tc>
          <w:tcPr>
            <w:tcW w:type="dxa" w:w="35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Integra los distintos componentes de una solución de software.</w:t>
            </w:r>
          </w:p>
        </w:tc>
        <w:tc>
          <w:tcPr>
            <w:tcW w:type="dxa" w:w="4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Arquitectura de tres componentes —aplicación móvil, backend y modelo generativo externo— con el modo sin conexión definido como restricción transversal desde el diseño.</w:t>
            </w:r>
          </w:p>
        </w:tc>
      </w:tr>
      <w:tr>
        <w:trPr>
          <w:tblHeader w:val="false"/>
        </w:trPr>
        <w:tc>
          <w:tcPr>
            <w:tcW w:type="dxa" w:w="1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4.3</w:t>
            </w:r>
          </w:p>
        </w:tc>
        <w:tc>
          <w:tcPr>
            <w:tcW w:type="dxa" w:w="3500"/>
            <w:tcMar>
              <w:top w:type="dxa" w:w="80"/>
              <w:left w:type="dxa" w:w="110"/>
              <w:bottom w:type="dxa" w:w="80"/>
              <w:right w:type="dxa" w:w="110"/>
            </w:tcMar>
          </w:tcPr>
          <w:p>
            <w:pPr>
              <w:spacing w:after="0" w:line="240"/>
              <w:jc w:val="left"/>
            </w:pPr>
            <w:r>
              <w:rPr>
                <w:rFonts w:ascii="Calibri" w:cs="Calibri" w:eastAsia="Calibri" w:hAnsi="Calibri"/>
                <w:sz w:val="20"/>
                <w:szCs w:val="20"/>
              </w:rPr>
              <w:t xml:space="preserve">Implanta una solución de software.</w:t>
            </w:r>
          </w:p>
        </w:tc>
        <w:tc>
          <w:tcPr>
            <w:tcW w:type="dxa" w:w="4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Comprometido para la Fase 3, con despliegue de la versión de entrega y validación final.</w:t>
            </w:r>
          </w:p>
        </w:tc>
      </w:tr>
      <w:tr>
        <w:trPr>
          <w:tblHeader w:val="false"/>
        </w:trPr>
        <w:tc>
          <w:tcPr>
            <w:tcW w:type="dxa" w:w="1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1.1</w:t>
            </w:r>
          </w:p>
        </w:tc>
        <w:tc>
          <w:tcPr>
            <w:tcW w:type="dxa" w:w="35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Diseña pruebas de validación de productos y procesos.</w:t>
            </w:r>
          </w:p>
        </w:tc>
        <w:tc>
          <w:tcPr>
            <w:tcW w:type="dxa" w:w="4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Método de verificación declarado para cada uno de los 10 requerimientos no funcionales, con su instrumento y su criterio de aceptación.</w:t>
            </w:r>
          </w:p>
        </w:tc>
      </w:tr>
      <w:tr>
        <w:trPr>
          <w:tblHeader w:val="false"/>
        </w:trPr>
        <w:tc>
          <w:tcPr>
            <w:tcW w:type="dxa" w:w="1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1.2</w:t>
            </w:r>
          </w:p>
        </w:tc>
        <w:tc>
          <w:tcPr>
            <w:tcW w:type="dxa" w:w="35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Aplica pruebas de validación de productos y procesos.</w:t>
            </w:r>
          </w:p>
        </w:tc>
        <w:tc>
          <w:tcPr>
            <w:tcW w:type="dxa" w:w="4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Comprometido para la Fase 3: pruebas unitarias, de integración, de usabilidad con niños, de rendimiento y de carga, con aprobación a cargo del rol de QA.</w:t>
            </w:r>
          </w:p>
        </w:tc>
      </w:tr>
      <w:tr>
        <w:trPr>
          <w:tblHeader w:val="false"/>
        </w:trPr>
        <w:tc>
          <w:tcPr>
            <w:tcW w:type="dxa" w:w="1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1.3</w:t>
            </w:r>
          </w:p>
        </w:tc>
        <w:tc>
          <w:tcPr>
            <w:tcW w:type="dxa" w:w="35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Desarrolla mejoras al producto en base al resultado de las pruebas.</w:t>
            </w:r>
          </w:p>
        </w:tc>
        <w:tc>
          <w:tcPr>
            <w:tcW w:type="dxa" w:w="4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Comprometido para la Fase 3, con corrección de defectos detectados y retroalimentación al modelo antes del cierre.</w:t>
            </w:r>
          </w:p>
        </w:tc>
      </w:tr>
    </w:tbl>
    <w:p>
      <w:pPr>
        <w:spacing w:after="60" w:line="360"/>
        <w:jc w:val="both"/>
      </w:pPr>
      <w:r>
        <w:rPr>
          <w:rFonts w:ascii="Calibri" w:cs="Calibri" w:eastAsia="Calibri" w:hAnsi="Calibri"/>
          <w:sz w:val="22"/>
          <w:szCs w:val="22"/>
        </w:rPr>
        <w:t xml:space="preserve"/>
      </w:r>
    </w:p>
    <w:p>
      <w:pPr>
        <w:spacing w:after="160" w:line="360"/>
        <w:jc w:val="both"/>
      </w:pPr>
      <w:r>
        <w:rPr>
          <w:rFonts w:ascii="Calibri" w:cs="Calibri" w:eastAsia="Calibri" w:hAnsi="Calibri"/>
          <w:sz w:val="22"/>
          <w:szCs w:val="22"/>
        </w:rPr>
        <w:t xml:space="preserve">Se declara de forma explícita qué indicadores están evidenciados en esta fase y cuáles quedan comprometidos, en lugar de presentar una cobertura aparente. La Fase 1 evidencia de manera completa los indicadores de planificación, control y diseño de pruebas; los indicadores de implementación, construcción, implantación y aplicación de pruebas corresponden por su naturaleza a las fases posteriores.</w:t>
      </w:r>
    </w:p>
    <w:p>
      <w:r>
        <w:br w:type="page"/>
      </w:r>
    </w:p>
    <w:p>
      <w:pPr>
        <w:pStyle w:val="Heading1"/>
        <w:spacing w:after="200" w:before="320" w:line="360"/>
      </w:pPr>
      <w:r>
        <w:rPr>
          <w:rFonts w:ascii="Calibri" w:cs="Calibri" w:eastAsia="Calibri" w:hAnsi="Calibri"/>
          <w:b/>
          <w:bCs/>
          <w:color w:val="1F3864"/>
          <w:sz w:val="30"/>
          <w:szCs w:val="30"/>
        </w:rPr>
        <w:t xml:space="preserve">Conclusiones individuales</w:t>
      </w:r>
    </w:p>
    <w:p>
      <w:pPr>
        <w:spacing w:after="160" w:line="360"/>
        <w:jc w:val="both"/>
      </w:pPr>
      <w:r>
        <w:rPr>
          <w:rFonts w:ascii="Calibri" w:cs="Calibri" w:eastAsia="Calibri" w:hAnsi="Calibri"/>
          <w:i/>
          <w:iCs/>
          <w:sz w:val="22"/>
          <w:szCs w:val="22"/>
        </w:rPr>
        <w:t xml:space="preserve">Las conclusiones siguientes fueron redactadas de forma individual por cada integrante del equipo, conforme a las instrucciones de la evaluación.</w:t>
      </w:r>
    </w:p>
    <w:p>
      <w:pPr>
        <w:pStyle w:val="Heading2"/>
        <w:spacing w:after="140" w:before="260" w:line="360"/>
      </w:pPr>
      <w:r>
        <w:rPr>
          <w:rFonts w:ascii="Calibri" w:cs="Calibri" w:eastAsia="Calibri" w:hAnsi="Calibri"/>
          <w:b/>
          <w:bCs/>
          <w:color w:val="1F3864"/>
          <w:sz w:val="25"/>
          <w:szCs w:val="25"/>
        </w:rPr>
        <w:t xml:space="preserve">Mateo Carrasco — Analista de Requerimientos y QA</w:t>
      </w:r>
    </w:p>
    <w:p>
      <w:pPr>
        <w:spacing w:after="160" w:line="360"/>
        <w:jc w:val="both"/>
      </w:pPr>
      <w:r>
        <w:rPr>
          <w:rFonts w:ascii="Calibri" w:cs="Calibri" w:eastAsia="Calibri" w:hAnsi="Calibri"/>
          <w:sz w:val="22"/>
          <w:szCs w:val="22"/>
        </w:rPr>
        <w:t xml:space="preserve">La Fase 1 me enseñó que lo más difícil de definir un proyecto no es producir documentos, sino mantenerlos consistentes entre sí. Escribimos una lista de requerimientos, 29 casos de uso, un diagrama de arquitectura y un paquete de gestión, y al revisarlos cruzados descubrimos que no describían el mismo sistema: la lista de requerimientos decía que solo el tutor tenía credenciales, mientras cada caso de uso y cada mockup asumían que el alumno tenía una cuenta propia. Las dos versiones eran defendibles por separado; juntas eran una contradicción que cualquier lector habría encontrado al primer cruce. Decidir cuál modelo era el canónico y propagar esa decisión por todos los documentos fue el verdadero trabajo de ingeniería de esta fase.</w:t>
      </w:r>
    </w:p>
    <w:p>
      <w:pPr>
        <w:spacing w:after="160" w:line="360"/>
        <w:jc w:val="both"/>
      </w:pPr>
      <w:r>
        <w:rPr>
          <w:rFonts w:ascii="Calibri" w:cs="Calibri" w:eastAsia="Calibri" w:hAnsi="Calibri"/>
          <w:sz w:val="22"/>
          <w:szCs w:val="22"/>
        </w:rPr>
        <w:t xml:space="preserve">Esto conecta de forma directa con lo que identifiqué como mis competencias más débiles. Mis fortalezas son las bases de datos, la programación web y móvil, la integración de plataformas y Big Data, y reconocí la arquitectura de software y la gestión de riesgos como las áreas que necesitaba reforzar. Asumir los roles de Analista de Requerimientos y QA me puso exactamente ahí: tuve que razonar cómo encajan las piezas del sistema antes de que ninguna existiera, y tuve que definir cómo se verificaría cada requerimiento no funcional en lugar de solo enunciarlo. Escribir «la corrección debe ser rápida» es fácil; escribir «menos de 500 ms en el percentil 95, medido en el dispositivo, sobre una muestra de al menos 500 correcciones» obliga a entender qué se está prometiendo realmente.</w:t>
      </w:r>
    </w:p>
    <w:p>
      <w:pPr>
        <w:spacing w:after="160" w:line="360"/>
        <w:jc w:val="both"/>
      </w:pPr>
      <w:r>
        <w:rPr>
          <w:rFonts w:ascii="Calibri" w:cs="Calibri" w:eastAsia="Calibri" w:hAnsi="Calibri"/>
          <w:sz w:val="22"/>
          <w:szCs w:val="22"/>
        </w:rPr>
        <w:t xml:space="preserve">También me llevo una lección sobre trazabilidad. Tenemos siete requerimientos que todavía no tienen un caso de uso propio y, en lugar de ocultarlo, lo dejamos declarado por escrito. Prefiero presentar una brecha documentada antes que una cobertura aparente que se cae al primer análisis. Para la Fase 2 mi objetivo es cerrar esa brecha y construir el plan de pruebas temprano, de modo que la verificación se diseñe junto con el producto y no después de él.</w:t>
      </w:r>
    </w:p>
    <w:p>
      <w:pPr>
        <w:pStyle w:val="Heading2"/>
        <w:spacing w:after="140" w:before="260" w:line="360"/>
      </w:pPr>
      <w:r>
        <w:rPr>
          <w:rFonts w:ascii="Calibri" w:cs="Calibri" w:eastAsia="Calibri" w:hAnsi="Calibri"/>
          <w:b/>
          <w:bCs/>
          <w:color w:val="1F3864"/>
          <w:sz w:val="25"/>
          <w:szCs w:val="25"/>
        </w:rPr>
        <w:t xml:space="preserve">Adolfo Cartes — Jefe de Proyecto y Desarrollador</w:t>
      </w:r>
    </w:p>
    <w:p>
      <w:pPr>
        <w:spacing w:after="160" w:line="360"/>
        <w:jc w:val="both"/>
      </w:pPr>
      <w:r>
        <w:rPr>
          <w:rFonts w:ascii="Calibri" w:cs="Calibri" w:eastAsia="Calibri" w:hAnsi="Calibri"/>
          <w:sz w:val="22"/>
          <w:szCs w:val="22"/>
        </w:rPr>
        <w:t xml:space="preserve">Mi principal aprendizaje en esta fase vino de asumir un rol que nunca había tenido. En mi autoevaluación declaré que conocía los fundamentos de las metodologías ágiles pero que aún no había liderado un proyecto completo, y que era un aspecto que quería desarrollar. Ejercer como Jefe de Proyecto significó planificar contra una línea base, repartir responsabilidades de modo que cada actividad tuviera exactamente un responsable y un aprobador, e identificar los riesgos antes de que se materializaran en lugar de reaccionar a ellos. Construir la matriz RACI fue más exigente de lo que esperaba, porque deja en evidencia de inmediato cuándo un equipo no ha decidido realmente quién hace qué.</w:t>
      </w:r>
    </w:p>
    <w:p>
      <w:pPr>
        <w:spacing w:after="160" w:line="360"/>
        <w:jc w:val="both"/>
      </w:pPr>
      <w:r>
        <w:rPr>
          <w:rFonts w:ascii="Calibri" w:cs="Calibri" w:eastAsia="Calibri" w:hAnsi="Calibri"/>
          <w:sz w:val="22"/>
          <w:szCs w:val="22"/>
        </w:rPr>
        <w:t xml:space="preserve">En lo técnico, la decisión que dio forma a toda la arquitectura fue que la aplicación funcionara por completo sin conexión. No es una comodidad: obliga a que la corrección sea local y determinista, obliga a que la generación de ejercicios sea asíncrona y previa a la sesión, y obliga a que cada intento quede guardado en el dispositivo antes de confirmarle la acción al niño. Esa sola restricción se propagó al modelo de datos, a la estrategia de sincronización y a la elección de SQLite en el dispositivo. Separar lo que el modelo generativo hace de lo que nunca debe hacer —aporta variedad de enunciados, jamás corrige la respuesta de un niño— es la decisión de la que estoy más convencido, porque acota el riesgo pedagógico del producto.</w:t>
      </w:r>
    </w:p>
    <w:p>
      <w:pPr>
        <w:spacing w:after="160" w:line="360"/>
        <w:jc w:val="both"/>
      </w:pPr>
      <w:r>
        <w:rPr>
          <w:rFonts w:ascii="Calibri" w:cs="Calibri" w:eastAsia="Calibri" w:hAnsi="Calibri"/>
          <w:sz w:val="22"/>
          <w:szCs w:val="22"/>
        </w:rPr>
        <w:t xml:space="preserve">El proyecto además me enfrenta a la ciberseguridad, que identifiqué como mi área más débil. El sistema trata datos personales de menores bajo la Ley N° 21.719, que entra en plena vigencia el 1 de diciembre de 2026, de modo que la autenticación, el cifrado, el control de acceso y el consentimiento parental auditable no son refinamientos opcionales sino condiciones para que el producto exista. Realizar mi práctica profesional en Triskeledu le da al equipo acceso directo al cliente, y pienso aprovechar ese acceso para validar alcance y stack de forma temprana, ya que todas nuestras definiciones tecnológicas siguen declaradas como tentativas.</w:t>
      </w:r>
    </w:p>
    <w:p>
      <w:r>
        <w:br w:type="page"/>
      </w:r>
    </w:p>
    <w:p>
      <w:pPr>
        <w:pStyle w:val="Heading1"/>
        <w:spacing w:after="200" w:before="320" w:line="360"/>
      </w:pPr>
      <w:r>
        <w:rPr>
          <w:rFonts w:ascii="Calibri" w:cs="Calibri" w:eastAsia="Calibri" w:hAnsi="Calibri"/>
          <w:b/>
          <w:bCs/>
          <w:color w:val="1F3864"/>
          <w:sz w:val="30"/>
          <w:szCs w:val="30"/>
        </w:rPr>
        <w:t xml:space="preserve">Reflexión</w:t>
      </w:r>
    </w:p>
    <w:p>
      <w:pPr>
        <w:spacing w:after="160" w:line="360"/>
        <w:jc w:val="both"/>
      </w:pPr>
      <w:r>
        <w:rPr>
          <w:rFonts w:ascii="Calibri" w:cs="Calibri" w:eastAsia="Calibri" w:hAnsi="Calibri"/>
          <w:sz w:val="22"/>
          <w:szCs w:val="22"/>
        </w:rPr>
        <w:t xml:space="preserve">Mirando esta fase como equipo, el resultado más valioso no fue el conjunto de entregables sino la disciplina de hacer verificable cada afirmación. Nuestra primera versión de los requerimientos contenía una línea que decía que los ejercicios serían «100% adaptativos». Sonaba contundente y no significaba nada: no había forma de probarlo, no había forma de que fallara y, por lo tanto, no había forma de construir contra eso. Reemplazarlo por una regla explícita —la dificultad sube tras cinco aciertos consecutivos y baja tras tres errores consecutivos, con umbrales por calibrar junto al cliente— convirtió un eslogan en algo que un desarrollador puede implementar y un tester puede comprobar. Aplicamos el mismo criterio a cada requerimiento no funcional, y todos declaran hoy el método con el que se verificarán.</w:t>
      </w:r>
    </w:p>
    <w:p>
      <w:pPr>
        <w:spacing w:after="160" w:line="360"/>
        <w:jc w:val="both"/>
      </w:pPr>
      <w:r>
        <w:rPr>
          <w:rFonts w:ascii="Calibri" w:cs="Calibri" w:eastAsia="Calibri" w:hAnsi="Calibri"/>
          <w:sz w:val="22"/>
          <w:szCs w:val="22"/>
        </w:rPr>
        <w:t xml:space="preserve">La segunda lección tiene que ver con entender la documentación como un sistema y no como un montón de archivos. Produjimos la lista de requerimientos, los casos de uso, la arquitectura, la carta Gantt, la matriz RACI y el plan de riesgos en momentos distintos y, en parte, en paralelo. Revisarlos en conjunto reveló contradicciones que ninguno contenía por separado: dos numeraciones incompatibles para los mismos requerimientos, un modelo de acceso que cambiaba según qué documento se abriera, un stack tecnológico actualizado en un lugar y no en otro, y un nombre de proyecto que todavía arrastraba una marca registrada que nuestro propio plan de riesgos nos indicaba quitar. Ninguna fue difícil de corregir una vez detectada; lo difícil fue detectarlas, y eso ocurrió solo porque nos propusimos leer los documentos cruzados entre sí en lugar de revisar cada uno por su cuenta.</w:t>
      </w:r>
    </w:p>
    <w:p>
      <w:pPr>
        <w:spacing w:after="160" w:line="360"/>
        <w:jc w:val="both"/>
      </w:pPr>
      <w:r>
        <w:rPr>
          <w:rFonts w:ascii="Calibri" w:cs="Calibri" w:eastAsia="Calibri" w:hAnsi="Calibri"/>
          <w:sz w:val="22"/>
          <w:szCs w:val="22"/>
        </w:rPr>
        <w:t xml:space="preserve">Una tercera reflexión apunta a la relación entre restricciones y diseño. Al principio tratamos la ley de protección de datos como un requisito externo que había que cumplir al final. Resultó ser lo contrario: la obligación de minimizar los datos del menor, de obtener consentimiento parental auditable y de garantizar eliminación y portabilidad terminó dando forma al modelo de cuentas, al modelo de datos e incluso al comportamiento de una cuenta no vinculada, que hoy opera en modo local restringido sin enviar ningún dato personal al servidor. Una restricción tomada en serio a tiempo produjo un mejor diseño del que habríamos alcanzado sin ella.</w:t>
      </w:r>
    </w:p>
    <w:p>
      <w:pPr>
        <w:spacing w:after="160" w:line="360"/>
        <w:jc w:val="both"/>
      </w:pPr>
      <w:r>
        <w:rPr>
          <w:rFonts w:ascii="Calibri" w:cs="Calibri" w:eastAsia="Calibri" w:hAnsi="Calibri"/>
          <w:sz w:val="22"/>
          <w:szCs w:val="22"/>
        </w:rPr>
        <w:t xml:space="preserve">Por último, trabajar como equipo de dos con roles claramente separados resultó más útil que repartir las tareas por partes iguales. Que un integrante responda por la planificación y la construcción y el otro por los requerimientos y la calidad significa que quien desarrolla no aprueba sus propias pruebas. Eso introduce fricción, y esa fricción es justamente el punto. Entramos a la Fase 2 conscientes de que nuestro principal pendiente es la validación del alcance y del stack con Triskeledu, y de que hasta que esa reunión ocurra todas nuestras definiciones tecnológicas son provisionales y deben presentarse como tales.</w:t>
      </w:r>
    </w:p>
    <w:p>
      <w:r>
        <w:br w:type="page"/>
      </w:r>
    </w:p>
    <w:p>
      <w:pPr>
        <w:pStyle w:val="Heading1"/>
        <w:spacing w:after="200" w:before="320" w:line="360"/>
      </w:pPr>
      <w:r>
        <w:rPr>
          <w:rFonts w:ascii="Calibri" w:cs="Calibri" w:eastAsia="Calibri" w:hAnsi="Calibri"/>
          <w:b/>
          <w:bCs/>
          <w:color w:val="1F3864"/>
          <w:sz w:val="30"/>
          <w:szCs w:val="30"/>
        </w:rPr>
        <w:t xml:space="preserve">Referencias bibliográficas</w:t>
      </w:r>
    </w:p>
    <w:p>
      <w:pPr>
        <w:spacing w:after="160" w:line="360"/>
        <w:jc w:val="both"/>
      </w:pPr>
      <w:r>
        <w:rPr>
          <w:rFonts w:ascii="Calibri" w:cs="Calibri" w:eastAsia="Calibri" w:hAnsi="Calibri"/>
          <w:i/>
          <w:iCs/>
          <w:sz w:val="22"/>
          <w:szCs w:val="22"/>
        </w:rPr>
        <w:t xml:space="preserve">Formato APA, séptima edición.</w:t>
      </w:r>
    </w:p>
    <w:p>
      <w:pPr>
        <w:spacing w:after="160" w:line="360"/>
        <w:ind w:left="720" w:hanging="720"/>
        <w:jc w:val="left"/>
      </w:pPr>
      <w:r>
        <w:rPr>
          <w:rFonts w:ascii="Calibri" w:cs="Calibri" w:eastAsia="Calibri" w:hAnsi="Calibri"/>
          <w:sz w:val="22"/>
          <w:szCs w:val="22"/>
        </w:rPr>
        <w:t xml:space="preserve">Agencia de Calidad de la Educación. (2023). Informe Nacional PISA 2022. </w:t>
      </w:r>
      <w:hyperlink w:history="1" r:id="rIdpspjvkxjlz-3zopgdjl2m">
        <w:r>
          <w:rPr>
            <w:rStyle w:val="Hyperlink"/>
            <w:rFonts w:ascii="Calibri" w:cs="Calibri" w:eastAsia="Calibri" w:hAnsi="Calibri"/>
            <w:sz w:val="22"/>
            <w:szCs w:val="22"/>
          </w:rPr>
          <w:t xml:space="preserve">https://s3.amazonaws.com/archivos.agenciaeducacion.cl/Informe+Nacional+PISA+2022.pdf</w:t>
        </w:r>
      </w:hyperlink>
    </w:p>
    <w:p>
      <w:pPr>
        <w:spacing w:after="160" w:line="360"/>
        <w:ind w:left="720" w:hanging="720"/>
        <w:jc w:val="left"/>
      </w:pPr>
      <w:r>
        <w:rPr>
          <w:rFonts w:ascii="Calibri" w:cs="Calibri" w:eastAsia="Calibri" w:hAnsi="Calibri"/>
          <w:sz w:val="22"/>
          <w:szCs w:val="22"/>
        </w:rPr>
        <w:t xml:space="preserve">Agencia de Calidad de la Educación. (2025, 6 de marzo). Resultados Simce 2024 revelan histórico avance en 4° básico. </w:t>
      </w:r>
      <w:hyperlink w:history="1" r:id="rIde7zlgs-nf6wmdveptvtbg">
        <w:r>
          <w:rPr>
            <w:rStyle w:val="Hyperlink"/>
            <w:rFonts w:ascii="Calibri" w:cs="Calibri" w:eastAsia="Calibri" w:hAnsi="Calibri"/>
            <w:sz w:val="22"/>
            <w:szCs w:val="22"/>
          </w:rPr>
          <w:t xml:space="preserve">https://www.agenciaeducacion.cl/resultados-simce-2024-revelan-historico-avance-en-4basico/</w:t>
        </w:r>
      </w:hyperlink>
    </w:p>
    <w:p>
      <w:pPr>
        <w:spacing w:after="160" w:line="360"/>
        <w:ind w:left="720" w:hanging="720"/>
        <w:jc w:val="left"/>
      </w:pPr>
      <w:r>
        <w:rPr>
          <w:rFonts w:ascii="Calibri" w:cs="Calibri" w:eastAsia="Calibri" w:hAnsi="Calibri"/>
          <w:sz w:val="22"/>
          <w:szCs w:val="22"/>
        </w:rPr>
        <w:t xml:space="preserve">Biblioteca del Congreso Nacional de Chile. (1999). Ley N° 19.628, sobre protección de la vida privada. </w:t>
      </w:r>
      <w:hyperlink w:history="1" r:id="rId6w5u-zdtwhcrvgvrax3c7">
        <w:r>
          <w:rPr>
            <w:rStyle w:val="Hyperlink"/>
            <w:rFonts w:ascii="Calibri" w:cs="Calibri" w:eastAsia="Calibri" w:hAnsi="Calibri"/>
            <w:sz w:val="22"/>
            <w:szCs w:val="22"/>
          </w:rPr>
          <w:t xml:space="preserve">https://www.bcn.cl/leychile/navegar?idNorma=141599</w:t>
        </w:r>
      </w:hyperlink>
    </w:p>
    <w:p>
      <w:pPr>
        <w:spacing w:after="160" w:line="360"/>
        <w:ind w:left="720" w:hanging="720"/>
        <w:jc w:val="left"/>
      </w:pPr>
      <w:r>
        <w:rPr>
          <w:rFonts w:ascii="Calibri" w:cs="Calibri" w:eastAsia="Calibri" w:hAnsi="Calibri"/>
          <w:sz w:val="22"/>
          <w:szCs w:val="22"/>
        </w:rPr>
        <w:t xml:space="preserve">Biblioteca del Congreso Nacional de Chile. (2024). Ley N° 21.719, que regula la protección y el tratamiento de los datos personales y crea la Agencia de Protección de Datos Personales. Diario Oficial, 13 de diciembre de 2024. </w:t>
      </w:r>
      <w:hyperlink w:history="1" r:id="rIdbunwf1hcnp5ivzsosnbrq">
        <w:r>
          <w:rPr>
            <w:rStyle w:val="Hyperlink"/>
            <w:rFonts w:ascii="Calibri" w:cs="Calibri" w:eastAsia="Calibri" w:hAnsi="Calibri"/>
            <w:sz w:val="22"/>
            <w:szCs w:val="22"/>
          </w:rPr>
          <w:t xml:space="preserve">https://www.bcn.cl/leychile/navegar?idNorma=1209272</w:t>
        </w:r>
      </w:hyperlink>
    </w:p>
    <w:p>
      <w:pPr>
        <w:spacing w:after="160" w:line="360"/>
        <w:ind w:left="720" w:hanging="720"/>
        <w:jc w:val="left"/>
      </w:pPr>
      <w:r>
        <w:rPr>
          <w:rFonts w:ascii="Calibri" w:cs="Calibri" w:eastAsia="Calibri" w:hAnsi="Calibri"/>
          <w:sz w:val="22"/>
          <w:szCs w:val="22"/>
        </w:rPr>
        <w:t xml:space="preserve">Emol. (2026, 8 de septiembre). Bajos resultados de Chile en prueba PISA: cae en matemáticas y lectura y está lejos del promedio OCDE. </w:t>
      </w:r>
      <w:hyperlink w:history="1" r:id="rIdcxtakexhxpmireyjrub3y">
        <w:r>
          <w:rPr>
            <w:rStyle w:val="Hyperlink"/>
            <w:rFonts w:ascii="Calibri" w:cs="Calibri" w:eastAsia="Calibri" w:hAnsi="Calibri"/>
            <w:sz w:val="22"/>
            <w:szCs w:val="22"/>
          </w:rPr>
          <w:t xml:space="preserve">https://www.emol.com/noticias/Nacional/2026/09/08/1210835/bajos-resultados-prueba-pisa-chile.html</w:t>
        </w:r>
      </w:hyperlink>
    </w:p>
    <w:p>
      <w:pPr>
        <w:spacing w:after="160" w:line="360"/>
        <w:ind w:left="720" w:hanging="720"/>
        <w:jc w:val="left"/>
      </w:pPr>
      <w:r>
        <w:rPr>
          <w:rFonts w:ascii="Calibri" w:cs="Calibri" w:eastAsia="Calibri" w:hAnsi="Calibri"/>
          <w:sz w:val="22"/>
          <w:szCs w:val="22"/>
        </w:rPr>
        <w:t xml:space="preserve">La Tercera. (2026, 8 de septiembre). Chile exhibe su peor resultado de Matemáticas en PISA y mantiene brechas con la OCDE: 59% de alumnos no logra el nivel básico. </w:t>
      </w:r>
      <w:hyperlink w:history="1" r:id="rIdwojlvbt_5zhceth3nq8mt">
        <w:r>
          <w:rPr>
            <w:rStyle w:val="Hyperlink"/>
            <w:rFonts w:ascii="Calibri" w:cs="Calibri" w:eastAsia="Calibri" w:hAnsi="Calibri"/>
            <w:sz w:val="22"/>
            <w:szCs w:val="22"/>
          </w:rPr>
          <w:t xml:space="preserve">https://www.latercera.com/nacional/noticia/chile-mantiene-brechas-con-los-paises-ocde-6-de-cada-10-alumnos-no-llegan-al-nivel-basico-en-matematica/</w:t>
        </w:r>
      </w:hyperlink>
    </w:p>
    <w:p>
      <w:pPr>
        <w:spacing w:after="160" w:line="360"/>
        <w:ind w:left="720" w:hanging="720"/>
        <w:jc w:val="left"/>
      </w:pPr>
      <w:r>
        <w:rPr>
          <w:rFonts w:ascii="Calibri" w:cs="Calibri" w:eastAsia="Calibri" w:hAnsi="Calibri"/>
          <w:sz w:val="22"/>
          <w:szCs w:val="22"/>
        </w:rPr>
        <w:t xml:space="preserve">Ministerio de Educación de Chile. (2023, 16 de junio). Mineduc presenta Estrategia para la Reactivación Matemática. </w:t>
      </w:r>
      <w:hyperlink w:history="1" r:id="rIdnnphhhett_lvzsnpoxca9">
        <w:r>
          <w:rPr>
            <w:rStyle w:val="Hyperlink"/>
            <w:rFonts w:ascii="Calibri" w:cs="Calibri" w:eastAsia="Calibri" w:hAnsi="Calibri"/>
            <w:sz w:val="22"/>
            <w:szCs w:val="22"/>
          </w:rPr>
          <w:t xml:space="preserve">https://www.mineduc.cl/mineduc-presenta-estrategia-para-la-reactivacion-matematica/</w:t>
        </w:r>
      </w:hyperlink>
    </w:p>
    <w:p>
      <w:pPr>
        <w:spacing w:after="160" w:line="360"/>
        <w:ind w:left="720" w:hanging="720"/>
        <w:jc w:val="left"/>
      </w:pPr>
      <w:r>
        <w:rPr>
          <w:rFonts w:ascii="Calibri" w:cs="Calibri" w:eastAsia="Calibri" w:hAnsi="Calibri"/>
          <w:sz w:val="22"/>
          <w:szCs w:val="22"/>
        </w:rPr>
        <w:t xml:space="preserve">Ministerio de Educación de Chile. (s. f.). Matific. Currículum Nacional. </w:t>
      </w:r>
      <w:hyperlink w:history="1" r:id="rIdjmubenzgibpd4auehbo9z">
        <w:r>
          <w:rPr>
            <w:rStyle w:val="Hyperlink"/>
            <w:rFonts w:ascii="Calibri" w:cs="Calibri" w:eastAsia="Calibri" w:hAnsi="Calibri"/>
            <w:sz w:val="22"/>
            <w:szCs w:val="22"/>
          </w:rPr>
          <w:t xml:space="preserve">https://www.curriculumnacional.cl/portal/Curso/Educacion-General/1-basico/135440:Matific</w:t>
        </w:r>
      </w:hyperlink>
    </w:p>
    <w:p>
      <w:pPr>
        <w:spacing w:after="160" w:line="360"/>
        <w:ind w:left="720" w:hanging="720"/>
        <w:jc w:val="left"/>
      </w:pPr>
      <w:r>
        <w:rPr>
          <w:rFonts w:ascii="Calibri" w:cs="Calibri" w:eastAsia="Calibri" w:hAnsi="Calibri"/>
          <w:sz w:val="22"/>
          <w:szCs w:val="22"/>
        </w:rPr>
        <w:t xml:space="preserve">Secretaría de Gobierno Digital. (s. f.). Guía práctica para facilitar la implementación de la nueva Ley de Protección de Datos Personales en la Administración. </w:t>
      </w:r>
      <w:hyperlink w:history="1" r:id="rIdzxa-jhbrgx_xgzqmarbqt">
        <w:r>
          <w:rPr>
            <w:rStyle w:val="Hyperlink"/>
            <w:rFonts w:ascii="Calibri" w:cs="Calibri" w:eastAsia="Calibri" w:hAnsi="Calibri"/>
            <w:sz w:val="22"/>
            <w:szCs w:val="22"/>
          </w:rPr>
          <w:t xml:space="preserve">https://wikiguias.digital.gob.cl/datos-personales/guia-practica-implementacion-nueva-ley-datos-personales</w:t>
        </w:r>
      </w:hyperlink>
    </w:p>
    <w:p>
      <w:pPr>
        <w:spacing w:after="160" w:line="360"/>
        <w:ind w:left="720" w:hanging="720"/>
        <w:jc w:val="left"/>
      </w:pPr>
      <w:r>
        <w:rPr>
          <w:rFonts w:ascii="Calibri" w:cs="Calibri" w:eastAsia="Calibri" w:hAnsi="Calibri"/>
          <w:sz w:val="22"/>
          <w:szCs w:val="22"/>
        </w:rPr>
        <w:t xml:space="preserve">Smartick. (s. f.). Matemáticas online para niños. </w:t>
      </w:r>
      <w:hyperlink w:history="1" r:id="rIdpdva-j_wxvqpusyqxklnv">
        <w:r>
          <w:rPr>
            <w:rStyle w:val="Hyperlink"/>
            <w:rFonts w:ascii="Calibri" w:cs="Calibri" w:eastAsia="Calibri" w:hAnsi="Calibri"/>
            <w:sz w:val="22"/>
            <w:szCs w:val="22"/>
          </w:rPr>
          <w:t xml:space="preserve">https://lp.smartick.es/matematicas-online/</w:t>
        </w:r>
      </w:hyperlink>
    </w:p>
    <w:p>
      <w:r>
        <w:br w:type="page"/>
      </w:r>
    </w:p>
    <w:p>
      <w:pPr>
        <w:pStyle w:val="Heading1"/>
        <w:spacing w:after="200" w:before="320" w:line="360"/>
      </w:pPr>
      <w:r>
        <w:rPr>
          <w:rFonts w:ascii="Calibri" w:cs="Calibri" w:eastAsia="Calibri" w:hAnsi="Calibri"/>
          <w:b/>
          <w:bCs/>
          <w:color w:val="1F3864"/>
          <w:sz w:val="30"/>
          <w:szCs w:val="30"/>
        </w:rPr>
        <w:t xml:space="preserve">Anexo de evidencia</w:t>
      </w:r>
    </w:p>
    <w:p>
      <w:pPr>
        <w:spacing w:after="160" w:line="360"/>
        <w:jc w:val="both"/>
      </w:pPr>
      <w:r>
        <w:rPr>
          <w:rFonts w:ascii="Calibri" w:cs="Calibri" w:eastAsia="Calibri" w:hAnsi="Calibri"/>
          <w:sz w:val="22"/>
          <w:szCs w:val="22"/>
        </w:rPr>
        <w:t xml:space="preserve">Los entregables producidos durante la Fase 1 se encuentran en la estructura de carpetas de la entrega y en el repositorio del proyecto. La tabla siguiente los relaciona con el indicador de calidad que evidencian.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200"/>
      </w:tblGrid>
      <w:tr>
        <w:trPr>
          <w:tblHeader/>
        </w:trPr>
        <w:tc>
          <w:tcPr>
            <w:tcW w:type="dxa" w:w="30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Entregable</w:t>
            </w:r>
          </w:p>
        </w:tc>
        <w:tc>
          <w:tcPr>
            <w:tcW w:type="dxa" w:w="26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Ubicación</w:t>
            </w:r>
          </w:p>
        </w:tc>
        <w:tc>
          <w:tcPr>
            <w:tcW w:type="dxa" w:w="3200"/>
            <w:shd w:fill="1F3864" w:val="clear"/>
            <w:tcMar>
              <w:top w:type="dxa" w:w="80"/>
              <w:left w:type="dxa" w:w="110"/>
              <w:bottom w:type="dxa" w:w="80"/>
              <w:right w:type="dxa" w:w="110"/>
            </w:tcMar>
          </w:tcPr>
          <w:p>
            <w:pPr>
              <w:spacing w:after="0" w:line="240"/>
              <w:jc w:val="left"/>
            </w:pPr>
            <w:r>
              <w:rPr>
                <w:rFonts w:ascii="Calibri" w:cs="Calibri" w:eastAsia="Calibri" w:hAnsi="Calibri"/>
                <w:b/>
                <w:bCs/>
                <w:color w:val="FFFFFF"/>
                <w:sz w:val="20"/>
                <w:szCs w:val="20"/>
              </w:rPr>
              <w:t xml:space="preserve">Indicador que evidencia</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Lista de requerimientos funcionales y no funcionales (26 RF y 10 RNF, con método de verificación)</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1.1, 4.1</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Diagrama general de casos de uso (29 CU)</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4.1</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Diagramas particulares por cada caso de uso</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4.1</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Plantillas de casos de uso</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4.1</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Mockups de las vistas Alumno y Tutor</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 / Mockups</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4.1</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Diagrama de arquitectura</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Diseño / Diagrama de arquitectura</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3.1, 4.2</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Carta Gantt de la Fase 1</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Gestión</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2.1</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Matriz RACI (39 actividades)</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Gestión</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2.1</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Plan de riesgos (13 riesgos)</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Anexos / Gestión</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2.2</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Guía de Definición del Proyecto APT</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Documentos administrativos / Fase 1 / Evidencias Grupales</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2.1</w:t>
            </w:r>
          </w:p>
        </w:tc>
      </w:tr>
      <w:tr>
        <w:trPr>
          <w:tblHeader w:val="false"/>
        </w:trPr>
        <w:tc>
          <w:tcPr>
            <w:tcW w:type="dxa" w:w="3000"/>
            <w:tcMar>
              <w:top w:type="dxa" w:w="80"/>
              <w:left w:type="dxa" w:w="110"/>
              <w:bottom w:type="dxa" w:w="80"/>
              <w:right w:type="dxa" w:w="110"/>
            </w:tcMar>
          </w:tcPr>
          <w:p>
            <w:pPr>
              <w:spacing w:after="0" w:line="240"/>
              <w:jc w:val="left"/>
            </w:pPr>
            <w:r>
              <w:rPr>
                <w:rFonts w:ascii="Calibri" w:cs="Calibri" w:eastAsia="Calibri" w:hAnsi="Calibri"/>
                <w:sz w:val="20"/>
                <w:szCs w:val="20"/>
              </w:rPr>
              <w:t xml:space="preserve">Propuesta de proyecto (estado del arte y análisis comparativo)</w:t>
            </w:r>
          </w:p>
        </w:tc>
        <w:tc>
          <w:tcPr>
            <w:tcW w:type="dxa" w:w="2600"/>
            <w:tcMar>
              <w:top w:type="dxa" w:w="80"/>
              <w:left w:type="dxa" w:w="110"/>
              <w:bottom w:type="dxa" w:w="80"/>
              <w:right w:type="dxa" w:w="110"/>
            </w:tcMar>
          </w:tcPr>
          <w:p>
            <w:pPr>
              <w:spacing w:after="0" w:line="240"/>
              <w:jc w:val="left"/>
            </w:pPr>
            <w:r>
              <w:rPr>
                <w:rFonts w:ascii="Calibri" w:cs="Calibri" w:eastAsia="Calibri" w:hAnsi="Calibri"/>
                <w:sz w:val="20"/>
                <w:szCs w:val="20"/>
              </w:rPr>
              <w:t xml:space="preserve">Documentos administrativos / Fase 1 / Evidencias Grupales</w:t>
            </w:r>
          </w:p>
        </w:tc>
        <w:tc>
          <w:tcPr>
            <w:tcW w:type="dxa" w:w="3200"/>
            <w:tcMar>
              <w:top w:type="dxa" w:w="80"/>
              <w:left w:type="dxa" w:w="110"/>
              <w:bottom w:type="dxa" w:w="80"/>
              <w:right w:type="dxa" w:w="110"/>
            </w:tcMar>
          </w:tcPr>
          <w:p>
            <w:pPr>
              <w:spacing w:after="0" w:line="240"/>
              <w:jc w:val="left"/>
            </w:pPr>
            <w:r>
              <w:rPr>
                <w:rFonts w:ascii="Calibri" w:cs="Calibri" w:eastAsia="Calibri" w:hAnsi="Calibri"/>
                <w:sz w:val="20"/>
                <w:szCs w:val="20"/>
              </w:rPr>
              <w:t xml:space="preserve">2.1</w:t>
            </w:r>
          </w:p>
        </w:tc>
      </w:tr>
      <w:tr>
        <w:trPr>
          <w:tblHeader w:val="false"/>
        </w:trPr>
        <w:tc>
          <w:tcPr>
            <w:tcW w:type="dxa" w:w="30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Autoevaluaciones de competencias y diarios de reflexión de ambos integrantes</w:t>
            </w:r>
          </w:p>
        </w:tc>
        <w:tc>
          <w:tcPr>
            <w:tcW w:type="dxa" w:w="26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Documentos administrativos / Fase 1 / Evidencias Individuales</w:t>
            </w:r>
          </w:p>
        </w:tc>
        <w:tc>
          <w:tcPr>
            <w:tcW w:type="dxa" w:w="3200"/>
            <w:shd w:fill="F2F5FA" w:val="clear"/>
            <w:tcMar>
              <w:top w:type="dxa" w:w="80"/>
              <w:left w:type="dxa" w:w="110"/>
              <w:bottom w:type="dxa" w:w="80"/>
              <w:right w:type="dxa" w:w="110"/>
            </w:tcMar>
          </w:tcPr>
          <w:p>
            <w:pPr>
              <w:spacing w:after="0" w:line="240"/>
              <w:jc w:val="left"/>
            </w:pPr>
            <w:r>
              <w:rPr>
                <w:rFonts w:ascii="Calibri" w:cs="Calibri" w:eastAsia="Calibri" w:hAnsi="Calibri"/>
                <w:sz w:val="20"/>
                <w:szCs w:val="20"/>
              </w:rPr>
              <w:t xml:space="preserve">—</w:t>
            </w:r>
          </w:p>
        </w:tc>
      </w:tr>
    </w:tbl>
    <w:p>
      <w:pPr>
        <w:spacing w:after="60" w:line="360"/>
        <w:jc w:val="both"/>
      </w:pPr>
      <w:r>
        <w:rPr>
          <w:rFonts w:ascii="Calibri" w:cs="Calibri" w:eastAsia="Calibri" w:hAnsi="Calibri"/>
          <w:sz w:val="22"/>
          <w:szCs w:val="22"/>
        </w:rPr>
        <w:t xml:space="preserve"/>
      </w:r>
    </w:p>
    <w:p>
      <w:pPr>
        <w:spacing w:after="160" w:line="360"/>
        <w:jc w:val="both"/>
      </w:pPr>
      <w:r>
        <w:rPr>
          <w:rFonts w:ascii="Calibri" w:cs="Calibri" w:eastAsia="Calibri" w:hAnsi="Calibri"/>
          <w:sz w:val="22"/>
          <w:szCs w:val="22"/>
        </w:rPr>
        <w:t xml:space="preserve">Repositorio del proyecto: </w:t>
      </w:r>
      <w:r>
        <w:rPr>
          <w:rFonts w:ascii="Calibri" w:cs="Calibri" w:eastAsia="Calibri" w:hAnsi="Calibri"/>
          <w:color w:val="0563C1"/>
          <w:sz w:val="22"/>
          <w:szCs w:val="22"/>
        </w:rPr>
        <w:t xml:space="preserve">https://github.com/mateocarrascof/proyecto_kumon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pspjvkxjlz-3zopgdjl2m" Type="http://schemas.openxmlformats.org/officeDocument/2006/relationships/hyperlink" Target="https://s3.amazonaws.com/archivos.agenciaeducacion.cl/Informe+Nacional+PISA+2022.pdf" TargetMode="External"/><Relationship Id="rIde7zlgs-nf6wmdveptvtbg" Type="http://schemas.openxmlformats.org/officeDocument/2006/relationships/hyperlink" Target="https://www.agenciaeducacion.cl/resultados-simce-2024-revelan-historico-avance-en-4basico/" TargetMode="External"/><Relationship Id="rId6w5u-zdtwhcrvgvrax3c7" Type="http://schemas.openxmlformats.org/officeDocument/2006/relationships/hyperlink" Target="https://www.bcn.cl/leychile/navegar?idNorma=141599" TargetMode="External"/><Relationship Id="rIdbunwf1hcnp5ivzsosnbrq" Type="http://schemas.openxmlformats.org/officeDocument/2006/relationships/hyperlink" Target="https://www.bcn.cl/leychile/navegar?idNorma=1209272" TargetMode="External"/><Relationship Id="rIdcxtakexhxpmireyjrub3y" Type="http://schemas.openxmlformats.org/officeDocument/2006/relationships/hyperlink" Target="https://www.emol.com/noticias/Nacional/2026/09/08/1210835/bajos-resultados-prueba-pisa-chile.html" TargetMode="External"/><Relationship Id="rIdwojlvbt_5zhceth3nq8mt" Type="http://schemas.openxmlformats.org/officeDocument/2006/relationships/hyperlink" Target="https://www.latercera.com/nacional/noticia/chile-mantiene-brechas-con-los-paises-ocde-6-de-cada-10-alumnos-no-llegan-al-nivel-basico-en-matematica/" TargetMode="External"/><Relationship Id="rIdnnphhhett_lvzsnpoxca9" Type="http://schemas.openxmlformats.org/officeDocument/2006/relationships/hyperlink" Target="https://www.mineduc.cl/mineduc-presenta-estrategia-para-la-reactivacion-matematica/" TargetMode="External"/><Relationship Id="rIdjmubenzgibpd4auehbo9z" Type="http://schemas.openxmlformats.org/officeDocument/2006/relationships/hyperlink" Target="https://www.curriculumnacional.cl/portal/Curso/Educacion-General/1-basico/135440:Matific" TargetMode="External"/><Relationship Id="rIdzxa-jhbrgx_xgzqmarbqt" Type="http://schemas.openxmlformats.org/officeDocument/2006/relationships/hyperlink" Target="https://wikiguias.digital.gob.cl/datos-personales/guia-practica-implementacion-nueva-ley-datos-personales" TargetMode="External"/><Relationship Id="rIdpdva-j_wxvqpusyqxklnv" Type="http://schemas.openxmlformats.org/officeDocument/2006/relationships/hyperlink" Target="https://lp.smartick.es/matematicas-online/"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7: IA Matemática — Informe formativo Fase 1</dc:title>
  <dc:creator>Mateo Carrasco · Adolfo Cartes</dc:creator>
  <dc:description>Evaluación 1.4 Formativa Definición Proyecto APT — Capstone (PTY4614)</dc:description>
  <cp:lastModifiedBy>Un-named</cp:lastModifiedBy>
  <cp:revision>1</cp:revision>
  <dcterms:created xsi:type="dcterms:W3CDTF">2026-09-12T04:00:03.268Z</dcterms:created>
  <dcterms:modified xsi:type="dcterms:W3CDTF">2026-09-12T04:00:03.268Z</dcterms:modified>
</cp:coreProperties>
</file>

<file path=docProps/custom.xml><?xml version="1.0" encoding="utf-8"?>
<Properties xmlns="http://schemas.openxmlformats.org/officeDocument/2006/custom-properties" xmlns:vt="http://schemas.openxmlformats.org/officeDocument/2006/docPropsVTypes"/>
</file>