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End-to-end live on mainnet: stealth-address payments, ZK Privacy Pool deposits/withdrawals, relayer, PDF compliance reports.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Yes. Mobile-responsive Next.js frontend with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Internal engineering hardening informed by founder use and feedback from &lt;10 people (hackathon judges, advisors); preparation for migration to a more cost-efficient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Not Open Source yet. Repository will be made public by month six of the funded period, per UNICEF open-source requirements.</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 xml:space="preserve">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currently private; access for @unicefinnovation will be granted upon request.</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Acknowledged: access for @unicefinnovation will be granted before the evaluation period begins.</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we will open external contributions after the month-six public release.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work full-time.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release, sandbox with partner staff. Q3: controlled pilot (≤50 beneficiaries), multi-language UI, Shipwreck jurisdiction expansion. Q4: pilot expansion to ≤100 beneficiaries, independent usability evaluation, developer docs, sustainability roadmap, WCAG 2.1 AA accessibility audit.</w:t>
      </w:r>
    </w:p>
    <w:p>
      <w:pPr>
        <w:spacing w:after="100"/>
        <w:ind w:left="200"/>
      </w:pPr>
      <w:r>
        <w:rPr>
          <w:rFonts w:ascii="Calibri" w:hAnsi="Calibri"/>
          <w:i/>
          <w:color w:val="1F3A68"/>
          <w:sz w:val="22"/>
        </w:rPr>
        <w:t xml:space="preserve">Year 2: Client-side viewing-key custody (removes the last server-side personal-data analogue). Sustainability model based on partner-supported infrastructure fees (paid by programme sponsors, never deducted from beneficiary entitlements; waived during pilots) and ASP attestation service tiers for organisations needing compliance-grade privacy infrastructure.</w:t>
      </w:r>
    </w:p>
    <w:p>
      <w:pPr>
        <w:spacing w:after="100"/>
        <w:ind w:left="200"/>
      </w:pPr>
      <w:r>
        <w:rPr>
          <w:rFonts w:ascii="Calibri" w:hAnsi="Calibri"/>
          <w:i/>
          <w:color w:val="1F3A68"/>
          <w:sz w:val="22"/>
        </w:rPr>
        <w:t xml:space="preserve">Scalability trajectory: Galeon's per-transaction cost is dominated by ZK proof verification gas on L2. Recent and upcoming Ethereum upgrades (increased blob throughput, cheaper L2 data availability) reduce this without any changes to our contracts. Lower-cost L2s offer significantly cheaper proof verification than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For the cryptographic and contract layers, accountability is enforced by 443 deterministic tests, internal security reviews, planned external delta-audit (Q1-Q2 of the funded period), and the open allowlist mechanism that publishes ASP Merkle roots on-chain with an IPFS-CID field for transparent audit trails.</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 xml:space="preserve">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cost assessment and chain selection with UNICEF country offices, not migration as a deliverable. We are evaluating migration to a higher-throughput / lower-cost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rPr>
          <w:rFonts w:ascii="Calibri" w:hAnsi="Calibri"/>
          <w:i/>
          <w:color w:val="1F3A68"/>
          <w:sz w:val="22"/>
        </w:rPr>
        <w:t xml:space="preserve">Answer: FATF, R.15 Virtual Assets &amp; VASPs: https://www.fatf-gafi.org/en/publications/Fatfrecommendations/Guidance-rba-virtual-assets-2021.html. FinCEN (US) virtual currency guidance: https://www.fincen.gov/resources/statutes-and-regulations/guidance/application-fincens-regulations-persons-administering. EU MiCA Regulation (2023/1114): https://www.esma.europa.eu/esmas-activities/digital-finance-and-innovation/markets-crypto-assets-regulation-mica. Colombia UIAF circulars on VASPs: https://www.uiaf.gov.co/. 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blocklist, vetted attestation) is the first major Q2 deliverable;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allows users to exit the pool if compelled by legal process. We will engage outside counsel and pursue partner-specific certifications in each pilot jurisdiction.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Users interact via Galeon's Next.js web application (mobile-responsive, mobile-first).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embedded email-based wallet via Privy plus account abstraction. The goal: a beneficiary opens a link, logs in with email, and receives stablecoins — without ever seeing a seed phrase, gas fee, or network-switching prompt. Account abstraction lets the implementing partner sponsor transaction gas where appropriate, batch operations, and provide social/email recovery. Users do not need to know they are using crypto until they hold the stablecoin balance.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pPr>
        <w:rPr>
          <w:rFonts w:ascii="Calibri" w:eastAsia="Calibri" w:hAnsi="Calibri" w:cs="Calibri"/>
          <w:bCs/>
          <w:sz w:val="22"/>
          <w:szCs w:val="22"/>
          <w:lang w:val="en-GB"/>
        </w:rPr>
      </w:pPr>
      <w:r w:rsidRPr="00A92B2F">
        <w:rPr>
          <w:rFonts w:ascii="Calibri" w:eastAsia="Calibri" w:hAnsi="Calibri" w:cs="Calibri"/>
          <w:b/>
          <w:i/>
          <w:sz w:val="22"/>
          <w:szCs w:val="22"/>
          <w:lang w:val="en-GB"/>
        </w:rPr>
        <w:t xml:space="preserve">PLEASE INSERT HERE: Annex 1: </w:t>
      </w:r>
      <w:r w:rsidRPr="0075242A">
        <w:rPr>
          <w:rFonts w:ascii="Calibri" w:eastAsia="Calibri" w:hAnsi="Calibri" w:cs="Calibri"/>
          <w:b/>
          <w:sz w:val="22"/>
          <w:szCs w:val="22"/>
          <w:lang w:val="en-GB"/>
        </w:rPr>
        <w:t>a diagram of your current tech stack including all components and subsystems, showing their linkages and interactions</w:t>
      </w:r>
      <w:r w:rsidRPr="0075242A">
        <w:rPr>
          <w:rFonts w:ascii="Calibri" w:eastAsia="Calibri" w:hAnsi="Calibri" w:cs="Calibri"/>
          <w:sz w:val="22"/>
          <w:szCs w:val="22"/>
          <w:lang w:val="en-GB"/>
        </w:rPr>
        <w:t xml:space="preserve">. A tech stack is a combination of software products and programming languages used. </w:t>
      </w:r>
      <w:r w:rsidRPr="008F6CD5">
        <w:rPr>
          <w:rFonts w:ascii="Calibri" w:eastAsia="Calibri" w:hAnsi="Calibri" w:cs="Calibri"/>
          <w:b/>
          <w:bCs/>
          <w:sz w:val="22"/>
          <w:szCs w:val="22"/>
          <w:lang w:val="en-GB"/>
        </w:rPr>
        <w:t>For this diagram, include:</w:t>
      </w:r>
      <w:r w:rsidRPr="0075242A">
        <w:rPr>
          <w:rFonts w:ascii="Calibri" w:eastAsia="Calibri" w:hAnsi="Calibri" w:cs="Calibri"/>
          <w:sz w:val="22"/>
          <w:szCs w:val="22"/>
          <w:lang w:val="en-GB"/>
        </w:rPr>
        <w:t xml:space="preserve"> both </w:t>
      </w:r>
      <w:r w:rsidR="00221904">
        <w:rPr>
          <w:rFonts w:ascii="Calibri" w:eastAsia="Calibri" w:hAnsi="Calibri" w:cs="Calibri"/>
          <w:sz w:val="22"/>
          <w:szCs w:val="22"/>
          <w:lang w:val="en-GB"/>
        </w:rPr>
        <w:t>client-side</w:t>
      </w:r>
      <w:r w:rsidRPr="0075242A">
        <w:rPr>
          <w:rFonts w:ascii="Calibri" w:eastAsia="Calibri" w:hAnsi="Calibri" w:cs="Calibri"/>
          <w:sz w:val="22"/>
          <w:szCs w:val="22"/>
          <w:lang w:val="en-GB"/>
        </w:rPr>
        <w:t xml:space="preserve"> and server side documentation if relevant, tools used for front-end and back-end systems (including databases), and any meta-layers</w:t>
      </w:r>
      <w:r w:rsidRPr="0075242A">
        <w:rPr>
          <w:rFonts w:ascii="Arial" w:eastAsia="Arial" w:hAnsi="Arial" w:cs="Arial"/>
          <w:bCs/>
          <w:sz w:val="26"/>
          <w:szCs w:val="26"/>
          <w:highlight w:val="white"/>
          <w:lang w:val="en-GB"/>
        </w:rPr>
        <w:t>.</w:t>
      </w:r>
    </w:p>
    <w:p>
      <w:pPr>
        <w:spacing w:after="80"/>
      </w:pPr>
      <w:r>
        <w:rPr>
          <w:rFonts w:ascii="Consolas" w:hAnsi="Consolas"/>
          <w:sz w:val="18"/>
        </w:rPr>
        <w:t xml:space="preserve">ANNEX 1 — GALEON TECH STACK (Written Description)</w:t>
      </w:r>
    </w:p>
    <w:p>
      <w:pPr>
        <w:spacing w:after="80"/>
      </w:pPr>
      <w:r>
        <w:rPr>
          <w:rFonts w:ascii="Consolas" w:hAnsi="Consolas"/>
          <w:sz w:val="18"/>
        </w:rPr>
        <w:t xml:space="preserve"> </w:t>
      </w:r>
    </w:p>
    <w:p>
      <w:pPr>
        <w:spacing w:after="80"/>
      </w:pPr>
      <w:r>
        <w:rPr>
          <w:rFonts w:ascii="Consolas" w:hAnsi="Consolas"/>
          <w:sz w:val="18"/>
        </w:rPr>
        <w:t xml:space="preserve">TEXTUAL DIAGRAM (top = client; bottom = chain):</w:t>
      </w:r>
    </w:p>
    <w:p>
      <w:pPr>
        <w:spacing w:after="80"/>
      </w:pPr>
      <w:r>
        <w:rPr>
          <w:rFonts w:ascii="Consolas" w:hAnsi="Consolas"/>
          <w:sz w:val="18"/>
        </w:rPr>
        <w:t xml:space="preserve"> </w:t>
      </w:r>
    </w:p>
    <w:p>
      <w:pPr>
        <w:spacing w:after="80"/>
      </w:pPr>
      <w:r>
        <w:rPr>
          <w:rFonts w:ascii="Consolas" w:hAnsi="Consolas"/>
          <w:sz w:val="18"/>
        </w:rPr>
        <w:t xml:space="preserve">[ User (web / mobile browser) ]</w:t>
      </w:r>
    </w:p>
    <w:p>
      <w:pPr>
        <w:spacing w:after="80"/>
      </w:pPr>
      <w:r>
        <w:rPr>
          <w:rFonts w:ascii="Consolas" w:hAnsi="Consolas"/>
          <w:sz w:val="18"/>
        </w:rPr>
        <w:t xml:space="preserve">        ↓  HTTPS / WalletConnect</w:t>
      </w:r>
    </w:p>
    <w:p>
      <w:pPr>
        <w:spacing w:after="80"/>
      </w:pPr>
      <w:r>
        <w:rPr>
          <w:rFonts w:ascii="Consolas" w:hAnsi="Consolas"/>
          <w:sz w:val="18"/>
        </w:rPr>
        <w:t xml:space="preserve">[ apps/web — Next.js 16 + React 19 + Tailwind v4 + wagmi v3 + Reown AppKit ]</w:t>
      </w:r>
    </w:p>
    <w:p>
      <w:pPr>
        <w:spacing w:after="80"/>
      </w:pPr>
      <w:r>
        <w:rPr>
          <w:rFonts w:ascii="Consolas" w:hAnsi="Consolas"/>
          <w:sz w:val="18"/>
        </w:rPr>
        <w:t xml:space="preserve">        ↓  REST (SIWE JWT)              ↓  Direct JSON-RPC (signed tx)</w:t>
      </w:r>
    </w:p>
    <w:p>
      <w:pPr>
        <w:spacing w:after="80"/>
      </w:pPr>
      <w:r>
        <w:rPr>
          <w:rFonts w:ascii="Consolas" w:hAnsi="Consolas"/>
          <w:sz w:val="18"/>
        </w:rPr>
        <w:t xml:space="preserve">[ apps/api — AdonisJS 6 + Lucid ORM + Transmit SSE + PostgreSQL (Railway) ]</w:t>
      </w:r>
    </w:p>
    <w:p>
      <w:pPr>
        <w:spacing w:after="80"/>
      </w:pPr>
      <w:r>
        <w:rPr>
          <w:rFonts w:ascii="Consolas" w:hAnsi="Consolas"/>
          <w:sz w:val="18"/>
        </w:rPr>
        <w:t xml:space="preserve">        ↓  reads indexed events         ↓  submits private withdrawals</w:t>
      </w:r>
    </w:p>
    <w:p>
      <w:pPr>
        <w:spacing w:after="80"/>
      </w:pPr>
      <w:r>
        <w:rPr>
          <w:rFonts w:ascii="Consolas" w:hAnsi="Consolas"/>
          <w:sz w:val="18"/>
        </w:rPr>
        <w:t xml:space="preserve">[ apps/indexer — Ponder + Viem ]      [ Relayer service (apps/api) ]</w:t>
      </w:r>
    </w:p>
    <w:p>
      <w:pPr>
        <w:spacing w:after="80"/>
      </w:pPr>
      <w:r>
        <w:rPr>
          <w:rFonts w:ascii="Consolas" w:hAnsi="Consolas"/>
          <w:sz w:val="18"/>
        </w:rPr>
        <w:t xml:space="preserve">        ↓                                ↓</w:t>
      </w:r>
    </w:p>
    <w:p>
      <w:pPr>
        <w:spacing w:after="80"/>
      </w:pPr>
      <w:r>
        <w:rPr>
          <w:rFonts w:ascii="Consolas" w:hAnsi="Consolas"/>
          <w:sz w:val="18"/>
        </w:rPr>
        <w:t xml:space="preserve">[ packages/stealth — EIP-5564/6538 (Noble curves &amp; hashes) ]</w:t>
      </w:r>
    </w:p>
    <w:p>
      <w:pPr>
        <w:spacing w:after="80"/>
      </w:pPr>
      <w:r>
        <w:rPr>
          <w:rFonts w:ascii="Consolas" w:hAnsi="Consolas"/>
          <w:sz w:val="18"/>
        </w:rPr>
        <w:t xml:space="preserve">[ packages/pool — Privacy Pool SDK (Groth16 prover, LeanIMT, Poseidon) ]</w:t>
      </w:r>
    </w:p>
    <w:p>
      <w:pPr>
        <w:spacing w:after="80"/>
      </w:pPr>
      <w:r>
        <w:rPr>
          <w:rFonts w:ascii="Consolas" w:hAnsi="Consolas"/>
          <w:sz w:val="18"/>
        </w:rPr>
        <w:t xml:space="preserve">[ packages/contracts — Solidity ^0.8.20/^0.8.24 (Hardhat) ] → deployed on Mantle Mainnet (and any EVM L2)</w:t>
      </w:r>
    </w:p>
    <w:p>
      <w:pPr>
        <w:spacing w:after="80"/>
      </w:pPr>
      <w:r>
        <w:rPr>
          <w:rFonts w:ascii="Consolas" w:hAnsi="Consolas"/>
          <w:sz w:val="18"/>
        </w:rPr>
        <w:t xml:space="preserve"> </w:t>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1. apps/web — Frontend. Next.js 16, React 19, Tailwind v4, wagmi v3, Reown AppKit for wallet connection. Mobile-responsive web app. Status: complete and live at https://galeon.finance. Open source plan: yes (MIT) on public release.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plan: yes.</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plan: yes.</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plan: yes (MIT).</w:t>
      </w:r>
    </w:p>
    <w:p>
      <w:pPr>
        <w:spacing w:after="80"/>
      </w:pPr>
      <w:r>
        <w:rPr>
          <w:rFonts w:ascii="Consolas" w:hAnsi="Consolas"/>
          <w:sz w:val="18"/>
        </w:rPr>
        <w:t xml:space="preserve"> </w:t>
      </w:r>
    </w:p>
    <w:p>
      <w:pPr>
        <w:spacing w:after="80"/>
      </w:pPr>
      <w:r>
        <w:rPr>
          <w:rFonts w:ascii="Consolas" w:hAnsi="Consolas"/>
          <w:sz w:val="18"/>
        </w:rPr>
        <w:t>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plan: yes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plan: yes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plan: yes.</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pPr>
        <w:spacing w:after="80"/>
      </w:pPr>
      <w:r>
        <w:rPr>
          <w:rFonts w:ascii="Consolas" w:hAnsi="Consolas"/>
          <w:sz w:val="18"/>
        </w:rPr>
        <w:t xml:space="preserve">ANNEX 2 — DATA FLOW DIAGRAM (Written Description)</w:t>
      </w:r>
    </w:p>
    <w:p>
      <w:pPr>
        <w:spacing w:after="80"/>
      </w:pPr>
      <w:r>
        <w:rPr>
          <w:rFonts w:ascii="Consolas" w:hAnsi="Consolas"/>
          <w:sz w:val="18"/>
        </w:rPr>
        <w:t xml:space="preserve"> </w:t>
      </w:r>
    </w:p>
    <w:p>
      <w:pPr>
        <w:spacing w:after="80"/>
      </w:pPr>
      <w:r>
        <w:rPr>
          <w:rFonts w:ascii="Consolas" w:hAnsi="Consolas"/>
          <w:sz w:val="18"/>
        </w:rPr>
        <w:t xml:space="preserve">TEXTUAL DIAGRAM:</w:t>
      </w:r>
    </w:p>
    <w:p>
      <w:pPr>
        <w:spacing w:after="80"/>
      </w:pPr>
      <w:r>
        <w:rPr>
          <w:rFonts w:ascii="Consolas" w:hAnsi="Consolas"/>
          <w:sz w:val="18"/>
        </w:rPr>
        <w:t xml:space="preserve"> </w:t>
      </w:r>
    </w:p>
    <w:p>
      <w:pPr>
        <w:spacing w:after="80"/>
      </w:pPr>
      <w:r>
        <w:rPr>
          <w:rFonts w:ascii="Consolas" w:hAnsi="Consolas"/>
          <w:sz w:val="18"/>
        </w:rPr>
        <w:t xml:space="preserve">[ User wallet ]  → (1) SIWE signature →  [ apps/api ]  → issues JWT</w:t>
      </w:r>
    </w:p>
    <w:p>
      <w:pPr>
        <w:spacing w:after="80"/>
      </w:pPr>
      <w:r>
        <w:rPr>
          <w:rFonts w:ascii="Consolas" w:hAnsi="Consolas"/>
          <w:sz w:val="18"/>
        </w:rPr>
        <w:t xml:space="preserve">[ User wallet ]  → (2) Port creation tx →  [ Chain: GaleonRegistry ]  → indexer ingests event → apps/api stores Port + encrypted viewing key</w:t>
      </w:r>
    </w:p>
    <w:p>
      <w:pPr>
        <w:spacing w:after="80"/>
      </w:pPr>
      <w:r>
        <w:rPr>
          <w:rFonts w:ascii="Consolas" w:hAnsi="Consolas"/>
          <w:sz w:val="18"/>
        </w:rPr>
        <w:t xml:space="preserve">[ Payer wallet ] → (3) Payment tx to stealth address →  [ Chain: GaleonRegistry + Announcer ] → indexer → frontend scans with viewing key + view tag → user sees incoming payment</w:t>
      </w:r>
    </w:p>
    <w:p>
      <w:pPr>
        <w:spacing w:after="80"/>
      </w:pPr>
      <w:r>
        <w:rPr>
          <w:rFonts w:ascii="Consolas" w:hAnsi="Consolas"/>
          <w:sz w:val="18"/>
        </w:rPr>
        <w:t xml:space="preserve">[ User wallet ]  → (4) Pool deposit tx (Poseidon commitment) →  [ Chain: GaleonEntrypoint + PrivacyPool ] → indexer → ASP worker approves label → ASP Merkle root published on-chain</w:t>
      </w:r>
    </w:p>
    <w:p>
      <w:pPr>
        <w:spacing w:after="80"/>
      </w:pPr>
      <w:r>
        <w:rPr>
          <w:rFonts w:ascii="Consolas" w:hAnsi="Consolas"/>
          <w:sz w:val="18"/>
        </w:rPr>
        <w:t xml:space="preserve">[ User frontend ] → (5) Generate Groth16 proof CLIENT-SIDE → POST to relayer →  Relayer broadcasts withdrawal tx →  Recipient receives funds, no on-chain link to depositor</w:t>
      </w:r>
    </w:p>
    <w:p>
      <w:pPr>
        <w:spacing w:after="80"/>
      </w:pPr>
      <w:r>
        <w:rPr>
          <w:rFonts w:ascii="Consolas" w:hAnsi="Consolas"/>
          <w:sz w:val="18"/>
        </w:rPr>
        <w:t xml:space="preserve">[ User frontend ] → (6) Request Shipwreck report → apps/api compiles port history + on-chain data → returns PDF to user; PDF is never stored</w:t>
      </w:r>
    </w:p>
    <w:p>
      <w:pPr>
        <w:spacing w:after="80"/>
      </w:pPr>
      <w:r>
        <w:rPr>
          <w:rFonts w:ascii="Consolas" w:hAnsi="Consolas"/>
          <w:sz w:val="18"/>
        </w:rPr>
        <w:t xml:space="preserve"> </w:t>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PLEASE INSERT HERE: Annex 3:</w:t>
      </w:r>
      <w:r w:rsidRPr="00A92B2F">
        <w:rPr>
          <w:rFonts w:ascii="Calibri" w:eastAsia="Calibri" w:hAnsi="Calibri" w:cs="Calibri"/>
          <w:b/>
          <w:sz w:val="22"/>
          <w:szCs w:val="22"/>
          <w:lang w:val="en-GB"/>
        </w:rPr>
        <w:t xml:space="preserve"> a content/curriculum map diagram (max 1 page), including the general organization of the content, rough relational hierarchy.</w:t>
      </w:r>
      <w:r w:rsidRPr="00A92B2F">
        <w:rPr>
          <w:rFonts w:ascii="Calibri" w:eastAsia="Calibri" w:hAnsi="Calibri" w:cs="Calibri"/>
          <w:sz w:val="22"/>
          <w:szCs w:val="22"/>
          <w:lang w:val="en-GB"/>
        </w:rPr>
        <w:t xml:space="preserve"> Be sure to give details at the lowest level of granularity of your content. </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PLEASE INSERT HERE: Annex 4: </w:t>
      </w:r>
      <w:r w:rsidRPr="00A92B2F">
        <w:rPr>
          <w:rFonts w:ascii="Calibri" w:eastAsia="Calibri" w:hAnsi="Calibri" w:cs="Calibri"/>
          <w:b/>
          <w:sz w:val="22"/>
          <w:szCs w:val="22"/>
          <w:lang w:val="en-GB"/>
        </w:rPr>
        <w:t xml:space="preserve">a sample of the content you have created (at the end of this template Annex 4) and/or plan to create (copy/paste at the end of this form in the appropriate place). </w:t>
      </w:r>
      <w:r w:rsidRPr="00A92B2F">
        <w:rPr>
          <w:rFonts w:ascii="Calibri" w:eastAsia="Calibri" w:hAnsi="Calibri" w:cs="Calibri"/>
          <w:sz w:val="22"/>
          <w:szCs w:val="22"/>
          <w:lang w:val="en-GB"/>
        </w:rPr>
        <w:t xml:space="preserve">The sample should cover one piece, </w:t>
      </w:r>
      <w:r w:rsidR="00221904" w:rsidRPr="00A92B2F">
        <w:rPr>
          <w:rFonts w:ascii="Calibri" w:eastAsia="Calibri" w:hAnsi="Calibri" w:cs="Calibri"/>
          <w:sz w:val="22"/>
          <w:szCs w:val="22"/>
          <w:lang w:val="en-GB"/>
        </w:rPr>
        <w:t>i.e.</w:t>
      </w:r>
      <w:r w:rsidRPr="00A92B2F">
        <w:rPr>
          <w:rFonts w:ascii="Calibri" w:eastAsia="Calibri" w:hAnsi="Calibri" w:cs="Calibri"/>
          <w:sz w:val="22"/>
          <w:szCs w:val="22"/>
          <w:lang w:val="en-GB"/>
        </w:rPr>
        <w:t xml:space="preserve"> one video, one pdf, one set of exercises etc.</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