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Yes. End-to-end live on mainnet, with deliberate separation between user-facing simplicity and protocol complexity: beneficiaries see a payment link and a balance; stealth-address generation, ZK proof creation, ASP attestation, and relayer routing happen invisibly.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 xml:space="preserve">Yes. Mobile-first responsive Next.js frontend that hides protocol complexity from end users — users see payment links, balances, and simple actions, not stealth addresses, ZK proofs, or gas mechanics.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Internal engineering hardening informed by founder use and feedback from &lt;10 people (hackathon judges, advisors); preparation for migration to a more throughput-efficient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Already Open Source. Repository is publicly accessible under permissive licences (MIT for apps and libraries; Apache-2.0 for smart contracts and pool SDK, inherited from 0xbow). Meets UNICEF open-source requirements from the start of the funded period.</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publicly accessible at the GitHub URL above; UNICEF reviewers can access it directly.</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Repository is publicly accessible; @unicefinnovation can access it directly without any grant.</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the repository is already public; external contributions will be opened after Q2 community-readiness work (CONTRIBUTING.md, code of conduct, governance).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xml:space="preserve">Not applicable. Galeon uses git for version control (monorepo at github.com/mateodaza/galeon, hosted on GitHub).</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carry the engineering load, with allocation weighted toward Q1-Q2 hardening and audit remediation and continuing through Q3-Q4 pilot support.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community readiness (repository is already public — focus is on community guides, security review, and UNICEF attribution), sandbox with partner staff. Q3: controlled pilot (≤50 beneficiaries), multi-language UI, Shipwreck jurisdiction expansion. Q4: pilot expansion to ≤100 beneficiaries, implementation and usability evaluation co-conducted with partner M&amp;E lead, developer docs, sustainability roadmap, WCAG 2.1 AA conformance review (in-house).</w:t>
      </w:r>
    </w:p>
    <w:p>
      <w:pPr>
        <w:spacing w:after="100"/>
        <w:ind w:left="200"/>
      </w:pPr>
      <w:r>
        <w:rPr>
          <w:rFonts w:ascii="Calibri" w:hAnsi="Calibri"/>
          <w:i/>
          <w:color w:val="1F3A68"/>
          <w:sz w:val="22"/>
        </w:rPr>
        <w:t xml:space="preserve">Year 2: Client-side viewing-key custody (removes the last server-side personal-data analogue). Sustainability beyond the funded period will be explored through partner support arrangements and attestation services for organisations needing compliance-grade privacy infrastructure. No specific post-funding arrangements are committed in this proposal.</w:t>
      </w:r>
    </w:p>
    <w:p>
      <w:pPr>
        <w:spacing w:after="100"/>
        <w:ind w:left="200"/>
      </w:pPr>
      <w:r>
        <w:rPr>
          <w:rFonts w:ascii="Calibri" w:hAnsi="Calibri"/>
          <w:i/>
          <w:color w:val="1F3A68"/>
          <w:sz w:val="22"/>
        </w:rPr>
        <w:t>Scalability trajectory: Galeon's per-transaction proof-verification overhead is dominated by ZK verification gas on L2. Recent and upcoming Ethereum upgrades (increased blob throughput, more efficient L2 data availability) reduce this without any changes to our contracts. Higher-throughput L2s can reduce verification overhead relative to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in the ML/algorithm sense (Galeon does not use learned models). For the cryptographic and contract layers, accountability is enforced through layered review: the Privacy Pool ZK circuits (Groth16, Poseidon, Merkle tree logic) and base pool contract logic are inherited from 0xbow and have been audited by Oxorio, and we use these components without modification so the upstream audit findings continue to apply; Galeon-specific modifications (Entrypoint ASP integration, UUPS upgradability, port-only deposits, verifiedBalance gating, GaleonRegistry, and stealth-address contracts) are currently covered by 443 deterministic tests and internal security reviews, with a scoped external delta-audit of these custom modifications as the first major Q1-Q2 deliverable in the workplan; and for transparency in live operations, ASP Merkle roots are published on-chain with IPFS-CID references so the approval set remains fully auditable in production.</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performance assessment and chain selection with UNICEF country offices, not migration as a deliverable. We are evaluating migration to a higher-throughput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t xml:space="preserve">Answer: FATF, R.15 Virtual Assets &amp; VASPs: https://www.fatf-gafi.org/en/publications/Fatfrecommendations/Guidance-rba-virtual-assets-2021.html</w:t>
        <w:br/>
        <w:t xml:space="preserve">FinCEN (US) virtual currency guidance: https://www.fincen.gov/resources/statutes-regulations/guidance/application-fincens-regulations-persons-administering</w:t>
        <w:br/>
        <w:t xml:space="preserve">EU MiCA Regulation (2023/1114): https://www.esma.europa.eu/esmas-activities/digital-finance-and-innovation/markets-crypto-assets-regulation-mica</w:t>
        <w:br/>
        <w:t xml:space="preserve">Colombia UIAF circulars on VASPs: https://www.uiaf.gov.co/</w:t>
        <w:br/>
        <w:t xml:space="preserve">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list + blocklist + IPFS-published attestation, regular cadence (frequency defined during Q2 design), operated by Galeon under Cartagena On Chain) is the first major Q2 deliverable. The ASP screens deposit labels (Port-approving addresses), not beneficiary identity or amounts.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provides beneficiary protection — any user whose deposit is excluded from the allowlist (including false-positive screening) retains access to their funds via a public withdrawal back to the original deposit address; no deposited funds are locked. The affected depositor recovers funds through a public ragequit withdrawal to the original deposit address — they may lose private withdrawal access for that deposit, but not access to the funds. A documented appeals process is published alongside the ASP policy; the SLA is defined with partner and external counsel before pilots begin. We will engage outside counsel and complete partner-specific compliance documentation requested for each pilot jurisdiction before pilots begin.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Galeon is designed around a deliberate gap between user experience and protocol complexity. Beneficiaries should be able to receive a payment link, log in with email, and have a stablecoin balance without ever encountering crypto concepts (seed phrases, gas, network selection, signing prompts). Implementation: Next.js mobile-first responsive web application.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evaluate and implement wallet onboarding and gas-simplification options where supported by the selected provider (Privy or equivalent), so beneficiaries do not need to manage seed phrases or gas fees. The end-user experience target: a beneficiary opens a link, logs in with email, and receives stablecoins — without seeing a seed phrase, gas fee, or network-switching prompt.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r>
        <w:drawing>
          <wp:inline distT="0" distB="0" distL="0" distR="0">
            <wp:extent cx="5486400" cy="4134786"/>
            <wp:effectExtent l="0" t="0" r="0" b="0"/>
            <wp:docPr id="25" name="Galeon Tech Stack Diagram"/>
            <wp:cNvGraphicFramePr>
              <a:graphicFrameLocks noChangeAspect="1"/>
            </wp:cNvGraphicFramePr>
            <a:graphic>
              <a:graphicData uri="http://schemas.openxmlformats.org/drawingml/2006/picture">
                <pic:pic>
                  <pic:nvPicPr>
                    <pic:cNvPr id="25" name="Galeon Tech Stack Diagram"/>
                    <pic:cNvPicPr/>
                  </pic:nvPicPr>
                  <pic:blipFill>
                    <a:blip r:embed="rId25"/>
                    <a:stretch>
                      <a:fillRect/>
                    </a:stretch>
                  </pic:blipFill>
                  <pic:spPr>
                    <a:xfrm>
                      <a:off x="0" y="0"/>
                      <a:ext cx="5486400" cy="4134786"/>
                    </a:xfrm>
                    <a:prstGeom prst="rect">
                      <a:avLst/>
                    </a:prstGeom>
                  </pic:spPr>
                </pic:pic>
              </a:graphicData>
            </a:graphic>
          </wp:inline>
        </w:drawing>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 xml:space="preserve">1. apps/web — Frontend. Next.js 16, React 19, Tailwind v4, wagmi v3, Reown AppKit for wallet connection. Mobile-responsive web app. Status: complete and live at https://galeon.finance. Open source: yes, already published under MIT licence.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already published (MIT).</w:t>
      </w:r>
    </w:p>
    <w:p>
      <w:pPr>
        <w:spacing w:after="80"/>
      </w:pPr>
      <w:r>
        <w:rPr>
          <w:rFonts w:ascii="Consolas" w:hAnsi="Consolas"/>
          <w:sz w:val="18"/>
        </w:rPr>
        <w:t xml:space="preserve"> </w:t>
      </w:r>
    </w:p>
    <w:p>
      <w:pPr>
        <w:spacing w:after="80"/>
      </w:pPr>
      <w:r>
        <w:rPr>
          <w:rFonts w:ascii="Consolas" w:hAnsi="Consolas"/>
          <w:sz w:val="18"/>
        </w:rPr>
        <w:t xml:space="preserve">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already published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already published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r>
        <w:drawing>
          <wp:inline distT="0" distB="0" distL="0" distR="0">
            <wp:extent cx="5486400" cy="5034196"/>
            <wp:effectExtent l="0" t="0" r="0" b="0"/>
            <wp:docPr id="26" name="Galeon Data Flow Diagram"/>
            <wp:cNvGraphicFramePr>
              <a:graphicFrameLocks noChangeAspect="1"/>
            </wp:cNvGraphicFramePr>
            <a:graphic>
              <a:graphicData uri="http://schemas.openxmlformats.org/drawingml/2006/picture">
                <pic:pic>
                  <pic:nvPicPr>
                    <pic:cNvPr id="26" name="Galeon Data Flow Diagram"/>
                    <pic:cNvPicPr/>
                  </pic:nvPicPr>
                  <pic:blipFill>
                    <a:blip r:embed="rId26"/>
                    <a:stretch>
                      <a:fillRect/>
                    </a:stretch>
                  </pic:blipFill>
                  <pic:spPr>
                    <a:xfrm>
                      <a:off x="0" y="0"/>
                      <a:ext cx="5486400" cy="5034196"/>
                    </a:xfrm>
                    <a:prstGeom prst="rect">
                      <a:avLst/>
                    </a:prstGeom>
                  </pic:spPr>
                </pic:pic>
              </a:graphicData>
            </a:graphic>
          </wp:inline>
        </w:drawing>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 Id="rId25" Type="http://schemas.openxmlformats.org/officeDocument/2006/relationships/image" Target="media/annex1_tech_stack.png"/><Relationship Id="rId26" Type="http://schemas.openxmlformats.org/officeDocument/2006/relationships/image" Target="media/annex2_data_flow.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