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00"/>
        <w:jc w:val="center"/>
      </w:pPr>
      <w:r>
        <w:rPr>
          <w:rFonts w:ascii="Times New Roman" w:cs="Times New Roman" w:eastAsia="Times New Roman" w:hAnsi="Times New Roman"/>
          <w:b/>
          <w:bCs/>
          <w:sz w:val="32"/>
          <w:szCs w:val="32"/>
        </w:rPr>
        <w:t xml:space="preserve">EFECTO CAUSAL DEL SISBÉN IV EN LA IDENTIFICACIÓN DE LA POBREZA Y EL BIENESTAR MULTIDIMENSIONAL EN HOGARES COLOMBIANOS</w:t>
      </w:r>
    </w:p>
    <w:p>
      <w:pPr>
        <w:spacing w:after="300"/>
      </w:pPr>
      <w:r>
        <w:t xml:space="preserve"/>
      </w:r>
    </w:p>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rFonts w:ascii="Times New Roman" w:cs="Times New Roman" w:eastAsia="Times New Roman" w:hAnsi="Times New Roman"/>
                <w:sz w:val="22"/>
                <w:szCs w:val="22"/>
              </w:rPr>
              <w:t xml:space="preserve">Juan Sebastián Fonseca Arévalo</w:t>
            </w:r>
            <w:r>
              <w:rPr>
                <w:rStyle w:val="FootnoteReference"/>
              </w:rPr>
              <w:footnoteReference w:id="1"/>
            </w:r>
          </w:p>
          <w:p>
            <w:pPr>
              <w:jc w:val="center"/>
            </w:pPr>
            <w:r>
              <w:rPr>
                <w:rFonts w:ascii="Times New Roman" w:cs="Times New Roman" w:eastAsia="Times New Roman" w:hAnsi="Times New Roman"/>
                <w:i/>
                <w:iCs/>
                <w:sz w:val="22"/>
                <w:szCs w:val="22"/>
              </w:rPr>
              <w:t xml:space="preserve">juan.arevalofon@usantotomas.edu.co</w:t>
            </w:r>
          </w:p>
        </w:tc>
        <w:tc>
          <w:tcPr>
            <w:tcW w:type="pct" w:w="50%"/>
          </w:tcPr>
          <w:p>
            <w:pPr>
              <w:jc w:val="center"/>
            </w:pPr>
            <w:r>
              <w:rPr>
                <w:rFonts w:ascii="Times New Roman" w:cs="Times New Roman" w:eastAsia="Times New Roman" w:hAnsi="Times New Roman"/>
                <w:sz w:val="22"/>
                <w:szCs w:val="22"/>
              </w:rPr>
              <w:t xml:space="preserve">José Mateo Roncancio Marín</w:t>
            </w:r>
            <w:r>
              <w:rPr>
                <w:rStyle w:val="FootnoteReference"/>
              </w:rPr>
              <w:footnoteReference w:id="1"/>
            </w:r>
          </w:p>
          <w:p>
            <w:pPr>
              <w:jc w:val="center"/>
            </w:pPr>
            <w:r>
              <w:rPr>
                <w:rFonts w:ascii="Times New Roman" w:cs="Times New Roman" w:eastAsia="Times New Roman" w:hAnsi="Times New Roman"/>
                <w:i/>
                <w:iCs/>
                <w:sz w:val="22"/>
                <w:szCs w:val="22"/>
              </w:rPr>
              <w:t xml:space="preserve">jose.marinron@usantotomas.edu.co</w:t>
            </w:r>
          </w:p>
        </w:tc>
      </w:tr>
    </w:tbl>
    <w:p>
      <w:pPr>
        <w:spacing w:after="60" w:before="300"/>
        <w:jc w:val="center"/>
      </w:pPr>
      <w:r>
        <w:rPr>
          <w:rFonts w:ascii="Times New Roman" w:cs="Times New Roman" w:eastAsia="Times New Roman" w:hAnsi="Times New Roman"/>
          <w:sz w:val="22"/>
          <w:szCs w:val="22"/>
        </w:rPr>
        <w:t xml:space="preserve">Tutor: Carlos Isaac Zainea Maya</w:t>
      </w:r>
      <w:r>
        <w:rPr>
          <w:rStyle w:val="FootnoteReference"/>
        </w:rPr>
        <w:footnoteReference w:id="2"/>
      </w:r>
    </w:p>
    <w:p>
      <w:pPr>
        <w:spacing w:after="400" w:before="60"/>
        <w:jc w:val="center"/>
      </w:pPr>
      <w:r>
        <w:rPr>
          <w:rFonts w:ascii="Times New Roman" w:cs="Times New Roman" w:eastAsia="Times New Roman" w:hAnsi="Times New Roman"/>
          <w:i/>
          <w:iCs/>
          <w:sz w:val="22"/>
          <w:szCs w:val="22"/>
        </w:rPr>
        <w:t xml:space="preserve">Bogotá D.C., abril de 2026</w:t>
      </w:r>
    </w:p>
    <w:p>
      <w:pPr>
        <w:pBdr>
          <w:bottom w:val="single" w:color="000000" w:sz="6" w:space="4"/>
        </w:pBdr>
        <w:spacing w:after="240"/>
      </w:pPr>
      <w:r>
        <w:t xml:space="preserve"/>
      </w:r>
    </w:p>
    <w:p>
      <w:pPr>
        <w:spacing w:after="160"/>
        <w:jc w:val="center"/>
      </w:pPr>
      <w:r>
        <w:rPr>
          <w:rFonts w:ascii="Times New Roman" w:cs="Times New Roman" w:eastAsia="Times New Roman" w:hAnsi="Times New Roman"/>
          <w:b/>
          <w:bCs/>
          <w:sz w:val="24"/>
          <w:szCs w:val="24"/>
        </w:rPr>
        <w:t xml:space="preserve">Resumen</w:t>
      </w:r>
    </w:p>
    <w:p>
      <w:pPr>
        <w:spacing w:after="160" w:line="276"/>
        <w:jc w:val="both"/>
      </w:pPr>
      <w:r>
        <w:rPr>
          <w:rFonts w:ascii="Times New Roman" w:cs="Times New Roman" w:eastAsia="Times New Roman" w:hAnsi="Times New Roman"/>
          <w:sz w:val="22"/>
          <w:szCs w:val="22"/>
        </w:rPr>
        <w:t xml:space="preserve">Este anteproyecto evalúa el efecto causal de la clasificación del Sisbén IV sobre el bienestar multidimensional de hogares colombianos mediante técnicas de Causal Forest y Double Machine Learning. Integra fuentes GEIH, Sisbén IV, DPS, IPM y RUI, aplica LASSO/Ridge para identificar determinantes del puntaje y evalúa su suficiencia explicativa frente a la pobreza latente. Estima efectos heterogéneos por zona, jefatura y ciclo de vida del hogar, para fundamentar recomendaciones que reduzcan errores de focalización social.</w:t>
      </w:r>
    </w:p>
    <w:p>
      <w:pPr>
        <w:spacing w:after="160" w:line="276"/>
        <w:jc w:val="both"/>
      </w:pPr>
      <w:r>
        <w:rPr>
          <w:rFonts w:ascii="Times New Roman" w:cs="Times New Roman" w:eastAsia="Times New Roman" w:hAnsi="Times New Roman"/>
          <w:b/>
          <w:bCs/>
          <w:i/>
          <w:iCs/>
          <w:sz w:val="22"/>
          <w:szCs w:val="22"/>
        </w:rPr>
        <w:t xml:space="preserve">Palabras clave: </w:t>
      </w:r>
      <w:r>
        <w:rPr>
          <w:rFonts w:ascii="Times New Roman" w:cs="Times New Roman" w:eastAsia="Times New Roman" w:hAnsi="Times New Roman"/>
          <w:i/>
          <w:iCs/>
          <w:sz w:val="22"/>
          <w:szCs w:val="22"/>
        </w:rPr>
        <w:t xml:space="preserve">Sisbén IV, inferencia causal, pobreza multidimensional, Causal Forest, Double Machine Learning, focalización social, bienestar del hogar.</w:t>
      </w:r>
    </w:p>
    <w:p>
      <w:pPr>
        <w:keepNext/>
        <w:spacing w:after="200" w:before="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Introducción</w:t>
      </w:r>
    </w:p>
    <w:p>
      <w:pPr>
        <w:spacing w:after="160" w:line="276"/>
        <w:jc w:val="both"/>
      </w:pPr>
      <w:r>
        <w:rPr>
          <w:rFonts w:ascii="Times New Roman" w:cs="Times New Roman" w:eastAsia="Times New Roman" w:hAnsi="Times New Roman"/>
          <w:sz w:val="22"/>
          <w:szCs w:val="22"/>
        </w:rPr>
        <w:t xml:space="preserve">La medición de la pobreza en Colombia ha transitado desde enfoques unidimensionales basados en el ingreso hacia modelos que incorporan múltiples dimensiones del bienestar. En ese marco, el Sisbén IV emerge como el principal instrumento de focalización de la política social colombiana: un sistema de proxy means test (PMT) que asigna a cada hogar un puntaje continuo entre 0 y 100 derivado de variables observables de vivienda, educación, activos y composición familiar, determinando la elegibilidad para programas como Familias en Acción, Jóvenes en Acción, Colombia Mayor e Ingreso Solidario (DNP, 2022).</w:t>
      </w:r>
    </w:p>
    <w:p>
      <w:pPr>
        <w:spacing w:after="160" w:line="276"/>
        <w:jc w:val="both"/>
      </w:pPr>
      <w:r>
        <w:rPr>
          <w:rFonts w:ascii="Times New Roman" w:cs="Times New Roman" w:eastAsia="Times New Roman" w:hAnsi="Times New Roman"/>
          <w:sz w:val="22"/>
          <w:szCs w:val="22"/>
        </w:rPr>
        <w:t xml:space="preserve">A pesar de su alcance, el sistema presenta fallas documentadas. El DNP-BID (2022) estima que cerca del 33 % de los hogares en condición de pobreza no son identificados como elegibles (error de exclusión), mientras que alrededor del 15 % de los beneficiarios no cumplirían los criterios de vulnerabilidad (error de inclusión). Estas cifras revelan una brecha estructural entre la clasificación formal del Sisbén IV y la condición de pobreza latente construida a partir de mediciones independientes como el Índice de Pobreza Multidimensional (IPM) del DANE, los registros del Departamento para la Prosperidad Social (DPS) o el Registro Único de Víctimas (RUI).</w:t>
      </w:r>
    </w:p>
    <w:p>
      <w:pPr>
        <w:spacing w:after="160" w:line="276"/>
        <w:jc w:val="both"/>
      </w:pPr>
      <w:r>
        <w:rPr>
          <w:rFonts w:ascii="Times New Roman" w:cs="Times New Roman" w:eastAsia="Times New Roman" w:hAnsi="Times New Roman"/>
          <w:sz w:val="22"/>
          <w:szCs w:val="22"/>
        </w:rPr>
        <w:t xml:space="preserve">La literatura especializada ha abordado esta problemática predominantemente desde enfoques descriptivos y correlacionales, sin establecer relaciones causales entre la clasificación del sistema y el bienestar real de los hogares. Esta investigación busca llenar esa brecha aplicando métodos de inferencia causal modernos (Causal Forest y DML) para estimar de manera rigurosa el efecto de pertenecer a una categoría del Sisbén IV sobre el bienestar multidimensional, identificando heterogeneidades por región, etnia y condición de vulnerabilidad, y comparando el poder de focalización del instrumento frente a mediciones oficiales del DANE, el DNP y el RUI.</w:t>
      </w:r>
    </w:p>
    <w:p>
      <w:pPr>
        <w:keepNext/>
        <w:spacing w:after="200" w:before="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Marco Teórico y Revisión de Literatura</w:t>
      </w:r>
    </w:p>
    <w:p>
      <w:pPr>
        <w:spacing w:after="160" w:line="276"/>
        <w:jc w:val="both"/>
      </w:pPr>
      <w:r>
        <w:rPr>
          <w:rFonts w:ascii="Times New Roman" w:cs="Times New Roman" w:eastAsia="Times New Roman" w:hAnsi="Times New Roman"/>
          <w:sz w:val="22"/>
          <w:szCs w:val="22"/>
        </w:rPr>
        <w:t xml:space="preserve">La fundamentación teórica de esta investigación se articula en torno a tres cuerpos de literatura: (a) la teoría de la focalización y los mecanismos de proxy means test; (b) los desarrollos metodológicos en inferencia causal con aprendizaje automático; y (c) las experiencias comparadas de evaluación de programas de transferencias monetarias. El estado del arte se organiza siguiendo las preguntas de investigación que estructuran el diseño metodológico, con el fin de mostrar qué se sabe, qué queda por investigar y cómo se posiciona el aporte de esta propuesta.</w:t>
      </w:r>
    </w:p>
    <w:p>
      <w:pPr>
        <w:spacing w:after="160" w:before="200"/>
        <w:jc w:val="both"/>
      </w:pPr>
      <w:r>
        <w:rPr>
          <w:rFonts w:ascii="Times New Roman" w:cs="Times New Roman" w:eastAsia="Times New Roman" w:hAnsi="Times New Roman"/>
          <w:i/>
          <w:iCs/>
          <w:sz w:val="22"/>
          <w:szCs w:val="22"/>
        </w:rPr>
        <w:t xml:space="preserve">¿Qué variables socioeconómicas y territoriales determinan la asignación del puntaje Sisbén IV y la clasificación de elegibilidad de los hogares?</w:t>
      </w:r>
    </w:p>
    <w:p>
      <w:pPr>
        <w:spacing w:after="160" w:line="276"/>
        <w:jc w:val="both"/>
      </w:pPr>
      <w:r>
        <w:rPr>
          <w:rFonts w:ascii="Times New Roman" w:cs="Times New Roman" w:eastAsia="Times New Roman" w:hAnsi="Times New Roman"/>
          <w:sz w:val="22"/>
          <w:szCs w:val="22"/>
        </w:rPr>
        <w:t xml:space="preserve">El estudio de los determinantes del puntaje Sisbén IV parte de la lógica del proxy means test (PMT), cuya revisión fundacional realizaron Coady, Grosh y Hoddinott (2004) para el Banco Mundial. Estos autores sistematizaron la evidencia internacional sobre métodos de focalización (comprobación de medios, autoselección, focalización geográfica y comunitaria) y mostraron que el PMT ofrece un balance entre costo administrativo y precisión de clasificación, aunque su desempeño depende críticamente de la selección de variables predictoras y de la actualidad de los datos de calibración.</w:t>
      </w:r>
    </w:p>
    <w:p>
      <w:pPr>
        <w:spacing w:after="160" w:line="276"/>
        <w:jc w:val="both"/>
      </w:pPr>
      <w:r>
        <w:rPr>
          <w:rFonts w:ascii="Times New Roman" w:cs="Times New Roman" w:eastAsia="Times New Roman" w:hAnsi="Times New Roman"/>
          <w:sz w:val="22"/>
          <w:szCs w:val="22"/>
        </w:rPr>
        <w:t xml:space="preserve">En el caso del Sisbén IV, el DNP adoptó una regresión cuantílica estimada sobre la GEIH 2015 para construir el puntaje. Esta decisión metodológica ha sido cuestionada por Kidd y Wylde (2011), quienes argumentan que el PMT no captura la naturaleza dinámica del ingreso del hogar ni los shocks transitorios (pérdida de empleo, enfermedad catastrófica, desplazamiento), generando resultados arbitrarios entre hogares con condiciones de vida similares. El DNP-BID (2022) documenta que la actualización del registro exige visita domiciliaria a solicitud del hogar, lo que introduce un sesgo de autoselección que afecta la representatividad de la base de datos.</w:t>
      </w:r>
    </w:p>
    <w:p>
      <w:pPr>
        <w:spacing w:after="160" w:line="276"/>
        <w:jc w:val="both"/>
      </w:pPr>
      <w:r>
        <w:rPr>
          <w:rFonts w:ascii="Times New Roman" w:cs="Times New Roman" w:eastAsia="Times New Roman" w:hAnsi="Times New Roman"/>
          <w:sz w:val="22"/>
          <w:szCs w:val="22"/>
        </w:rPr>
        <w:t xml:space="preserve">La literatura más reciente ha explorado alternativas basadas en aprendizaje automático para mejorar la predicción del bienestar del hogar. Jean et al. (2016) demostraron que la combinación de imágenes satelitales y redes neuronales profundas permite predecir indicadores de pobreza a nivel geográfico granular sin encuestas costosas. Blumenstock et al. (2015) mostraron que los metadatos de comunicaciones móviles estiman la distribución de riqueza con precisión comparable a la de encuestas representativas. McBride y Nichols (2018) evaluaron la superioridad de modelos de ML frente a PMT convencionales en países en desarrollo, encontrando mejoras sustanciales en el F1-score de clasificación de hogares pobres. Engstrom, Hersh y Newhouse (2019) combinaron registros fiscales con encuestas de hogar para reducir los errores de exclusión. En todos estos casos, la importancia relativa de las variables (medida mediante coeficientes LASSO, SHAP values o índices de Gini) resultó ser una herramienta clave para entender qué dimensiones del bienestar captura y cuáles omite el instrumento. La brecha respecto al contexto colombiano radica en que ningún estudio ha aplicado sistemáticamente este análisis de importancia de variables al puntaje Sisbén IV articulado con el Registro Social de Hogares.</w:t>
      </w:r>
    </w:p>
    <w:p>
      <w:pPr>
        <w:spacing w:after="160" w:before="200"/>
        <w:jc w:val="both"/>
      </w:pPr>
      <w:r>
        <w:rPr>
          <w:rFonts w:ascii="Times New Roman" w:cs="Times New Roman" w:eastAsia="Times New Roman" w:hAnsi="Times New Roman"/>
          <w:i/>
          <w:iCs/>
          <w:sz w:val="22"/>
          <w:szCs w:val="22"/>
        </w:rPr>
        <w:t xml:space="preserve">¿El conjunto de variables del Sisbén IV es suficiente para explicar la variación en la condición de pobreza latente?</w:t>
      </w:r>
    </w:p>
    <w:p>
      <w:pPr>
        <w:spacing w:after="160" w:line="276"/>
        <w:jc w:val="both"/>
      </w:pPr>
      <w:r>
        <w:rPr>
          <w:rFonts w:ascii="Times New Roman" w:cs="Times New Roman" w:eastAsia="Times New Roman" w:hAnsi="Times New Roman"/>
          <w:sz w:val="22"/>
          <w:szCs w:val="22"/>
        </w:rPr>
        <w:t xml:space="preserve">La pregunta sobre la suficiencia explicativa del Sisbén IV remite al debate sobre la validez de constructo de los instrumentos de focalización. Castañeda y Morales (2015) analizaron los mecanismos de identificación y focalización de beneficiarios en Colombia, identificando que la fragmentación institucional y la escasa integración de bases de datos dificultan una focalización precisa. La CEPAL (2022) constata que las brechas territoriales y de informalidad laboral agravan los errores de exclusión, particularmente en zonas rurales y para grupos étnicos, dimensiones que el modelo cuantílico del Sisbén IV no captura plenamente dada la omisión de variables de salud, shocks económicos y condición de desplazamiento.</w:t>
      </w:r>
    </w:p>
    <w:p>
      <w:pPr>
        <w:spacing w:after="160" w:line="276"/>
        <w:jc w:val="both"/>
      </w:pPr>
      <w:r>
        <w:rPr>
          <w:rFonts w:ascii="Times New Roman" w:cs="Times New Roman" w:eastAsia="Times New Roman" w:hAnsi="Times New Roman"/>
          <w:sz w:val="22"/>
          <w:szCs w:val="22"/>
        </w:rPr>
        <w:t xml:space="preserve">El Banco Mundial (2020) revisa los dilemas clásicos del targeting y concluye que los instrumentos de una sola fuente (como el Sisbén IV) suelen subestimar la pobreza latente en contextos de alta informalidad, precisamente porque las variables proxy no capturan ingresos no declarados ni activos intangibles. Fedesarrollo (2022) documenta que las discrepancias entre el Sisbén IV y el IPM oficial del DANE alcanzan magnitudes que cuestionan la validez concurrente del instrumento. En una línea similar, Mora et al. (2025) construyeron un dataset para el cálculo del Índice de Pobreza Multidimensional en Cali que integra fuentes administrativas y encuestas, mostrando que la combinación de variables del IPM con registros locales mejora la identificación de hogares pobres respecto al PMT puro.</w:t>
      </w:r>
    </w:p>
    <w:p>
      <w:pPr>
        <w:spacing w:after="160" w:line="276"/>
        <w:jc w:val="both"/>
      </w:pPr>
      <w:r>
        <w:rPr>
          <w:rFonts w:ascii="Times New Roman" w:cs="Times New Roman" w:eastAsia="Times New Roman" w:hAnsi="Times New Roman"/>
          <w:sz w:val="22"/>
          <w:szCs w:val="22"/>
        </w:rPr>
        <w:t xml:space="preserve">La brecha identificada en esta literatura es metodológica: los estudios disponibles comparan clasificaciones de manera descriptiva, sin construir formalmente una variable de pobreza latente que integre múltiples fuentes (GEIH, IPM, RUI, DPS) ni evaluar la suficiencia explicativa mediante modelos predictivos con métricas de AUC-ROC, RMSE y análisis de residuales. Esta propuesta operacionaliza dicha evaluación como segundo objetivo específico.</w:t>
      </w:r>
    </w:p>
    <w:p>
      <w:pPr>
        <w:spacing w:after="160" w:before="200"/>
        <w:jc w:val="both"/>
      </w:pPr>
      <w:r>
        <w:rPr>
          <w:rFonts w:ascii="Times New Roman" w:cs="Times New Roman" w:eastAsia="Times New Roman" w:hAnsi="Times New Roman"/>
          <w:i/>
          <w:iCs/>
          <w:sz w:val="22"/>
          <w:szCs w:val="22"/>
        </w:rPr>
        <w:t xml:space="preserve">¿En qué medida el uso de Causal Forest y DML permite estimar el efecto causal heterogéneo del mecanismo de focalización sobre indicadores de bienestar del hogar?</w:t>
      </w:r>
    </w:p>
    <w:p>
      <w:pPr>
        <w:spacing w:after="160" w:line="276"/>
        <w:jc w:val="both"/>
      </w:pPr>
      <w:r>
        <w:rPr>
          <w:rFonts w:ascii="Times New Roman" w:cs="Times New Roman" w:eastAsia="Times New Roman" w:hAnsi="Times New Roman"/>
          <w:sz w:val="22"/>
          <w:szCs w:val="22"/>
        </w:rPr>
        <w:t xml:space="preserve">La estimación del efecto causal de los mecanismos de focalización exige superar las limitaciones de los enfoques correlacionales. El marco conceptual de referencia es el modelo de resultados potenciales de Rubin (1974), que distingue el efecto causal promedio del tratamiento (ATE) de los efectos heterogéneos a nivel individual (ITE) y condicional (CATE). En ausencia de aleatorización, la identificación de efectos causales requiere supuestos de ignorabilidad condicional —intercambiabilidad dado un conjunto suficiente de covariables— o la explotación de discontinuidades en la asignación del tratamiento.</w:t>
      </w:r>
    </w:p>
    <w:p>
      <w:pPr>
        <w:spacing w:after="160" w:line="276"/>
        <w:jc w:val="both"/>
      </w:pPr>
      <w:r>
        <w:rPr>
          <w:rFonts w:ascii="Times New Roman" w:cs="Times New Roman" w:eastAsia="Times New Roman" w:hAnsi="Times New Roman"/>
          <w:sz w:val="22"/>
          <w:szCs w:val="22"/>
        </w:rPr>
        <w:t xml:space="preserve">El Double Machine Learning (DML), propuesto por Chernozhukov et al. (2018), resuelve el problema de regularización en alta dimensión mediante partición cruzada (cross-fitting): estima por separado los residuos de la variable de resultado y del tratamiento respecto a las covariables utilizando modelos de ML flexibles, y luego regresa los residuos del resultado sobre los del tratamiento para obtener un estimador semiparamétrico del ATE con propiedades inferenciales válidas. Este framework ha sido aplicado por Aiken et al. (2022) para analizar la efectividad del targeting basado en datos móviles en Togo, demostrando que la integración de fuentes no convencionales reduce los errores de exclusión.</w:t>
      </w:r>
    </w:p>
    <w:p>
      <w:pPr>
        <w:spacing w:after="160" w:line="276"/>
        <w:jc w:val="both"/>
      </w:pPr>
      <w:r>
        <w:rPr>
          <w:rFonts w:ascii="Times New Roman" w:cs="Times New Roman" w:eastAsia="Times New Roman" w:hAnsi="Times New Roman"/>
          <w:sz w:val="22"/>
          <w:szCs w:val="22"/>
        </w:rPr>
        <w:t xml:space="preserve">El Causal Forest, desarrollado por Wager y Athey (2018) y generalizado por Athey, Tibshirani y Wager (2019), extiende el Random Forest al problema de estimación de efectos heterogéneos mediante el principio de honestidad —partición disjunta entre los datos usados para construir el árbol y los usados para estimar el efecto— que garantiza la validez asintótica de los intervalos de confianza. Roth et al. (2025) aplicaron bosques causales instrumentales para estimar efectos heterogéneos del programa de transferencias condicionadas PKH en Indonesia, encontrando heterogeneidad sustancial según características del hogar y del municipio. Kasy y Sautmann (2021) analizan el potencial del ML para mejorar el targeting, pero advierten sobre sesgos algorítmicos que pueden amplificar desigualdades preexistentes si no se incorporan restricciones de equidad.</w:t>
      </w:r>
    </w:p>
    <w:p>
      <w:pPr>
        <w:spacing w:after="160" w:line="276"/>
        <w:jc w:val="both"/>
      </w:pPr>
      <w:r>
        <w:rPr>
          <w:rFonts w:ascii="Times New Roman" w:cs="Times New Roman" w:eastAsia="Times New Roman" w:hAnsi="Times New Roman"/>
          <w:sz w:val="22"/>
          <w:szCs w:val="22"/>
        </w:rPr>
        <w:t xml:space="preserve">La brecha en el contexto colombiano es clara: no existe evidencia de la aplicación de DML ni Causal Forest para estimar el efecto heterogéneo de la clasificación Sisbén IV sobre indicadores de bienestar multidimensional, articulando el puntaje con el Registro Social de Hogares y fuentes externas de pobreza latente. Esta propuesta llena ese vacío mediante el tercer objetivo específico.</w:t>
      </w:r>
    </w:p>
    <w:p>
      <w:pPr>
        <w:spacing w:after="160" w:before="200"/>
        <w:jc w:val="both"/>
      </w:pPr>
      <w:r>
        <w:rPr>
          <w:rFonts w:ascii="Times New Roman" w:cs="Times New Roman" w:eastAsia="Times New Roman" w:hAnsi="Times New Roman"/>
          <w:i/>
          <w:iCs/>
          <w:sz w:val="22"/>
          <w:szCs w:val="22"/>
        </w:rPr>
        <w:t xml:space="preserve">¿Qué fuentes de datos y estrategias de integración permiten operacionalizar la evaluación causal del mecanismo de focalización?</w:t>
      </w:r>
    </w:p>
    <w:p>
      <w:pPr>
        <w:spacing w:after="160" w:line="276"/>
        <w:jc w:val="both"/>
      </w:pPr>
      <w:r>
        <w:rPr>
          <w:rFonts w:ascii="Times New Roman" w:cs="Times New Roman" w:eastAsia="Times New Roman" w:hAnsi="Times New Roman"/>
          <w:sz w:val="22"/>
          <w:szCs w:val="22"/>
        </w:rPr>
        <w:t xml:space="preserve">La operacionalización de la evaluación causal propuesta exige integrar fuentes administrativas y de encuesta con estructuras, periodicidades y unidades de análisis heterogéneas. La Gran Encuesta Integrada de Hogares (GEIH), producida mensualmente por el DANE con cobertura de aproximadamente 315.000 hogares al año, constituye la fuente primaria para el cálculo de pobreza monetaria y multidimensional. Su estructura modular permite construir conjuntos robustos de covariables de control para el DML y explotar variación temporal en estrategias cuasiexperimentales (DANE, 2026).</w:t>
      </w:r>
    </w:p>
    <w:p>
      <w:pPr>
        <w:spacing w:after="160" w:line="276"/>
        <w:jc w:val="both"/>
      </w:pPr>
      <w:r>
        <w:rPr>
          <w:rFonts w:ascii="Times New Roman" w:cs="Times New Roman" w:eastAsia="Times New Roman" w:hAnsi="Times New Roman"/>
          <w:sz w:val="22"/>
          <w:szCs w:val="22"/>
        </w:rPr>
        <w:t xml:space="preserve">El Sisbén IV, implementado progresivamente desde 2020, asigna un puntaje continuo entre 0 y 100 a partir de variables de vivienda, educación, activos y acceso a servicios, con umbrales de elegibilidad diferenciados por zona: en áreas urbanas, pobreza extrema corresponde a puntajes inferiores a 40 y pobreza moderada a puntajes entre 40 y 65 (CONPES 4024, 2021). La posibilidad de diseñar una regresión discontinua (RD) en torno a estos umbrales constituye una estrategia de identificación complementaria al DML. Los registros del DPS sobre beneficiarios de Familias en Acción e Ingreso Solidario permiten vincular elegibilidad formal con participación real en los programas.</w:t>
      </w:r>
    </w:p>
    <w:p>
      <w:pPr>
        <w:spacing w:after="160" w:line="276"/>
        <w:jc w:val="both"/>
      </w:pPr>
      <w:r>
        <w:rPr>
          <w:rFonts w:ascii="Times New Roman" w:cs="Times New Roman" w:eastAsia="Times New Roman" w:hAnsi="Times New Roman"/>
          <w:sz w:val="22"/>
          <w:szCs w:val="22"/>
        </w:rPr>
        <w:t xml:space="preserve">La estrategia de integración de fuentes es uno de los desafíos metodológicos centrales, dado que el Sisbén IV y la GEIH no comparten un identificador común a nivel de hogar. Veras Soares et al. (2010) documentaron que en Brasil el Cadastro Único —un registro administrativo integrado— mejora sustancialmente la cobertura del targeting frente al PMT puro, precisamente porque resuelve el problema de vinculación entre fuentes. En Colombia, el CONPES 4024 (2021) avanzó en la creación del Registro Social de Hogares como plataforma de integración, pero la literatura académica no ha evaluado sistemáticamente la viabilidad técnica de este linkage para propósitos de investigación causal. Esta propuesta diseña e implementa dicha estrategia como cuarto objetivo específico, documentando tasas de linkage, valores faltantes y representatividad geográfica.</w:t>
      </w:r>
    </w:p>
    <w:p>
      <w:pPr>
        <w:spacing w:after="160" w:before="200"/>
        <w:jc w:val="both"/>
      </w:pPr>
      <w:r>
        <w:rPr>
          <w:rFonts w:ascii="Times New Roman" w:cs="Times New Roman" w:eastAsia="Times New Roman" w:hAnsi="Times New Roman"/>
          <w:i/>
          <w:iCs/>
          <w:sz w:val="22"/>
          <w:szCs w:val="22"/>
        </w:rPr>
        <w:t xml:space="preserve">¿Cuáles son las limitaciones metodológicas del modelo de regresión cuantílica del Sisbén IV y en qué medida la inferencia causal reduce la brecha de pobreza en comparación con dicho modelo?</w:t>
      </w:r>
    </w:p>
    <w:p>
      <w:pPr>
        <w:spacing w:after="160" w:line="276"/>
        <w:jc w:val="both"/>
      </w:pPr>
      <w:r>
        <w:rPr>
          <w:rFonts w:ascii="Times New Roman" w:cs="Times New Roman" w:eastAsia="Times New Roman" w:hAnsi="Times New Roman"/>
          <w:sz w:val="22"/>
          <w:szCs w:val="22"/>
        </w:rPr>
        <w:t xml:space="preserve">La comparación entre el modelo cuantílico del Sisbén IV y los enfoques de inferencia causal tiene como referente analítico el índice de Foster-Greer-Thorbecke (FGT), particularmente la brecha de pobreza (FGT1), que cuantifica cuán lejos están los pobres del umbral de pobreza. Kidd y Wylde (2011) argumentan que el PMT sufre de errores de diseño estructurales: al basarse en variables estáticas y datos de calibración desactualizados, genera clasificaciones arbitrarias entre hogares con condiciones de vida similares y es incapaz de capturar la pobreza transitoria. El Banco Interamericano de Desarrollo (2022) estima que la actualización de los pesos del modelo cuantílico con datos más recientes podría reducir los errores de exclusión entre 8 y 12 puntos porcentuales en países de ingreso medio de América Latina.</w:t>
      </w:r>
    </w:p>
    <w:p>
      <w:pPr>
        <w:spacing w:after="160" w:line="276"/>
        <w:jc w:val="both"/>
      </w:pPr>
      <w:r>
        <w:rPr>
          <w:rFonts w:ascii="Times New Roman" w:cs="Times New Roman" w:eastAsia="Times New Roman" w:hAnsi="Times New Roman"/>
          <w:sz w:val="22"/>
          <w:szCs w:val="22"/>
        </w:rPr>
        <w:t xml:space="preserve">En el plano metodológico, la superioridad de los enfoques causales sobre los predictivos ha sido documentada en múltiples contextos. Athey e Imbens (2019) revisan los métodos de ML que los economistas deben conocer y concluyen que la distinción entre predicción y estimación causal es fundamental: un modelo predictivo puede tener alta precisión fuera de muestra sin identificar el mecanismo que genera la relación entre las variables. Chernozhukov et al. (2018) muestran formalmente que los estimadores de efectos de tratamiento basados en ML naïve —sin la doble residualización del DML— están sesgados en la dirección de las covariables incluidas en el modelo de nuisance. Esta distinción es especialmente relevante para el Sisbén IV, donde el propio puntaje es el resultado de una regresión, lo que introduce endogeneidad en cualquier evaluación que no controle adecuadamente las covariables de asignación.</w:t>
      </w:r>
    </w:p>
    <w:p>
      <w:pPr>
        <w:spacing w:after="160" w:line="276"/>
        <w:jc w:val="both"/>
      </w:pPr>
      <w:r>
        <w:rPr>
          <w:rFonts w:ascii="Times New Roman" w:cs="Times New Roman" w:eastAsia="Times New Roman" w:hAnsi="Times New Roman"/>
          <w:sz w:val="22"/>
          <w:szCs w:val="22"/>
        </w:rPr>
        <w:t xml:space="preserve">La literatura latinoamericana de evaluación de impacto ha empleado predominantemente diferencias en diferencias, PSM y variables instrumentales. La revisión de Veras Soares et al. (2010) sobre Bolsa Familia y la de Paes-Sousa sobre otros programas regionales evidencian que, si bien estos métodos proveen estimadores causales válidos, su capacidad para estimar efectos heterogéneos es limitada. La adopción de DML y Causal Forest en este contexto temático y geográfico es incipiente y constituye el diferenciador central de esta propuesta respecto al estado del arte disponible.</w:t>
      </w:r>
    </w:p>
    <w:p>
      <w:pPr>
        <w:keepNext/>
        <w:spacing w:after="160" w:before="280"/>
      </w:pPr>
      <w:r>
        <w:rPr>
          <w:rFonts w:ascii="Times New Roman" w:cs="Times New Roman" w:eastAsia="Times New Roman" w:hAnsi="Times New Roman"/>
          <w:b/>
          <w:bCs/>
          <w:sz w:val="22"/>
          <w:szCs w:val="22"/>
        </w:rPr>
        <w:t xml:space="preserve">Síntesis: brechas identificadas y posicionamiento de la propuesta</w:t>
      </w:r>
    </w:p>
    <w:p>
      <w:pPr>
        <w:spacing w:after="160" w:line="276"/>
        <w:jc w:val="both"/>
      </w:pPr>
      <w:r>
        <w:rPr>
          <w:rFonts w:ascii="Times New Roman" w:cs="Times New Roman" w:eastAsia="Times New Roman" w:hAnsi="Times New Roman"/>
          <w:sz w:val="22"/>
          <w:szCs w:val="22"/>
        </w:rPr>
        <w:t xml:space="preserve">La revisión crítica de la literatura permite identificar cinco brechas que justifican la originalidad y el aporte de esta investigación. Primero, no existe un análisis sistemático de la importancia relativa de las variables del Sisbén IV mediante técnicas de ML (LASSO, SHAP) aplicado al puntaje articulado con el Registro Social de Hogares. Segundo, la suficiencia explicativa del instrumento no ha sido evaluada formalmente frente a una variable de pobreza latente construida con múltiples fuentes (GEIH, IPM, RUI, DPS). Tercero, no se han estimado efectos causales heterogéneos (CATE) de la clasificación Sisbén IV sobre indicadores de bienestar multidimensional mediante Causal Forest y DML en el contexto colombiano. Cuarto, la viabilidad técnica del linkage entre el Sisbén IV y las fuentes del DANE y el DPS no ha sido documentada para propósitos de investigación causal. Quinto, no existe evidencia de la comparación cuantitativa entre el modelo cuantílico del Sisbén IV y los enfoques causales en términos de reducción de la brecha de pobreza (FGT1) y errores de focalización. Esta propuesta aborda las cinco brechas de manera integrada, constituyendo un aporte novedoso tanto a la literatura de inferencia causal aplicada como a la evaluación de políticas sociales en Colombia.</w:t>
      </w:r>
    </w:p>
    <w:p>
      <w:pPr>
        <w:keepNext/>
        <w:spacing w:after="200" w:before="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Objetivos</w:t>
      </w:r>
    </w:p>
    <w:p>
      <w:pPr>
        <w:keepNext/>
        <w:spacing w:after="160" w:before="28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Objetivo general</w:t>
      </w:r>
    </w:p>
    <w:p>
      <w:pPr>
        <w:spacing w:after="160" w:line="276"/>
        <w:jc w:val="both"/>
      </w:pPr>
      <w:r>
        <w:rPr>
          <w:rFonts w:ascii="Times New Roman" w:cs="Times New Roman" w:eastAsia="Times New Roman" w:hAnsi="Times New Roman"/>
          <w:sz w:val="22"/>
          <w:szCs w:val="22"/>
        </w:rPr>
        <w:t xml:space="preserve">Evaluar el efecto causal de la clasificación del Sisbén IV sobre la condición real de pobreza de los hogares colombianos, en 2026, mediante la estimación de efectos causales utilizando modelos de inferencia causal (Causal Forest y DML), comparando su poder de focalización con las mediciones del DANE, el DNP y el RUI.</w:t>
      </w:r>
    </w:p>
    <w:p>
      <w:pPr>
        <w:keepNext/>
        <w:spacing w:after="160" w:before="28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Objetivos específicos</w:t>
      </w:r>
    </w:p>
    <w:p>
      <w:pPr>
        <w:spacing w:after="160" w:line="276"/>
        <w:jc w:val="both"/>
      </w:pPr>
      <w:r>
        <w:rPr>
          <w:rFonts w:ascii="Times New Roman" w:cs="Times New Roman" w:eastAsia="Times New Roman" w:hAnsi="Times New Roman"/>
          <w:sz w:val="22"/>
          <w:szCs w:val="22"/>
        </w:rPr>
        <w:t xml:space="preserve">OE1. Identificar y ponderar las variables socioeconómicas y territoriales que determinan el puntaje Sisbén IV y la elegibilidad de los hogares, utilizando modelos de regresión regularizada (LASSO/Ridge) y análisis de importancia de variables (SHAP values).</w:t>
      </w:r>
    </w:p>
    <w:p>
      <w:pPr>
        <w:spacing w:after="160" w:line="276"/>
        <w:jc w:val="both"/>
      </w:pPr>
      <w:r>
        <w:rPr>
          <w:rFonts w:ascii="Times New Roman" w:cs="Times New Roman" w:eastAsia="Times New Roman" w:hAnsi="Times New Roman"/>
          <w:sz w:val="22"/>
          <w:szCs w:val="22"/>
        </w:rPr>
        <w:t xml:space="preserve">OE2. Evaluar la suficiencia explicativa del conjunto de variables del Sisbén IV frente a la pobreza latente construida con fuentes externas (GEIH, IPM, RUI), mediante modelos predictivos y pruebas de especificación (AUC-ROC, RMSE, análisis de residuales).</w:t>
      </w:r>
    </w:p>
    <w:p>
      <w:pPr>
        <w:spacing w:after="160" w:line="276"/>
        <w:jc w:val="both"/>
      </w:pPr>
      <w:r>
        <w:rPr>
          <w:rFonts w:ascii="Times New Roman" w:cs="Times New Roman" w:eastAsia="Times New Roman" w:hAnsi="Times New Roman"/>
          <w:sz w:val="22"/>
          <w:szCs w:val="22"/>
        </w:rPr>
        <w:t xml:space="preserve">OE3. Estimar el efecto causal heterogéneo del mecanismo de focalización (Sisbén IV) sobre indicadores de bienestar del hogar mediante Causal Forest y Double Machine Learning (DML), identificando subgrupos con mayor o menor impacto (ATE, CATE, test BLP).</w:t>
      </w:r>
    </w:p>
    <w:p>
      <w:pPr>
        <w:spacing w:after="160" w:line="276"/>
        <w:jc w:val="both"/>
      </w:pPr>
      <w:r>
        <w:rPr>
          <w:rFonts w:ascii="Times New Roman" w:cs="Times New Roman" w:eastAsia="Times New Roman" w:hAnsi="Times New Roman"/>
          <w:sz w:val="22"/>
          <w:szCs w:val="22"/>
        </w:rPr>
        <w:t xml:space="preserve">OE4. Diseñar e implementar una estrategia de integración de fuentes de datos administrativos y de encuesta (GEIH, Sisbén IV, DPS, IPM, RUI) que garantice calidad, representatividad y trazabilidad del pipeline de datos.</w:t>
      </w:r>
    </w:p>
    <w:p>
      <w:pPr>
        <w:spacing w:after="160" w:line="276"/>
        <w:jc w:val="both"/>
      </w:pPr>
      <w:r>
        <w:rPr>
          <w:rFonts w:ascii="Times New Roman" w:cs="Times New Roman" w:eastAsia="Times New Roman" w:hAnsi="Times New Roman"/>
          <w:sz w:val="22"/>
          <w:szCs w:val="22"/>
        </w:rPr>
        <w:t xml:space="preserve">OE5. Comparar las limitaciones del modelo de regresión cuantílica del Sisbén IV frente a los enfoques de inferencia causal (Causal Forest/DML), cuantificando la reducción en la brecha de pobreza (FGT1) y en los errores de inclusión/exclusión atribuible a una focalización basada en inferencia causal.</w:t>
      </w:r>
    </w:p>
    <w:p>
      <w:pPr>
        <w:keepNext/>
        <w:spacing w:after="200" w:before="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Metodología</w:t>
      </w:r>
    </w:p>
    <w:p>
      <w:pPr>
        <w:spacing w:after="160" w:line="276"/>
        <w:jc w:val="both"/>
      </w:pPr>
      <w:r>
        <w:rPr>
          <w:rFonts w:ascii="Times New Roman" w:cs="Times New Roman" w:eastAsia="Times New Roman" w:hAnsi="Times New Roman"/>
          <w:sz w:val="22"/>
          <w:szCs w:val="22"/>
        </w:rPr>
        <w:t xml:space="preserve">Esta investigación se enmarca en un paradigma cuantitativo con enfoque cuasiexperimental. Las siguientes subsecciones describen el paradigma y tipo de diseño, las variables de análisis, la población y muestra, las técnicas de análisis de datos y las fases de desarrollo del proyecto.</w:t>
      </w:r>
    </w:p>
    <w:p>
      <w:pPr>
        <w:keepNext/>
        <w:spacing w:after="160" w:before="28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Paradigma y tipo de diseño de investigación</w:t>
      </w:r>
    </w:p>
    <w:p>
      <w:pPr>
        <w:spacing w:after="160" w:line="276"/>
        <w:jc w:val="both"/>
      </w:pPr>
      <w:r>
        <w:rPr>
          <w:rFonts w:ascii="Times New Roman" w:cs="Times New Roman" w:eastAsia="Times New Roman" w:hAnsi="Times New Roman"/>
          <w:sz w:val="22"/>
          <w:szCs w:val="22"/>
        </w:rPr>
        <w:t xml:space="preserve">El estudio se inscribe en el paradigma positivista-cuantitativo, dado que busca estimar relaciones causales entre la clasificación socioeconómica asignada por el Sisbén IV y el bienestar multidimensional de los hogares colombianos a partir de datos observacionales a gran escala. La elección de este paradigma se justifica por la naturaleza de la pregunta de investigación —que exige inferencia causal sobre variables medibles y comparables— y por la disponibilidad de fuentes administrativas y de encuesta con representatividad estadística nacional.</w:t>
      </w:r>
    </w:p>
    <w:p>
      <w:pPr>
        <w:spacing w:after="160" w:line="276"/>
        <w:jc w:val="both"/>
      </w:pPr>
      <w:r>
        <w:rPr>
          <w:rFonts w:ascii="Times New Roman" w:cs="Times New Roman" w:eastAsia="Times New Roman" w:hAnsi="Times New Roman"/>
          <w:sz w:val="22"/>
          <w:szCs w:val="22"/>
        </w:rPr>
        <w:t xml:space="preserve">El diseño de investigación es cuasiexperimental. Se utilizará un diseño de regresión discontinua (Regression Discontinuity Design, RDD) que aprovecha los umbrales de corte del puntaje Sisbén IV como mecanismo de asignación exógeno, combinado con el framework de Double Machine Learning (DML) para controlar un conjunto amplio de covariables observables sin imponer supuestos funcionales paramétricos. En su primera etapa el diseño es correlacional-explicativo (identificación de determinantes del puntaje y evaluación de suficiencia explicativa del instrumento) y en su segunda etapa es causal-explicativo (estimación de ATE y efectos heterogéneos CATE mediante Causal Forest y DML).</w:t>
      </w:r>
    </w:p>
    <w:p>
      <w:pPr>
        <w:keepNext/>
        <w:spacing w:after="160" w:before="28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Variables de análisis</w:t>
      </w:r>
    </w:p>
    <w:p>
      <w:pPr>
        <w:spacing w:after="160" w:line="276"/>
        <w:jc w:val="both"/>
      </w:pPr>
      <w:r>
        <w:rPr>
          <w:rFonts w:ascii="Times New Roman" w:cs="Times New Roman" w:eastAsia="Times New Roman" w:hAnsi="Times New Roman"/>
          <w:sz w:val="22"/>
          <w:szCs w:val="22"/>
        </w:rPr>
        <w:t xml:space="preserve">Las variables principales e intermedias se derivan directamente de los cinco objetivos específicos y de la hipótesis central. La variable de tratamiento es la clasificación del Sisbén IV, operacionalizada como el puntaje continuo entre 0 y 100 y como la pertenencia a un grupo de elegibilidad (A: pobreza extrema, B: pobreza moderada, C y D: no elegibles). Las variables de resultado son los indicadores de bienestar multidimensional: ingreso per cápita mensual, Índice de Pobreza Multidimensional (IPM), acceso efectivo a programas sociales (Familias en Acción, Ingreso Solidario, Colombia Mayor) y seguridad alimentaria del hogar.</w:t>
      </w:r>
    </w:p>
    <w:p>
      <w:pPr>
        <w:spacing w:after="160" w:line="276"/>
        <w:jc w:val="both"/>
      </w:pPr>
      <w:r>
        <w:rPr>
          <w:rFonts w:ascii="Times New Roman" w:cs="Times New Roman" w:eastAsia="Times New Roman" w:hAnsi="Times New Roman"/>
          <w:sz w:val="22"/>
          <w:szCs w:val="22"/>
        </w:rPr>
        <w:t xml:space="preserve">Las covariables de control incluyen: composición demográfica del hogar (número de miembros, presencia de menores de 18 años y adultos mayores de 60), jefatura del hogar (femenina/masculina), zona geográfica (urbana/rural), departamento de residencia, nivel educativo del jefe del hogar, condición de ocupación e informalidad laboral, acceso a servicios públicos (acueducto, alcantarillado, energía), calidad de la vivienda (material de paredes y pisos) y condición de víctima del conflicto armado (RUI). Las variables intermedias son el puntaje de pobreza latente construido con múltiples fuentes y las tasas de linkage entre registros administrativos. Los indicadores de desempeño del modelo incluyen AUC-ROC y RMSE para la evaluación predictiva, y estimadores ATE/CATE con intervalos de confianza al 95 % para la evaluación causal.</w:t>
      </w:r>
    </w:p>
    <w:p>
      <w:pPr>
        <w:keepNext/>
        <w:spacing w:after="160" w:before="28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Población y muestra</w:t>
      </w:r>
    </w:p>
    <w:p>
      <w:pPr>
        <w:spacing w:after="160" w:line="276"/>
        <w:jc w:val="both"/>
      </w:pPr>
      <w:r>
        <w:rPr>
          <w:rFonts w:ascii="Times New Roman" w:cs="Times New Roman" w:eastAsia="Times New Roman" w:hAnsi="Times New Roman"/>
          <w:sz w:val="22"/>
          <w:szCs w:val="22"/>
        </w:rPr>
        <w:t xml:space="preserve">La población objetivo son los hogares colombianos registrados en el Sisbén IV durante el año 2026, estimados en aproximadamente 16,4 millones de hogares con algún nivel de registro activo, distribuidos en los 32 departamentos del país y el Distrito Capital. Esta población incluye tanto hogares en condición de pobreza extrema o moderada (grupos A y B del Sisbén IV) como hogares por encima del umbral de elegibilidad (grupos C y D), lo que permite la comparación causal entre grupos en torno a los umbrales de corte.</w:t>
      </w:r>
    </w:p>
    <w:p>
      <w:pPr>
        <w:spacing w:after="160" w:line="276"/>
        <w:jc w:val="both"/>
      </w:pPr>
      <w:r>
        <w:rPr>
          <w:rFonts w:ascii="Times New Roman" w:cs="Times New Roman" w:eastAsia="Times New Roman" w:hAnsi="Times New Roman"/>
          <w:sz w:val="22"/>
          <w:szCs w:val="22"/>
        </w:rPr>
        <w:t xml:space="preserve">La muestra se construirá a partir de dos fuentes principales. Primero, la Gran Encuesta Integrada de Hogares (GEIH) del DANE en su versión anual 2024-2025, que cubre aproximadamente 315.000 hogares con representatividad nacional, departamental y para 24 ciudades principales. Segundo, el microdato del Sisbén IV disponible para investigación académica a través del DNP. La vinculación entre ambas fuentes se realizará a nivel municipal mediante statistical matching, utilizando el Registro Social de Hogares como puente de integración. Se proyecta una cobertura mínima de 150.000 hogares con información completa en ambas fuentes, suficiente para detectar efectos de tamaño pequeño (d=0.2) con potencia estadística del 90 % a un nivel de significancia del 5 % (método de muestreo: intencional-estratificado por zona y departamento).</w:t>
      </w:r>
    </w:p>
    <w:p>
      <w:pPr>
        <w:keepNext/>
        <w:spacing w:after="160" w:before="28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Análisis de los datos o resultados</w:t>
      </w:r>
    </w:p>
    <w:p>
      <w:pPr>
        <w:spacing w:after="160" w:line="276"/>
        <w:jc w:val="both"/>
      </w:pPr>
      <w:r>
        <w:rPr>
          <w:rFonts w:ascii="Times New Roman" w:cs="Times New Roman" w:eastAsia="Times New Roman" w:hAnsi="Times New Roman"/>
          <w:sz w:val="22"/>
          <w:szCs w:val="22"/>
        </w:rPr>
        <w:t xml:space="preserve">El análisis de datos se estructurará en tres bloques secuenciales. En el primer bloque (OE1 y OE2) se aplicarán técnicas de regresión regularizada: LASSO y Ridge para identificar y ponderar las variables que determinan el puntaje Sisbén IV, con validación cruzada de 10 pliegues para selección del parámetro óptimo. La importancia de variables se complementará con SHAP values. La suficiencia explicativa se evaluará mediante modelos de clasificación (Random Forest, XGBoost) entrenados para predecir la condición de pobreza latente a partir de las variables del cuestionario Sisbén IV, comparando AUC-ROC, RMSE y tasas de error.</w:t>
      </w:r>
    </w:p>
    <w:p>
      <w:pPr>
        <w:spacing w:after="160" w:line="276"/>
        <w:jc w:val="both"/>
      </w:pPr>
      <w:r>
        <w:rPr>
          <w:rFonts w:ascii="Times New Roman" w:cs="Times New Roman" w:eastAsia="Times New Roman" w:hAnsi="Times New Roman"/>
          <w:sz w:val="22"/>
          <w:szCs w:val="22"/>
        </w:rPr>
        <w:t xml:space="preserve">En el segundo bloque (OE3) se estimará el efecto causal mediante el framework DML de Chernozhukov et al. (2018), con gradient boosting como algoritmo de nuisance y nested cross-fitting. El ATE y el LATE (mediante RDD) se estimarán con intervalos de confianza robustos. El Causal Forest (Wager &amp; Athey, 2018) estimará los CATE por subgrupos (zona rural/urbana, jefatura femenina, presencia de adultos mayores), con prueba de heterogeneidad BLP. En el tercer bloque (OE5) se compararán la brecha de pobreza (FGT1) y los errores de focalización (tipo I y II) bajo el modelo cuantílico actual y bajo un esquema optimizado con inferencia causal. Software: R (paquetes grf, DoubleML, glmnet) y Python (paquetes econml, shap, sklearn), con código versionado en GitHub.</w:t>
      </w:r>
    </w:p>
    <w:p>
      <w:pPr>
        <w:keepNext/>
        <w:spacing w:after="160" w:before="28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Fases de desarrollo</w:t>
      </w:r>
    </w:p>
    <w:p>
      <w:pPr>
        <w:spacing w:after="160" w:line="276"/>
        <w:jc w:val="both"/>
      </w:pPr>
      <w:r>
        <w:rPr>
          <w:rFonts w:ascii="Times New Roman" w:cs="Times New Roman" w:eastAsia="Times New Roman" w:hAnsi="Times New Roman"/>
          <w:sz w:val="22"/>
          <w:szCs w:val="22"/>
        </w:rPr>
        <w:t xml:space="preserve">El proyecto se desarrollará en cinco fases secuenciales. La Fase 1 (abril–junio 2026) comprende la revisión sistemática de literatura, el refinamiento del marco teórico y la definición operacional de variables; el entregable es el estado del arte definitivo con protocolo de búsqueda documentado. La Fase 2 (junio–agosto 2026) abarca la recolección, integración y limpieza de las fuentes de datos (GEIH, Sisbén IV, DPS, IPM, RUI) mediante un pipeline ETL documentado; el entregable es el dataset integrado con reporte de calidad. La Fase 3 (agosto–septiembre 2026) ejecuta los análisis OE1 y OE2: modelos LASSO/Ridge, SHAP values y evaluación de suficiencia explicativa; el entregable es el informe de determinantes del puntaje y de especificación del instrumento. La Fase 4 (septiembre–noviembre 2026) desarrolla los análisis causales OE3 y OE5: estimación DML, Causal Forest, RDD y comparación FGT1; el entregable es el informe de resultados causales con tablas, gráficos e interpretación de política. La Fase 5 (noviembre 2026–febrero 2027) comprende la redacción del documento final de tesis, revisión por el tutor y entrega formal al programa.</w:t>
      </w:r>
    </w:p>
    <w:p>
      <w:pPr>
        <w:keepNext/>
        <w:spacing w:after="200" w:before="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Cronograma y Actividades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sz w:val="18"/>
                <w:szCs w:val="18"/>
              </w:rPr>
              <w:t xml:space="preserve">Actividad</w:t>
            </w:r>
          </w:p>
        </w:tc>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Período estimado</w:t>
            </w:r>
          </w:p>
        </w:tc>
        <w:tc>
          <w:tcPr>
            <w:tcW w:type="dxa" w:w="304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18"/>
                <w:szCs w:val="18"/>
              </w:rPr>
              <w:t xml:space="preserve">Entregable</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Revisión de literatura y ajuste del marco teórico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Abril – junio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Estado del arte definitivo</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Recolección e integración de fuentes de datos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Junio – julio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Pipeline de datos documentado</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Preparación y limpieza de datos (ETL)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Julio – agosto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Dataset integrado validado</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OE1: Modelos LASSO/Ridge y análisis de importancia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Agosto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Informe de determinantes del puntaje</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OE2: Evaluación de suficiencia explicativa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Agosto – septiembre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Informe de especificación del modelo</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OE3: Estimación DML (ATE) y Causal Forest (CATE)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Septiembre – octubre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Resultados causales con IC</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OE5: Comparación FGT1 y errores de focalización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Octubre – noviembre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Recomendaciones de política</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Redacción del documento final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Noviembre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Tesis completa</w:t>
            </w:r>
          </w:p>
        </w:tc>
      </w:tr>
      <w:tr>
        <w:trPr>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Revisión y entrega final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Noviembre – diciembre 2026</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Documento aprobado</w:t>
            </w:r>
          </w:p>
        </w:tc>
      </w:tr>
    </w:tbl>
    <w:p>
      <w:pPr>
        <w:spacing w:after="200"/>
      </w:pPr>
      <w:r>
        <w:t xml:space="preserve"/>
      </w:r>
    </w:p>
    <w:p>
      <w:pPr>
        <w:keepNext/>
        <w:spacing w:after="200" w:before="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Bibliografía</w:t>
      </w:r>
    </w:p>
    <w:p>
      <w:pPr>
        <w:spacing w:after="160"/>
        <w:ind w:left="360" w:hanging="360"/>
        <w:jc w:val="both"/>
      </w:pPr>
      <w:r>
        <w:rPr>
          <w:rFonts w:ascii="Times New Roman" w:cs="Times New Roman" w:eastAsia="Times New Roman" w:hAnsi="Times New Roman"/>
          <w:sz w:val="22"/>
          <w:szCs w:val="22"/>
        </w:rPr>
        <w:t xml:space="preserve">Aiken, E., Blumenstock, J., &amp; Kasy, M. (2022). Machine learning and targeting of social programs. Proceedings of the National Academy of Sciences, 119(33). https://doi.org/10.1073/pnas.2108808119</w:t>
      </w:r>
    </w:p>
    <w:p>
      <w:pPr>
        <w:spacing w:after="160"/>
        <w:ind w:left="360" w:hanging="360"/>
        <w:jc w:val="both"/>
      </w:pPr>
      <w:r>
        <w:rPr>
          <w:rFonts w:ascii="Times New Roman" w:cs="Times New Roman" w:eastAsia="Times New Roman" w:hAnsi="Times New Roman"/>
          <w:sz w:val="22"/>
          <w:szCs w:val="22"/>
        </w:rPr>
        <w:t xml:space="preserve">Athey, S., &amp; Imbens, G. W. (2016). Recursive partitioning for heterogeneous causal effects. Proceedings of the National Academy of Sciences, 113(27), 7353–7360.</w:t>
      </w:r>
    </w:p>
    <w:p>
      <w:pPr>
        <w:spacing w:after="160"/>
        <w:ind w:left="360" w:hanging="360"/>
        <w:jc w:val="both"/>
      </w:pPr>
      <w:r>
        <w:rPr>
          <w:rFonts w:ascii="Times New Roman" w:cs="Times New Roman" w:eastAsia="Times New Roman" w:hAnsi="Times New Roman"/>
          <w:sz w:val="22"/>
          <w:szCs w:val="22"/>
        </w:rPr>
        <w:t xml:space="preserve">Athey, S., &amp; Imbens, G. W. (2019). Machine learning methods that economists should know about. Annual Review of Economics, 11, 685–725.</w:t>
      </w:r>
    </w:p>
    <w:p>
      <w:pPr>
        <w:spacing w:after="160"/>
        <w:ind w:left="360" w:hanging="360"/>
        <w:jc w:val="both"/>
      </w:pPr>
      <w:r>
        <w:rPr>
          <w:rFonts w:ascii="Times New Roman" w:cs="Times New Roman" w:eastAsia="Times New Roman" w:hAnsi="Times New Roman"/>
          <w:sz w:val="22"/>
          <w:szCs w:val="22"/>
        </w:rPr>
        <w:t xml:space="preserve">Athey, S., Tibshirani, J., &amp; Wager, S. (2019). Generalized random forests. Annals of Statistics, 47(2), 1148–1178.</w:t>
      </w:r>
    </w:p>
    <w:p>
      <w:pPr>
        <w:spacing w:after="160"/>
        <w:ind w:left="360" w:hanging="360"/>
        <w:jc w:val="both"/>
      </w:pPr>
      <w:r>
        <w:rPr>
          <w:rFonts w:ascii="Times New Roman" w:cs="Times New Roman" w:eastAsia="Times New Roman" w:hAnsi="Times New Roman"/>
          <w:sz w:val="22"/>
          <w:szCs w:val="22"/>
        </w:rPr>
        <w:t xml:space="preserve">Banco Interamericano de Desarrollo. (2022). Mejorando la focalización de subsidios en América Latina. BID.</w:t>
      </w:r>
    </w:p>
    <w:p>
      <w:pPr>
        <w:spacing w:after="160"/>
        <w:ind w:left="360" w:hanging="360"/>
        <w:jc w:val="both"/>
      </w:pPr>
      <w:r>
        <w:rPr>
          <w:rFonts w:ascii="Times New Roman" w:cs="Times New Roman" w:eastAsia="Times New Roman" w:hAnsi="Times New Roman"/>
          <w:sz w:val="22"/>
          <w:szCs w:val="22"/>
        </w:rPr>
        <w:t xml:space="preserve">Banco Mundial. (2020). Revisiting targeting in social assistance: A new look at old dilemmas. World Bank.</w:t>
      </w:r>
    </w:p>
    <w:p>
      <w:pPr>
        <w:spacing w:after="160"/>
        <w:ind w:left="360" w:hanging="360"/>
        <w:jc w:val="both"/>
      </w:pPr>
      <w:r>
        <w:rPr>
          <w:rFonts w:ascii="Times New Roman" w:cs="Times New Roman" w:eastAsia="Times New Roman" w:hAnsi="Times New Roman"/>
          <w:sz w:val="22"/>
          <w:szCs w:val="22"/>
        </w:rPr>
        <w:t xml:space="preserve">Blumenstock, J., Cadamuro, G., &amp; On, R. (2015). Predicting poverty and wealth from mobile phone metadata. Science, 350(6264), 1073–1076.</w:t>
      </w:r>
    </w:p>
    <w:p>
      <w:pPr>
        <w:spacing w:after="160"/>
        <w:ind w:left="360" w:hanging="360"/>
        <w:jc w:val="both"/>
      </w:pPr>
      <w:r>
        <w:rPr>
          <w:rFonts w:ascii="Times New Roman" w:cs="Times New Roman" w:eastAsia="Times New Roman" w:hAnsi="Times New Roman"/>
          <w:sz w:val="22"/>
          <w:szCs w:val="22"/>
        </w:rPr>
        <w:t xml:space="preserve">Castañeda, C., &amp; Morales, L. (2015). Identificación y focalización de beneficiarios de programas sociales en Colombia. Fedesarrollo.</w:t>
      </w:r>
    </w:p>
    <w:p>
      <w:pPr>
        <w:spacing w:after="160"/>
        <w:ind w:left="360" w:hanging="360"/>
        <w:jc w:val="both"/>
      </w:pPr>
      <w:r>
        <w:rPr>
          <w:rFonts w:ascii="Times New Roman" w:cs="Times New Roman" w:eastAsia="Times New Roman" w:hAnsi="Times New Roman"/>
          <w:sz w:val="22"/>
          <w:szCs w:val="22"/>
        </w:rPr>
        <w:t xml:space="preserve">CEPAL. (2022). Panorama social de América Latina 2022. Comisión Económica para América Latina y el Caribe.</w:t>
      </w:r>
    </w:p>
    <w:p>
      <w:pPr>
        <w:spacing w:after="160"/>
        <w:ind w:left="360" w:hanging="360"/>
        <w:jc w:val="both"/>
      </w:pPr>
      <w:r>
        <w:rPr>
          <w:rFonts w:ascii="Times New Roman" w:cs="Times New Roman" w:eastAsia="Times New Roman" w:hAnsi="Times New Roman"/>
          <w:sz w:val="22"/>
          <w:szCs w:val="22"/>
        </w:rPr>
        <w:t xml:space="preserve">Chernozhukov, V., Chetverikov, D., Demirer, M., Duflo, E., Hansen, C., Newey, W., &amp; Robins, J. (2018). Double/debiased machine learning for treatment and structural parameters. The Econometrics Journal, 21(1), C1–C68. https://doi.org/10.1111/ectj.12097</w:t>
      </w:r>
    </w:p>
    <w:p>
      <w:pPr>
        <w:spacing w:after="160"/>
        <w:ind w:left="360" w:hanging="360"/>
        <w:jc w:val="both"/>
      </w:pPr>
      <w:r>
        <w:rPr>
          <w:rFonts w:ascii="Times New Roman" w:cs="Times New Roman" w:eastAsia="Times New Roman" w:hAnsi="Times New Roman"/>
          <w:sz w:val="22"/>
          <w:szCs w:val="22"/>
        </w:rPr>
        <w:t xml:space="preserve">Coady, D., Grosh, M., &amp; Hoddinott, J. (2004). Targeting transfers in developing countries: Review of lessons and experience. World Bank Publications.</w:t>
      </w:r>
    </w:p>
    <w:p>
      <w:pPr>
        <w:spacing w:after="160"/>
        <w:ind w:left="360" w:hanging="360"/>
        <w:jc w:val="both"/>
      </w:pPr>
      <w:r>
        <w:rPr>
          <w:rFonts w:ascii="Times New Roman" w:cs="Times New Roman" w:eastAsia="Times New Roman" w:hAnsi="Times New Roman"/>
          <w:sz w:val="22"/>
          <w:szCs w:val="22"/>
        </w:rPr>
        <w:t xml:space="preserve">CONPES 4024. (2021). Declaratoria de importancia estratégica del Registro Social de Hogares. DNP.</w:t>
      </w:r>
    </w:p>
    <w:p>
      <w:pPr>
        <w:spacing w:after="160"/>
        <w:ind w:left="360" w:hanging="360"/>
        <w:jc w:val="both"/>
      </w:pPr>
      <w:r>
        <w:rPr>
          <w:rFonts w:ascii="Times New Roman" w:cs="Times New Roman" w:eastAsia="Times New Roman" w:hAnsi="Times New Roman"/>
          <w:sz w:val="22"/>
          <w:szCs w:val="22"/>
        </w:rPr>
        <w:t xml:space="preserve">DANE. (2026). Boletín técnico: Principales indicadores de pobreza de la población víctima 2021–2024. DANE.</w:t>
      </w:r>
    </w:p>
    <w:p>
      <w:pPr>
        <w:spacing w:after="160"/>
        <w:ind w:left="360" w:hanging="360"/>
        <w:jc w:val="both"/>
      </w:pPr>
      <w:r>
        <w:rPr>
          <w:rFonts w:ascii="Times New Roman" w:cs="Times New Roman" w:eastAsia="Times New Roman" w:hAnsi="Times New Roman"/>
          <w:sz w:val="22"/>
          <w:szCs w:val="22"/>
        </w:rPr>
        <w:t xml:space="preserve">Departamento Nacional de Planeación (DNP). (2022). Informe de resultados de la evaluación institucional y de operaciones del Sisbén IV. DNP–BID.</w:t>
      </w:r>
    </w:p>
    <w:p>
      <w:pPr>
        <w:spacing w:after="160"/>
        <w:ind w:left="360" w:hanging="360"/>
        <w:jc w:val="both"/>
      </w:pPr>
      <w:r>
        <w:rPr>
          <w:rFonts w:ascii="Times New Roman" w:cs="Times New Roman" w:eastAsia="Times New Roman" w:hAnsi="Times New Roman"/>
          <w:sz w:val="22"/>
          <w:szCs w:val="22"/>
        </w:rPr>
        <w:t xml:space="preserve">Departamento para la Prosperidad Social (DPS). (2023). Informe de programas de transferencias monetarias. DPS.</w:t>
      </w:r>
    </w:p>
    <w:p>
      <w:pPr>
        <w:spacing w:after="160"/>
        <w:ind w:left="360" w:hanging="360"/>
        <w:jc w:val="both"/>
      </w:pPr>
      <w:r>
        <w:rPr>
          <w:rFonts w:ascii="Times New Roman" w:cs="Times New Roman" w:eastAsia="Times New Roman" w:hAnsi="Times New Roman"/>
          <w:sz w:val="22"/>
          <w:szCs w:val="22"/>
        </w:rPr>
        <w:t xml:space="preserve">Engstrom, R., Hersh, J., &amp; Newhouse, D. (2019). Poverty targeting using machine learning. NBER Working Paper 26297. https://doi.org/10.3386/w26297</w:t>
      </w:r>
    </w:p>
    <w:p>
      <w:pPr>
        <w:spacing w:after="160"/>
        <w:ind w:left="360" w:hanging="360"/>
        <w:jc w:val="both"/>
      </w:pPr>
      <w:r>
        <w:rPr>
          <w:rFonts w:ascii="Times New Roman" w:cs="Times New Roman" w:eastAsia="Times New Roman" w:hAnsi="Times New Roman"/>
          <w:sz w:val="22"/>
          <w:szCs w:val="22"/>
        </w:rPr>
        <w:t xml:space="preserve">Fedesarrollo. (2022). Pobreza y desigualdad en Colombia: análisis y perspectivas. Fedesarrollo.</w:t>
      </w:r>
    </w:p>
    <w:p>
      <w:pPr>
        <w:spacing w:after="160"/>
        <w:ind w:left="360" w:hanging="360"/>
        <w:jc w:val="both"/>
      </w:pPr>
      <w:r>
        <w:rPr>
          <w:rFonts w:ascii="Times New Roman" w:cs="Times New Roman" w:eastAsia="Times New Roman" w:hAnsi="Times New Roman"/>
          <w:sz w:val="22"/>
          <w:szCs w:val="22"/>
        </w:rPr>
        <w:t xml:space="preserve">Jean, N., Burke, M., Xie, M., Davis, W. M., Lobell, D. B., &amp; Ermon, S. (2016). Combining satellite imagery and machine learning to predict poverty. Science, 353(6301), 790–794.</w:t>
      </w:r>
    </w:p>
    <w:p>
      <w:pPr>
        <w:spacing w:after="160"/>
        <w:ind w:left="360" w:hanging="360"/>
        <w:jc w:val="both"/>
      </w:pPr>
      <w:r>
        <w:rPr>
          <w:rFonts w:ascii="Times New Roman" w:cs="Times New Roman" w:eastAsia="Times New Roman" w:hAnsi="Times New Roman"/>
          <w:sz w:val="22"/>
          <w:szCs w:val="22"/>
        </w:rPr>
        <w:t xml:space="preserve">Kasy, M., &amp; Sautmann, A. (2021). Machine learning for policy evaluation and targeting. Journal of Economic Perspectives, 35(3), 169–196.</w:t>
      </w:r>
    </w:p>
    <w:p>
      <w:pPr>
        <w:spacing w:after="160"/>
        <w:ind w:left="360" w:hanging="360"/>
        <w:jc w:val="both"/>
      </w:pPr>
      <w:r>
        <w:rPr>
          <w:rFonts w:ascii="Times New Roman" w:cs="Times New Roman" w:eastAsia="Times New Roman" w:hAnsi="Times New Roman"/>
          <w:sz w:val="22"/>
          <w:szCs w:val="22"/>
        </w:rPr>
        <w:t xml:space="preserve">Kidd, S., &amp; Wylde, E. (2011). Targeting the poorest: An assessment of the proxy means test methodology. AusAID.</w:t>
      </w:r>
    </w:p>
    <w:p>
      <w:pPr>
        <w:spacing w:after="160"/>
        <w:ind w:left="360" w:hanging="360"/>
        <w:jc w:val="both"/>
      </w:pPr>
      <w:r>
        <w:rPr>
          <w:rFonts w:ascii="Times New Roman" w:cs="Times New Roman" w:eastAsia="Times New Roman" w:hAnsi="Times New Roman"/>
          <w:sz w:val="22"/>
          <w:szCs w:val="22"/>
        </w:rPr>
        <w:t xml:space="preserve">McBride, L., &amp; Nichols, A. (2018). Retooling poverty targeting using machine learning. The World Bank Economic Review, 32(3), 566–589.</w:t>
      </w:r>
    </w:p>
    <w:p>
      <w:pPr>
        <w:spacing w:after="160"/>
        <w:ind w:left="360" w:hanging="360"/>
        <w:jc w:val="both"/>
      </w:pPr>
      <w:r>
        <w:rPr>
          <w:rFonts w:ascii="Times New Roman" w:cs="Times New Roman" w:eastAsia="Times New Roman" w:hAnsi="Times New Roman"/>
          <w:sz w:val="22"/>
          <w:szCs w:val="22"/>
        </w:rPr>
        <w:t xml:space="preserve">Mora, J.J., Herrera, D.Y., Arroyo, J.S., Hau, D., &amp; Quinchua, J. (2025). Dataset for Multidimensional Poverty Index in Cali-Colombia. Data in Brief. https://doi.org/10.17605/OSF.IO/EQ59X</w:t>
      </w:r>
    </w:p>
    <w:p>
      <w:pPr>
        <w:spacing w:after="160"/>
        <w:ind w:left="360" w:hanging="360"/>
        <w:jc w:val="both"/>
      </w:pPr>
      <w:r>
        <w:rPr>
          <w:rFonts w:ascii="Times New Roman" w:cs="Times New Roman" w:eastAsia="Times New Roman" w:hAnsi="Times New Roman"/>
          <w:sz w:val="22"/>
          <w:szCs w:val="22"/>
        </w:rPr>
        <w:t xml:space="preserve">Roth, J. et al. (2025). Exploring the heterogeneous impacts of Indonesia's conditional cash transfer scheme (PKH) using instrumental causal forests. arXiv:2501.12803.</w:t>
      </w:r>
    </w:p>
    <w:p>
      <w:pPr>
        <w:spacing w:after="160"/>
        <w:ind w:left="360" w:hanging="360"/>
        <w:jc w:val="both"/>
      </w:pPr>
      <w:r>
        <w:rPr>
          <w:rFonts w:ascii="Times New Roman" w:cs="Times New Roman" w:eastAsia="Times New Roman" w:hAnsi="Times New Roman"/>
          <w:sz w:val="22"/>
          <w:szCs w:val="22"/>
        </w:rPr>
        <w:t xml:space="preserve">Rubin, D. B. (1974). Estimating causal effects of treatments in randomized and nonrandomized studies. Journal of Educational Psychology, 66(5), 688–701.</w:t>
      </w:r>
    </w:p>
    <w:p>
      <w:pPr>
        <w:spacing w:after="160"/>
        <w:ind w:left="360" w:hanging="360"/>
        <w:jc w:val="both"/>
      </w:pPr>
      <w:r>
        <w:rPr>
          <w:rFonts w:ascii="Times New Roman" w:cs="Times New Roman" w:eastAsia="Times New Roman" w:hAnsi="Times New Roman"/>
          <w:sz w:val="22"/>
          <w:szCs w:val="22"/>
        </w:rPr>
        <w:t xml:space="preserve">Veras Soares, F., Perez Ribas, R., &amp; Guerreiro Osório, R. (2010). Evaluating the impact of Brazil's Bolsa Família. Latin American Research Review, 45(2), 173–190.</w:t>
      </w:r>
    </w:p>
    <w:p>
      <w:pPr>
        <w:spacing w:after="160"/>
        <w:ind w:left="360" w:hanging="360"/>
        <w:jc w:val="both"/>
      </w:pPr>
      <w:r>
        <w:rPr>
          <w:rFonts w:ascii="Times New Roman" w:cs="Times New Roman" w:eastAsia="Times New Roman" w:hAnsi="Times New Roman"/>
          <w:sz w:val="22"/>
          <w:szCs w:val="22"/>
        </w:rPr>
        <w:t xml:space="preserve">Wager, S., &amp; Athey, S. (2018). Estimation and inference of heterogeneous treatment effects using random forests. Journal of the American Statistical Association, 113(523), 1228–1242. https://doi.org/10.1080/01621459.2017.1319839</w:t>
      </w:r>
    </w:p>
    <w:sectPr>
      <w:headerReference w:type="default" r:id="rId7"/>
      <w:headerReference w:type="first" r:id="rId8"/>
      <w:headerReference w:type="even" r:id="rId9"/>
      <w:footerReference w:type="default" r:id="rId10"/>
      <w:footerReference w:type="first" r:id="rId11"/>
      <w:footerReference w:type="even" r:id="rId12"/>
      <w:pgSz w:w="11908" w:h="16833" w:orient="portrait"/>
      <w:pgMar w:top="1584" w:right="1584" w:bottom="1584" w:left="1584"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Estudiante, Maestría en Ciencia de Datos, Universidad Santo Tomás</w:t>
      </w:r>
    </w:p>
  </w:footnote>
  <w:footnote w:id="2">
    <w:p>
      <w:r>
        <w:rPr>
          <w:rStyle w:val="FootnoteReference"/>
        </w:rPr>
        <w:footnoteRef/>
      </w:r>
      <w:r>
        <w:rPr>
          <w:rFonts w:ascii="Times New Roman" w:cs="Times New Roman" w:eastAsia="Times New Roman" w:hAnsi="Times New Roman"/>
          <w:sz w:val="18"/>
          <w:szCs w:val="18"/>
        </w:rPr>
        <w:t xml:space="preserve">Director, Facultad de Ingeniería, Universidad Santo Tomás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i/>
        <w:iCs/>
        <w:sz w:val="18"/>
        <w:szCs w:val="18"/>
      </w:rPr>
      <w:t xml:space="preserve">Efecto causal del Sisbén IV en la pobreza y el bienestar del hogar</w:t>
    </w:r>
    <w: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1809750" cy="2600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260033"/>
                  </a:xfrm>
                  <a:prstGeom prst="rect">
                    <a:avLst/>
                  </a:prstGeom>
                </pic:spPr>
              </pic:pic>
            </a:graphicData>
          </a:graphic>
        </wp:inline>
      </w:drawing>
    </w:r>
    <w:r>
      <w:t xml:space="preserve">	</w:t>
    </w:r>
    <w:r>
      <w:rPr>
        <w:rFonts w:ascii="Times New Roman" w:cs="Times New Roman" w:eastAsia="Times New Roman" w:hAnsi="Times New Roman"/>
        <w:b/>
        <w:bCs/>
        <w:sz w:val="18"/>
        <w:szCs w:val="18"/>
      </w:rPr>
      <w:t xml:space="preserve">Facultad de Ingeniería</w:t>
    </w:r>
  </w:p>
  <w:p>
    <w:pPr>
      <w:jc w:val="right"/>
    </w:pPr>
    <w:r>
      <w:rPr>
        <w:rFonts w:ascii="Times New Roman" w:cs="Times New Roman" w:eastAsia="Times New Roman" w:hAnsi="Times New Roman"/>
        <w:sz w:val="18"/>
        <w:szCs w:val="18"/>
      </w:rPr>
      <w:t xml:space="preserve">Maestría en Ciencia de Datos</w:t>
    </w:r>
  </w:p>
  <w:p>
    <w:pPr>
      <w:jc w:val="right"/>
    </w:pPr>
    <w:r>
      <w:rPr>
        <w:rFonts w:ascii="Times New Roman" w:cs="Times New Roman" w:eastAsia="Times New Roman" w:hAnsi="Times New Roman"/>
        <w:sz w:val="18"/>
        <w:szCs w:val="18"/>
      </w:rPr>
      <w:t xml:space="preserve">Anteproyecto de trabajo de grado</w:t>
    </w:r>
  </w:p>
  <w:p>
    <w:pPr>
      <w:jc w:val="right"/>
    </w:pPr>
    <w:r>
      <w:rPr>
        <w:rFonts w:ascii="Times New Roman" w:cs="Times New Roman" w:eastAsia="Times New Roman" w:hAnsi="Times New Roman"/>
        <w:sz w:val="18"/>
        <w:szCs w:val="18"/>
      </w:rPr>
      <w:t xml:space="preserve">Abril de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sz w:val="18"/>
        <w:szCs w:val="18"/>
      </w:rPr>
      <w:fldChar w:fldCharType="begin"/>
      <w:instrText xml:space="preserve">PAGE</w:instrText>
      <w:fldChar w:fldCharType="separate"/>
      <w:fldChar w:fldCharType="end"/>
    </w:r>
    <w:r>
      <w:t xml:space="preserve">	</w:t>
    </w:r>
    <w:r>
      <w:rPr>
        <w:rFonts w:ascii="Times New Roman" w:cs="Times New Roman" w:eastAsia="Times New Roman" w:hAnsi="Times New Roman"/>
        <w:i/>
        <w:iCs/>
        <w:sz w:val="18"/>
        <w:szCs w:val="18"/>
      </w:rPr>
      <w:t xml:space="preserve">Fonseca Arévalo, J. S. &amp; Roncancio Marín, J. 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e4fa97c1eb608459744053007bc3c66d2788e38.png"/></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Efecto causal del Sisbén IV en la identificación de la pobreza y el bienestar multidimensional en hogares colombianos</dc:title>
  <dc:creator>Universidad Santo Tomás</dc:creator>
  <cp:lastModifiedBy>Un-named</cp:lastModifiedBy>
  <cp:revision>1</cp:revision>
  <dcterms:created xsi:type="dcterms:W3CDTF">2026-07-08T00:53:23.538Z</dcterms:created>
  <dcterms:modified xsi:type="dcterms:W3CDTF">2026-07-08T00:53:23.539Z</dcterms:modified>
</cp:coreProperties>
</file>

<file path=docProps/custom.xml><?xml version="1.0" encoding="utf-8"?>
<Properties xmlns="http://schemas.openxmlformats.org/officeDocument/2006/custom-properties" xmlns:vt="http://schemas.openxmlformats.org/officeDocument/2006/docPropsVTypes"/>
</file>