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media/image2.png" ContentType="image/png"/>
  <Override PartName="/word/media/image1.wmf" ContentType="image/x-wmf"/>
  <Override PartName="/word/header1.xml" ContentType="application/vnd.openxmlformats-officedocument.wordprocessingml.head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1"/>
        </w:numPr>
        <w:spacing w:before="360" w:after="40"/>
        <w:jc w:val="center"/>
        <w:rPr>
          <w:color w:val="000000"/>
        </w:rPr>
      </w:pPr>
      <w:r>
        <w:rPr>
          <w:color w:val="000000"/>
        </w:rPr>
        <w:t>AVENANT SUR LES MODALITES D’AMENAGEMENT DU TEMPS DE TRAVAIL</w:t>
      </w:r>
    </w:p>
    <w:p>
      <w:pPr>
        <w:pStyle w:val="Normal"/>
        <w:jc w:val="center"/>
        <w:rPr>
          <w:rFonts w:ascii="Calibri" w:hAnsi="Calibri" w:cs="Calibri"/>
        </w:rPr>
      </w:pPr>
      <w:r>
        <w:rPr>
          <w:rFonts w:cs="Calibri" w:ascii="Calibri" w:hAnsi="Calibri"/>
        </w:rPr>
        <w:t xml:space="preserve">Avenant à l’accord d’aménagement du temps </w:t>
      </w:r>
    </w:p>
    <w:p>
      <w:pPr>
        <w:pStyle w:val="Normal"/>
        <w:jc w:val="center"/>
        <w:rPr>
          <w:rFonts w:ascii="Calibri" w:hAnsi="Calibri" w:cs="Calibri"/>
        </w:rPr>
      </w:pPr>
      <w:r>
        <w:rPr>
          <w:rFonts w:cs="Calibri" w:ascii="Calibri" w:hAnsi="Calibri"/>
        </w:rPr>
        <w:t>de travail signé le 14/11/2001</w:t>
      </w:r>
    </w:p>
    <w:p>
      <w:pPr>
        <w:pStyle w:val="Normal"/>
        <w:jc w:val="center"/>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Entre la Société Comptoir Général des Métaux (CGM)</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Représentée par, Direction Générale</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 xml:space="preserve">D’une part,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 xml:space="preserve">Et,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Les représentants du personnel soussignés</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t>D’autre part</w:t>
      </w:r>
    </w:p>
    <w:p>
      <w:pPr>
        <w:pStyle w:val="Normal"/>
        <w:rPr>
          <w:rFonts w:ascii="Calibri" w:hAnsi="Calibri" w:cs="Calibri"/>
        </w:rPr>
      </w:pPr>
      <w:r>
        <w:rPr>
          <w:rFonts w:cs="Calibri" w:ascii="Calibri" w:hAnsi="Calibri"/>
        </w:rPr>
      </w:r>
    </w:p>
    <w:p>
      <w:pPr>
        <w:pStyle w:val="Heading1"/>
        <w:numPr>
          <w:ilvl w:val="0"/>
          <w:numId w:val="1"/>
        </w:numPr>
        <w:spacing w:lineRule="auto" w:line="360" w:before="0" w:after="2"/>
        <w:ind w:right="1020" w:hanging="0"/>
        <w:jc w:val="both"/>
        <w:rPr/>
      </w:pPr>
      <w:r>
        <w:rPr>
          <w:rFonts w:eastAsia="Calibri" w:cs="Calibri" w:ascii="Calibri" w:hAnsi="Calibri"/>
          <w:color w:val="000000"/>
          <w:sz w:val="24"/>
          <w:szCs w:val="22"/>
          <w:u w:val="single" w:color="000000"/>
          <w:lang w:eastAsia="fr-FR"/>
        </w:rPr>
        <w:t>PREAMBULE</w:t>
      </w:r>
      <w:r>
        <w:rPr>
          <w:color w:val="000000"/>
        </w:rPr>
        <w:t xml:space="preserve"> </w:t>
      </w:r>
    </w:p>
    <w:p>
      <w:pPr>
        <w:pStyle w:val="Normal"/>
        <w:ind w:firstLine="567"/>
        <w:jc w:val="both"/>
        <w:rPr/>
      </w:pPr>
      <w:r>
        <w:rPr>
          <w:rFonts w:cs="Calibri" w:ascii="Calibri" w:hAnsi="Calibri"/>
        </w:rPr>
        <w:t xml:space="preserve">Le présent avenant a pour objet d’adapter les modalités d’organisation du temps de travail définis actuellement par l’accord d’entreprise du 14/11/2001 au contexte actuel de l’entreprise. </w:t>
      </w:r>
    </w:p>
    <w:p>
      <w:pPr>
        <w:pStyle w:val="Normal"/>
        <w:jc w:val="both"/>
        <w:rPr>
          <w:rFonts w:ascii="Calibri" w:hAnsi="Calibri" w:cs="Calibri"/>
        </w:rPr>
      </w:pPr>
      <w:r>
        <w:rPr>
          <w:rFonts w:cs="Calibri" w:ascii="Calibri" w:hAnsi="Calibri"/>
        </w:rPr>
      </w:r>
    </w:p>
    <w:p>
      <w:pPr>
        <w:pStyle w:val="Heading1"/>
        <w:numPr>
          <w:ilvl w:val="0"/>
          <w:numId w:val="1"/>
        </w:numPr>
        <w:spacing w:lineRule="auto" w:line="360" w:before="0" w:after="2"/>
        <w:ind w:right="1020" w:hanging="0"/>
        <w:jc w:val="both"/>
        <w:rPr>
          <w:rFonts w:ascii="Calibri" w:hAnsi="Calibri" w:eastAsia="Calibri" w:cs="Calibri"/>
          <w:color w:val="000000"/>
          <w:sz w:val="24"/>
          <w:szCs w:val="22"/>
          <w:u w:val="single" w:color="000000"/>
          <w:lang w:eastAsia="fr-FR"/>
        </w:rPr>
      </w:pPr>
      <w:r>
        <w:rPr>
          <w:rFonts w:eastAsia="Calibri" w:cs="Calibri" w:ascii="Calibri" w:hAnsi="Calibri"/>
          <w:color w:val="000000"/>
          <w:sz w:val="24"/>
          <w:szCs w:val="22"/>
          <w:u w:val="single" w:color="000000"/>
          <w:lang w:eastAsia="fr-FR"/>
        </w:rPr>
        <w:t xml:space="preserve">CHAMP D’APPLICATION </w:t>
      </w:r>
    </w:p>
    <w:p>
      <w:pPr>
        <w:pStyle w:val="Normal"/>
        <w:spacing w:before="0" w:after="111"/>
        <w:ind w:firstLine="567"/>
        <w:jc w:val="both"/>
        <w:rPr/>
      </w:pPr>
      <w:r>
        <w:rPr>
          <w:rFonts w:cs="Calibri" w:ascii="Calibri" w:hAnsi="Calibri"/>
        </w:rPr>
        <w:t xml:space="preserve">Le présent accord sur la durée et l’aménagement du temps de travail est applicable à l’ensemble de l’entreprise Comptoir Général des Métaux, sur tous les sites. </w:t>
      </w:r>
    </w:p>
    <w:p>
      <w:pPr>
        <w:pStyle w:val="Normal"/>
        <w:spacing w:before="0" w:after="111"/>
        <w:jc w:val="both"/>
        <w:rPr>
          <w:rFonts w:ascii="Calibri" w:hAnsi="Calibri" w:cs="Calibri"/>
        </w:rPr>
      </w:pPr>
      <w:r>
        <w:rPr>
          <w:rFonts w:cs="Calibri" w:ascii="Calibri" w:hAnsi="Calibri"/>
        </w:rPr>
      </w:r>
    </w:p>
    <w:p>
      <w:pPr>
        <w:pStyle w:val="Heading1"/>
        <w:numPr>
          <w:ilvl w:val="0"/>
          <w:numId w:val="1"/>
        </w:numPr>
        <w:spacing w:lineRule="auto" w:line="360" w:before="0" w:after="2"/>
        <w:ind w:right="1020" w:hanging="0"/>
        <w:jc w:val="both"/>
        <w:rPr>
          <w:rFonts w:ascii="Calibri" w:hAnsi="Calibri" w:eastAsia="Calibri" w:cs="Calibri"/>
          <w:color w:val="000000"/>
          <w:sz w:val="24"/>
          <w:szCs w:val="22"/>
          <w:u w:val="single" w:color="000000"/>
          <w:lang w:eastAsia="fr-FR"/>
        </w:rPr>
      </w:pPr>
      <w:r>
        <w:rPr>
          <w:rFonts w:eastAsia="Calibri" w:cs="Calibri" w:ascii="Calibri" w:hAnsi="Calibri"/>
          <w:color w:val="000000"/>
          <w:sz w:val="24"/>
          <w:szCs w:val="22"/>
          <w:u w:val="single" w:color="000000"/>
          <w:lang w:eastAsia="fr-FR"/>
        </w:rPr>
        <w:t xml:space="preserve">OBJET </w:t>
      </w:r>
    </w:p>
    <w:p>
      <w:pPr>
        <w:pStyle w:val="Normal"/>
        <w:spacing w:before="0" w:after="111"/>
        <w:jc w:val="both"/>
        <w:rPr>
          <w:rFonts w:ascii="Calibri" w:hAnsi="Calibri" w:cs="Calibri"/>
        </w:rPr>
      </w:pPr>
      <w:r>
        <w:rPr>
          <w:rFonts w:cs="Calibri" w:ascii="Calibri" w:hAnsi="Calibri"/>
        </w:rPr>
        <w:t>Le présent accord a pour objet de réviser et compléter les articles suivants de l’accord sur les modalités d’aménagement  du temps de travail de 2001 et les éventuels usages portants sur les mêmes objets :</w:t>
      </w:r>
    </w:p>
    <w:p>
      <w:pPr>
        <w:pStyle w:val="Normal"/>
        <w:numPr>
          <w:ilvl w:val="0"/>
          <w:numId w:val="2"/>
        </w:numPr>
        <w:spacing w:lineRule="auto" w:line="256" w:before="0" w:after="3"/>
        <w:ind w:left="0" w:hanging="223"/>
        <w:jc w:val="both"/>
        <w:rPr>
          <w:rFonts w:ascii="Calibri" w:hAnsi="Calibri" w:cs="Calibri"/>
        </w:rPr>
      </w:pPr>
      <w:r>
        <w:rPr>
          <w:rFonts w:cs="Calibri" w:ascii="Calibri" w:hAnsi="Calibri"/>
        </w:rPr>
        <w:t>Articles 4 : Les Congés Payés</w:t>
      </w:r>
    </w:p>
    <w:p>
      <w:pPr>
        <w:pStyle w:val="Normal"/>
        <w:spacing w:lineRule="auto" w:line="256" w:before="0" w:after="3"/>
        <w:jc w:val="both"/>
        <w:rPr>
          <w:rFonts w:ascii="Calibri" w:hAnsi="Calibri" w:cs="Calibri"/>
        </w:rPr>
      </w:pPr>
      <w:r>
        <w:rPr>
          <w:rFonts w:cs="Calibri" w:ascii="Calibri" w:hAnsi="Calibri"/>
        </w:rPr>
      </w:r>
    </w:p>
    <w:p>
      <w:pPr>
        <w:pStyle w:val="Normal"/>
        <w:spacing w:lineRule="auto" w:line="256" w:before="0" w:after="3"/>
        <w:jc w:val="both"/>
        <w:rPr>
          <w:rFonts w:ascii="Calibri" w:hAnsi="Calibri" w:cs="Calibri"/>
        </w:rPr>
      </w:pPr>
      <w:r>
        <w:rPr>
          <w:rFonts w:cs="Calibri" w:ascii="Calibri" w:hAnsi="Calibri"/>
        </w:rPr>
      </w:r>
    </w:p>
    <w:p>
      <w:pPr>
        <w:pStyle w:val="Normal"/>
        <w:jc w:val="right"/>
        <w:rPr>
          <w:rFonts w:ascii="Calibri" w:hAnsi="Calibri" w:cs="Calibri"/>
        </w:rPr>
      </w:pPr>
      <w:r>
        <w:rPr>
          <w:sz w:val="16"/>
          <w:szCs w:val="16"/>
        </w:rPr>
        <w:t xml:space="preserve">Page </w:t>
      </w:r>
      <w:r>
        <w:rPr>
          <w:b/>
          <w:bCs/>
          <w:sz w:val="16"/>
          <w:szCs w:val="16"/>
        </w:rPr>
        <w:t xml:space="preserve">1 </w:t>
      </w:r>
      <w:r>
        <w:rPr>
          <w:sz w:val="16"/>
          <w:szCs w:val="16"/>
        </w:rPr>
        <w:t xml:space="preserve">sur </w:t>
      </w:r>
      <w:r>
        <w:rPr>
          <w:b/>
          <w:bCs/>
          <w:sz w:val="16"/>
          <w:szCs w:val="16"/>
        </w:rPr>
        <w:t>3</w:t>
      </w:r>
    </w:p>
    <w:p>
      <w:pPr>
        <w:pStyle w:val="Normal"/>
        <w:jc w:val="both"/>
        <w:rPr>
          <w:rFonts w:ascii="Calibri" w:hAnsi="Calibri" w:cs="Calibri"/>
        </w:rPr>
      </w:pPr>
      <w:r>
        <w:rPr>
          <w:rFonts w:eastAsia="Calibri" w:cs="Calibri" w:ascii="Calibri" w:hAnsi="Calibri"/>
        </w:rPr>
        <w:t xml:space="preserve"> </w:t>
      </w:r>
      <w:r>
        <w:br w:type="page"/>
      </w:r>
    </w:p>
    <w:p>
      <w:pPr>
        <w:pStyle w:val="Normal"/>
        <w:jc w:val="center"/>
        <w:rPr>
          <w:rFonts w:ascii="Calibri" w:hAnsi="Calibri" w:cs="Calibri"/>
          <w:b/>
          <w:b/>
          <w:color w:val="C00000"/>
          <w:sz w:val="30"/>
        </w:rPr>
      </w:pPr>
      <w:r>
        <w:rPr>
          <w:rFonts w:cs="Calibri" w:ascii="Calibri" w:hAnsi="Calibri"/>
          <w:b/>
          <w:color w:val="C00000"/>
          <w:sz w:val="30"/>
        </w:rPr>
      </w:r>
    </w:p>
    <w:p>
      <w:pPr>
        <w:pStyle w:val="Normal"/>
        <w:jc w:val="center"/>
        <w:rPr>
          <w:b/>
          <w:b/>
          <w:color w:val="C00000"/>
          <w:sz w:val="30"/>
        </w:rPr>
      </w:pPr>
      <w:r>
        <w:rPr>
          <w:b/>
          <w:color w:val="C00000"/>
          <w:sz w:val="30"/>
        </w:rPr>
        <w:t>Les principes généraux</w:t>
      </w:r>
    </w:p>
    <w:p>
      <w:pPr>
        <w:pStyle w:val="Normal"/>
        <w:rPr>
          <w:rFonts w:ascii="Calibri" w:hAnsi="Calibri" w:cs="Calibri"/>
        </w:rPr>
      </w:pPr>
      <w:r>
        <w:rPr>
          <w:rFonts w:eastAsia="Calibri" w:cs="Calibri" w:ascii="Calibri" w:hAnsi="Calibri"/>
        </w:rPr>
        <w:t xml:space="preserve">  </w:t>
      </w:r>
    </w:p>
    <w:p>
      <w:pPr>
        <w:pStyle w:val="Normal"/>
        <w:rPr>
          <w:rFonts w:ascii="Calibri" w:hAnsi="Calibri" w:cs="Calibri"/>
        </w:rPr>
      </w:pPr>
      <w:r>
        <w:rPr>
          <w:rFonts w:cs="Calibri" w:ascii="Calibri" w:hAnsi="Calibri"/>
        </w:rPr>
      </w:r>
    </w:p>
    <w:p>
      <w:pPr>
        <w:pStyle w:val="Heading1"/>
        <w:numPr>
          <w:ilvl w:val="0"/>
          <w:numId w:val="1"/>
        </w:numPr>
        <w:spacing w:lineRule="auto" w:line="360" w:before="0" w:after="2"/>
        <w:ind w:right="1020" w:hanging="0"/>
        <w:jc w:val="both"/>
        <w:rPr>
          <w:rFonts w:ascii="Calibri" w:hAnsi="Calibri" w:eastAsia="Calibri" w:cs="Calibri"/>
          <w:color w:val="000000"/>
          <w:sz w:val="24"/>
          <w:szCs w:val="22"/>
          <w:u w:val="single" w:color="000000"/>
          <w:lang w:eastAsia="fr-FR"/>
        </w:rPr>
      </w:pPr>
      <w:r>
        <w:rPr>
          <w:rFonts w:eastAsia="Calibri" w:cs="Calibri" w:ascii="Calibri" w:hAnsi="Calibri"/>
          <w:color w:val="000000"/>
          <w:sz w:val="24"/>
          <w:szCs w:val="22"/>
          <w:u w:val="single" w:color="000000"/>
          <w:lang w:eastAsia="fr-FR"/>
        </w:rPr>
        <w:t xml:space="preserve">ARTICLE 1 –  SALARIES CONCERNES </w:t>
      </w:r>
    </w:p>
    <w:p>
      <w:pPr>
        <w:pStyle w:val="Normal"/>
        <w:rPr>
          <w:rFonts w:ascii="Calibri" w:hAnsi="Calibri" w:cs="Calibri"/>
        </w:rPr>
      </w:pPr>
      <w:r>
        <w:rPr>
          <w:rFonts w:cs="Calibri" w:ascii="Calibri" w:hAnsi="Calibri"/>
        </w:rPr>
        <w:tab/>
        <w:t xml:space="preserve">L’ensemble des salariés, présents sur tous les sites de l’entreprise Comptoir Général des Métaux, est concerné par cet avenant. </w:t>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Heading1"/>
        <w:numPr>
          <w:ilvl w:val="0"/>
          <w:numId w:val="1"/>
        </w:numPr>
        <w:spacing w:lineRule="auto" w:line="360" w:before="0" w:after="2"/>
        <w:ind w:right="1020" w:hanging="0"/>
        <w:jc w:val="both"/>
        <w:rPr/>
      </w:pPr>
      <w:r>
        <w:rPr>
          <w:rFonts w:eastAsia="Calibri" w:cs="Calibri" w:ascii="Calibri" w:hAnsi="Calibri"/>
          <w:color w:val="000000"/>
          <w:sz w:val="24"/>
          <w:szCs w:val="22"/>
          <w:u w:val="single" w:color="000000"/>
          <w:lang w:eastAsia="fr-FR"/>
        </w:rPr>
        <w:t>ARTICLE 2 : CONGES PAYES</w:t>
      </w:r>
    </w:p>
    <w:p>
      <w:pPr>
        <w:pStyle w:val="Normal"/>
        <w:jc w:val="both"/>
        <w:rPr>
          <w:rFonts w:ascii="Calibri" w:hAnsi="Calibri" w:cs="Calibri"/>
        </w:rPr>
      </w:pPr>
      <w:r>
        <w:rPr>
          <w:rFonts w:cs="Calibri" w:ascii="Calibri" w:hAnsi="Calibri"/>
        </w:rPr>
        <w:t xml:space="preserve">Les jours de congés payés sont acquis et décomptés en jours ouvrés. Les jours ouvrés désignent les jours d’ouverture de l’entreprise. </w:t>
      </w:r>
    </w:p>
    <w:p>
      <w:pPr>
        <w:pStyle w:val="Normal"/>
        <w:ind w:firstLine="282"/>
        <w:jc w:val="both"/>
        <w:rPr/>
      </w:pPr>
      <w:r>
        <w:rPr>
          <w:rFonts w:cs="Calibri" w:ascii="Calibri" w:hAnsi="Calibri"/>
        </w:rPr>
        <w:t xml:space="preserve">Le décompte des congés payés commence le 1er jour ouvré où le salarié aurait dû travailler et prend en compte tous les jours ouvrés (travaillés dans l’entreprise, </w:t>
      </w:r>
      <w:r>
        <w:rPr>
          <w:rFonts w:cs="Arial" w:ascii="Calibri" w:hAnsi="Calibri"/>
          <w:bCs/>
        </w:rPr>
        <w:t>quels que soient les jours travaillés par le salarié</w:t>
      </w:r>
      <w:r>
        <w:rPr>
          <w:rFonts w:cs="Calibri" w:ascii="Calibri" w:hAnsi="Calibri"/>
        </w:rPr>
        <w:t>) jusqu’au retour du salarié.</w:t>
      </w:r>
    </w:p>
    <w:p>
      <w:pPr>
        <w:pStyle w:val="Normal"/>
        <w:ind w:firstLine="282"/>
        <w:jc w:val="both"/>
        <w:rPr>
          <w:rFonts w:ascii="Calibri" w:hAnsi="Calibri" w:cs="Calibri"/>
        </w:rPr>
      </w:pPr>
      <w:r>
        <w:rPr>
          <w:rFonts w:cs="Calibri" w:ascii="Calibri" w:hAnsi="Calibri"/>
        </w:rPr>
      </w:r>
    </w:p>
    <w:p>
      <w:pPr>
        <w:pStyle w:val="Normal"/>
        <w:ind w:firstLine="282"/>
        <w:jc w:val="both"/>
        <w:rPr/>
      </w:pPr>
      <w:r>
        <w:rPr>
          <w:rFonts w:cs="Calibri" w:ascii="Calibri" w:hAnsi="Calibri"/>
        </w:rPr>
        <w:t xml:space="preserve">Ex : Lorsqu’un salarié doit travailler du lundi au vendredi matin, s’il prend une semaine, du lundi au vendredi, 5 jours entiers lui seront décomptés. </w:t>
      </w:r>
    </w:p>
    <w:p>
      <w:pPr>
        <w:pStyle w:val="Normal"/>
        <w:ind w:firstLine="282"/>
        <w:jc w:val="both"/>
        <w:rPr>
          <w:rFonts w:ascii="Calibri" w:hAnsi="Calibri" w:cs="Calibri"/>
        </w:rPr>
      </w:pPr>
      <w:r>
        <w:rPr>
          <w:rFonts w:cs="Calibri" w:ascii="Calibri" w:hAnsi="Calibri"/>
        </w:rPr>
      </w:r>
    </w:p>
    <w:p>
      <w:pPr>
        <w:pStyle w:val="Heading1"/>
        <w:numPr>
          <w:ilvl w:val="0"/>
          <w:numId w:val="1"/>
        </w:numPr>
        <w:spacing w:lineRule="auto" w:line="256" w:before="360" w:after="0"/>
        <w:jc w:val="center"/>
        <w:rPr>
          <w:b/>
          <w:b/>
          <w:color w:val="C00000"/>
          <w:sz w:val="30"/>
        </w:rPr>
      </w:pPr>
      <w:r>
        <w:rPr>
          <w:b/>
          <w:color w:val="C00000"/>
          <w:sz w:val="30"/>
        </w:rPr>
        <w:t>Date d’effet. Dénonciation. Révision</w:t>
      </w:r>
    </w:p>
    <w:p>
      <w:pPr>
        <w:pStyle w:val="Normal"/>
        <w:jc w:val="both"/>
        <w:rPr>
          <w:rFonts w:ascii="Calibri" w:hAnsi="Calibri" w:eastAsia="Calibri" w:cs="Calibri"/>
        </w:rPr>
      </w:pPr>
      <w:r>
        <w:rPr>
          <w:rFonts w:eastAsia="Calibri" w:cs="Calibri" w:ascii="Calibri" w:hAnsi="Calibri"/>
        </w:rPr>
        <w:t xml:space="preserve"> </w:t>
      </w:r>
    </w:p>
    <w:p>
      <w:pPr>
        <w:pStyle w:val="Heading1"/>
        <w:numPr>
          <w:ilvl w:val="0"/>
          <w:numId w:val="1"/>
        </w:numPr>
        <w:spacing w:lineRule="auto" w:line="360" w:before="0" w:after="2"/>
        <w:ind w:right="1020" w:hanging="0"/>
        <w:jc w:val="both"/>
        <w:rPr>
          <w:rFonts w:ascii="Calibri" w:hAnsi="Calibri" w:eastAsia="Calibri" w:cs="Calibri"/>
          <w:color w:val="000000"/>
          <w:sz w:val="24"/>
          <w:szCs w:val="22"/>
          <w:u w:val="single" w:color="000000"/>
          <w:lang w:eastAsia="fr-FR"/>
        </w:rPr>
      </w:pPr>
      <w:r>
        <w:rPr>
          <w:rFonts w:eastAsia="Calibri" w:cs="Calibri" w:ascii="Calibri" w:hAnsi="Calibri"/>
          <w:color w:val="000000"/>
          <w:sz w:val="24"/>
          <w:szCs w:val="22"/>
          <w:u w:val="single" w:color="000000"/>
          <w:lang w:eastAsia="fr-FR"/>
        </w:rPr>
        <w:t xml:space="preserve">ARTICLE 1 – DUREE, DENONCIATION ET REVISION DE L’ACCORD </w:t>
      </w:r>
    </w:p>
    <w:p>
      <w:pPr>
        <w:pStyle w:val="Normal"/>
        <w:jc w:val="both"/>
        <w:rPr/>
      </w:pPr>
      <w:r>
        <w:rPr>
          <w:rFonts w:cs="Calibri" w:ascii="Calibri" w:hAnsi="Calibri"/>
        </w:rPr>
        <w:t xml:space="preserve">Le présent accord prendra effet le 01/06/2018 et est conclu pour une durée indéterminée. </w:t>
      </w:r>
    </w:p>
    <w:p>
      <w:pPr>
        <w:pStyle w:val="Normal"/>
        <w:jc w:val="both"/>
        <w:rPr/>
      </w:pPr>
      <w:r>
        <w:rPr>
          <w:rFonts w:cs="Calibri" w:ascii="Calibri" w:hAnsi="Calibri"/>
        </w:rPr>
        <w:t xml:space="preserve">Il pourra être dénoncé par l’une ou l’autre des parties par lettre remise en main propre sous réserve de respecter un préavis de 3 mois. </w:t>
      </w:r>
    </w:p>
    <w:p>
      <w:pPr>
        <w:pStyle w:val="Normal"/>
        <w:jc w:val="both"/>
        <w:rPr/>
      </w:pPr>
      <w:r>
        <w:rPr>
          <w:rFonts w:cs="Calibri" w:ascii="Calibri" w:hAnsi="Calibri"/>
        </w:rPr>
        <w:t xml:space="preserve">Toute demande de révision à l’initiative de l’une ou l’autre des parties doit être formulée par lettre remise en main propre. </w:t>
      </w:r>
    </w:p>
    <w:p>
      <w:pPr>
        <w:pStyle w:val="Normal"/>
        <w:jc w:val="both"/>
        <w:rPr>
          <w:rFonts w:ascii="Calibri" w:hAnsi="Calibri" w:cs="Calibri"/>
        </w:rPr>
      </w:pPr>
      <w:r>
        <w:rPr>
          <w:rFonts w:cs="Calibri" w:ascii="Calibri" w:hAnsi="Calibri"/>
        </w:rPr>
      </w:r>
    </w:p>
    <w:p>
      <w:pPr>
        <w:pStyle w:val="Normal"/>
        <w:jc w:val="both"/>
        <w:rPr/>
      </w:pPr>
      <w:r>
        <w:rPr>
          <w:rFonts w:cs="Calibri" w:ascii="Calibri" w:hAnsi="Calibri"/>
        </w:rPr>
        <w:t xml:space="preserve">Elle devra être inscrite à l’ordre du jour des instances représentatives du personnel présentes dans l’entreprise dans un délai maximum de 3 mois. </w:t>
      </w:r>
    </w:p>
    <w:p>
      <w:pPr>
        <w:pStyle w:val="Normal"/>
        <w:jc w:val="both"/>
        <w:rPr/>
      </w:pPr>
      <w:r>
        <w:rPr>
          <w:rFonts w:cs="Calibri" w:ascii="Calibri" w:hAnsi="Calibri"/>
        </w:rPr>
        <w:t xml:space="preserve">En cas de révision, toute modification qui ferait l’objet d’un accord entre les parties signataires, donnera lieu à la signature d’un nouvel avenant. </w:t>
      </w:r>
    </w:p>
    <w:p>
      <w:pPr>
        <w:pStyle w:val="Normal"/>
        <w:jc w:val="both"/>
        <w:rPr>
          <w:rFonts w:ascii="Calibri" w:hAnsi="Calibri" w:cs="Calibri"/>
        </w:rPr>
      </w:pPr>
      <w:r>
        <w:rPr>
          <w:rFonts w:cs="Calibri" w:ascii="Calibri" w:hAnsi="Calibri"/>
        </w:rPr>
      </w:r>
    </w:p>
    <w:p>
      <w:pPr>
        <w:pStyle w:val="Normal"/>
        <w:jc w:val="both"/>
        <w:rPr>
          <w:rFonts w:ascii="Calibri" w:hAnsi="Calibri" w:cs="Calibri"/>
        </w:rPr>
      </w:pPr>
      <w:r>
        <w:rPr>
          <w:rFonts w:cs="Calibri" w:ascii="Calibri" w:hAnsi="Calibri"/>
        </w:rPr>
      </w:r>
    </w:p>
    <w:p>
      <w:pPr>
        <w:pStyle w:val="Normal"/>
        <w:jc w:val="both"/>
        <w:rPr>
          <w:rFonts w:ascii="Calibri" w:hAnsi="Calibri" w:cs="Calibri"/>
        </w:rPr>
      </w:pPr>
      <w:r>
        <w:rPr>
          <w:rFonts w:cs="Calibri" w:ascii="Calibri" w:hAnsi="Calibri"/>
        </w:rPr>
      </w:r>
    </w:p>
    <w:p>
      <w:pPr>
        <w:pStyle w:val="Normal"/>
        <w:jc w:val="right"/>
        <w:rPr>
          <w:rFonts w:ascii="Calibri" w:hAnsi="Calibri" w:cs="Calibri"/>
        </w:rPr>
      </w:pPr>
      <w:r>
        <w:rPr>
          <w:sz w:val="16"/>
          <w:szCs w:val="16"/>
        </w:rPr>
        <w:t>Page 2</w:t>
      </w:r>
      <w:r>
        <w:rPr>
          <w:b/>
          <w:bCs/>
          <w:sz w:val="16"/>
          <w:szCs w:val="16"/>
        </w:rPr>
        <w:t xml:space="preserve"> </w:t>
      </w:r>
      <w:r>
        <w:rPr>
          <w:sz w:val="16"/>
          <w:szCs w:val="16"/>
        </w:rPr>
        <w:t xml:space="preserve">sur </w:t>
      </w:r>
      <w:r>
        <w:rPr>
          <w:b/>
          <w:bCs/>
          <w:sz w:val="16"/>
          <w:szCs w:val="16"/>
        </w:rPr>
        <w:t>3</w:t>
      </w:r>
    </w:p>
    <w:p>
      <w:pPr>
        <w:pStyle w:val="Normal"/>
        <w:jc w:val="both"/>
        <w:rPr>
          <w:rFonts w:ascii="Calibri" w:hAnsi="Calibri" w:cs="Calibri"/>
        </w:rPr>
      </w:pPr>
      <w:r>
        <w:rPr>
          <w:rFonts w:cs="Calibri" w:ascii="Calibri" w:hAnsi="Calibri"/>
        </w:rPr>
      </w:r>
    </w:p>
    <w:p>
      <w:pPr>
        <w:pStyle w:val="Heading1"/>
        <w:numPr>
          <w:ilvl w:val="0"/>
          <w:numId w:val="1"/>
        </w:numPr>
        <w:spacing w:lineRule="auto" w:line="360" w:before="0" w:after="2"/>
        <w:ind w:right="1020" w:hanging="0"/>
        <w:jc w:val="both"/>
        <w:rPr>
          <w:rFonts w:ascii="Calibri" w:hAnsi="Calibri" w:eastAsia="Calibri" w:cs="Calibri"/>
          <w:color w:val="000000"/>
          <w:sz w:val="24"/>
          <w:szCs w:val="22"/>
          <w:u w:val="single" w:color="000000"/>
          <w:lang w:eastAsia="fr-FR"/>
        </w:rPr>
      </w:pPr>
      <w:r>
        <w:rPr>
          <w:rFonts w:eastAsia="Calibri" w:cs="Calibri" w:ascii="Calibri" w:hAnsi="Calibri"/>
          <w:color w:val="000000"/>
          <w:sz w:val="24"/>
          <w:szCs w:val="22"/>
          <w:u w:val="single" w:color="000000"/>
          <w:lang w:eastAsia="fr-FR"/>
        </w:rPr>
        <w:t xml:space="preserve">ARTICLE 2 – PUBLICITE </w:t>
      </w:r>
    </w:p>
    <w:p>
      <w:pPr>
        <w:pStyle w:val="Normal"/>
        <w:jc w:val="both"/>
        <w:rPr>
          <w:rFonts w:ascii="Calibri" w:hAnsi="Calibri" w:eastAsia="Calibri" w:cs="Calibri"/>
        </w:rPr>
      </w:pPr>
      <w:r>
        <w:rPr>
          <w:rFonts w:eastAsia="Calibri" w:cs="Calibri" w:ascii="Calibri" w:hAnsi="Calibri"/>
        </w:rPr>
        <w:t xml:space="preserve"> </w:t>
      </w:r>
    </w:p>
    <w:p>
      <w:pPr>
        <w:pStyle w:val="Normal"/>
        <w:jc w:val="both"/>
        <w:rPr/>
      </w:pPr>
      <w:r>
        <w:rPr>
          <w:rFonts w:cs="Calibri" w:ascii="Calibri" w:hAnsi="Calibri"/>
        </w:rPr>
        <w:t xml:space="preserve">Le présent accord donnera lieu à dépôt dans les conditions prévues aux articles L2231-6 et D2231-2 du Code du travail, à savoir dépôt en deux exemplaires, dont une version sur support papier signée des parties et une version sur support électronique auprès de la DDTEFP et un exemplaire auprès du greffe du conseil des prud’hommes. </w:t>
      </w:r>
    </w:p>
    <w:p>
      <w:pPr>
        <w:pStyle w:val="Normal"/>
        <w:jc w:val="both"/>
        <w:rPr>
          <w:rFonts w:ascii="Calibri" w:hAnsi="Calibri" w:eastAsia="Calibri" w:cs="Calibri"/>
        </w:rPr>
      </w:pPr>
      <w:r>
        <w:rPr>
          <w:rFonts w:eastAsia="Calibri" w:cs="Calibri" w:ascii="Calibri" w:hAnsi="Calibri"/>
        </w:rPr>
        <w:t xml:space="preserve"> </w:t>
      </w:r>
    </w:p>
    <w:p>
      <w:pPr>
        <w:pStyle w:val="Normal"/>
        <w:jc w:val="both"/>
        <w:rPr>
          <w:rFonts w:ascii="Calibri" w:hAnsi="Calibri" w:cs="Calibri"/>
        </w:rPr>
      </w:pPr>
      <w:r>
        <w:rPr>
          <w:rFonts w:cs="Calibri" w:ascii="Calibri" w:hAnsi="Calibri"/>
        </w:rPr>
      </w:r>
    </w:p>
    <w:p>
      <w:pPr>
        <w:pStyle w:val="Normal"/>
        <w:jc w:val="both"/>
        <w:rPr/>
      </w:pPr>
      <w:r>
        <w:rPr>
          <w:rFonts w:cs="Calibri" w:ascii="Calibri" w:hAnsi="Calibri"/>
        </w:rPr>
        <w:t xml:space="preserve">Fait à Argenteuil </w:t>
        <w:tab/>
        <w:t xml:space="preserve">le 31/05/2018 </w:t>
      </w:r>
    </w:p>
    <w:p>
      <w:pPr>
        <w:pStyle w:val="Normal"/>
        <w:jc w:val="both"/>
        <w:rPr>
          <w:rFonts w:ascii="Calibri" w:hAnsi="Calibri" w:cs="Calibri"/>
        </w:rPr>
      </w:pPr>
      <w:r>
        <w:rPr>
          <w:rFonts w:eastAsia="Calibri" w:cs="Calibri" w:ascii="Calibri" w:hAnsi="Calibri"/>
        </w:rPr>
        <w:t xml:space="preserve"> </w:t>
      </w:r>
    </w:p>
    <w:p>
      <w:pPr>
        <w:pStyle w:val="Normal"/>
        <w:jc w:val="both"/>
        <w:rPr>
          <w:rFonts w:ascii="Calibri" w:hAnsi="Calibri" w:cs="Calibri"/>
        </w:rPr>
      </w:pPr>
      <w:r>
        <w:rPr>
          <w:rFonts w:cs="Calibri" w:ascii="Calibri" w:hAnsi="Calibri"/>
        </w:rPr>
      </w:r>
    </w:p>
    <w:p>
      <w:pPr>
        <w:pStyle w:val="Normal"/>
        <w:jc w:val="both"/>
        <w:rPr>
          <w:rFonts w:ascii="Calibri" w:hAnsi="Calibri" w:cs="Calibri"/>
        </w:rPr>
      </w:pPr>
      <w:r>
        <w:rPr>
          <w:rFonts w:cs="Calibri" w:ascii="Calibri" w:hAnsi="Calibri"/>
        </w:rPr>
      </w:r>
    </w:p>
    <w:p>
      <w:pPr>
        <w:pStyle w:val="Normal"/>
        <w:jc w:val="both"/>
        <w:rPr/>
      </w:pPr>
      <w:r>
        <w:rPr>
          <w:rFonts w:eastAsia="Calibri" w:cs="Calibri" w:ascii="Calibri" w:hAnsi="Calibri"/>
        </w:rPr>
        <w:t xml:space="preserve"> </w:t>
      </w:r>
      <w:r>
        <w:rPr>
          <w:rFonts w:cs="Calibri" w:ascii="Calibri" w:hAnsi="Calibri"/>
        </w:rPr>
        <w:tab/>
        <w:tab/>
        <w:tab/>
        <w:t xml:space="preserve">La Direction, </w:t>
        <w:tab/>
        <w:t xml:space="preserve"> </w:t>
        <w:tab/>
        <w:t xml:space="preserve"> </w:t>
        <w:tab/>
        <w:tab/>
        <w:tab/>
        <w:t xml:space="preserve">Délégués du Personnel, </w:t>
      </w:r>
    </w:p>
    <w:p>
      <w:pPr>
        <w:pStyle w:val="Normal"/>
        <w:jc w:val="both"/>
        <w:rPr>
          <w:rFonts w:ascii="Calibri" w:hAnsi="Calibri" w:cs="Calibri"/>
        </w:rPr>
      </w:pPr>
      <w:r>
        <w:rPr>
          <w:rFonts w:cs="Calibri" w:ascii="Calibri" w:hAnsi="Calibri"/>
        </w:rPr>
        <w:tab/>
        <w:tab/>
        <w:tab/>
        <w:tab/>
        <w:tab/>
        <w:tab/>
        <w:tab/>
        <w:tab/>
        <w:tab/>
        <w:tab/>
      </w:r>
    </w:p>
    <w:p>
      <w:pPr>
        <w:pStyle w:val="Normal"/>
        <w:jc w:val="center"/>
        <w:rPr>
          <w:rFonts w:ascii="Calibri" w:hAnsi="Calibri" w:cs="Calibri"/>
          <w:b/>
          <w:b/>
          <w:sz w:val="32"/>
          <w:szCs w:val="32"/>
        </w:rPr>
      </w:pPr>
      <w:r>
        <w:rPr>
          <w:rFonts w:cs="Calibri" w:ascii="Calibri" w:hAnsi="Calibri"/>
          <w:b/>
          <w:sz w:val="32"/>
          <w:szCs w:val="32"/>
        </w:rPr>
      </w:r>
    </w:p>
    <w:p>
      <w:pPr>
        <w:pStyle w:val="Normal"/>
        <w:jc w:val="both"/>
        <w:rPr/>
      </w:pPr>
      <w:r>
        <w:rPr>
          <w:b/>
          <w:sz w:val="32"/>
          <w:szCs w:val="32"/>
        </w:rPr>
        <w:tab/>
        <w:tab/>
        <w:tab/>
        <w:tab/>
        <w:tab/>
        <w:tab/>
        <w:tab/>
      </w:r>
      <w:r>
        <w:rPr/>
        <w:tab/>
      </w:r>
    </w:p>
    <w:p>
      <w:pPr>
        <w:pStyle w:val="Normal"/>
        <w:jc w:val="both"/>
        <w:rPr/>
      </w:pPr>
      <w:r>
        <w:rPr/>
      </w:r>
    </w:p>
    <w:p>
      <w:pPr>
        <w:pStyle w:val="Normal"/>
        <w:jc w:val="both"/>
        <w:rPr/>
      </w:pPr>
      <w:r>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sz w:val="16"/>
          <w:szCs w:val="16"/>
        </w:rPr>
      </w:pPr>
      <w:r>
        <w:rPr>
          <w:sz w:val="16"/>
          <w:szCs w:val="16"/>
        </w:rPr>
      </w:r>
    </w:p>
    <w:p>
      <w:pPr>
        <w:pStyle w:val="Normal"/>
        <w:jc w:val="right"/>
        <w:rPr>
          <w:rFonts w:ascii="Calibri" w:hAnsi="Calibri" w:cs="Calibri"/>
        </w:rPr>
      </w:pPr>
      <w:r>
        <w:rPr>
          <w:sz w:val="16"/>
          <w:szCs w:val="16"/>
        </w:rPr>
        <w:t>Page 3</w:t>
      </w:r>
      <w:r>
        <w:rPr>
          <w:b/>
          <w:bCs/>
          <w:sz w:val="16"/>
          <w:szCs w:val="16"/>
        </w:rPr>
        <w:t xml:space="preserve"> </w:t>
      </w:r>
      <w:r>
        <w:rPr>
          <w:sz w:val="16"/>
          <w:szCs w:val="16"/>
        </w:rPr>
        <w:t xml:space="preserve">sur </w:t>
      </w:r>
      <w:r>
        <w:rPr>
          <w:b/>
          <w:bCs/>
          <w:sz w:val="16"/>
          <w:szCs w:val="16"/>
        </w:rPr>
        <w:t>3</w:t>
      </w:r>
    </w:p>
    <w:p>
      <w:pPr>
        <w:pStyle w:val="Normal"/>
        <w:jc w:val="both"/>
        <w:rPr>
          <w:rFonts w:ascii="Arial" w:hAnsi="Arial" w:cs="Arial"/>
        </w:rPr>
      </w:pPr>
      <w:r>
        <w:rPr>
          <w:rFonts w:cs="Arial" w:ascii="Arial" w:hAnsi="Arial"/>
        </w:rPr>
      </w:r>
    </w:p>
    <w:sectPr>
      <w:headerReference w:type="default" r:id="rId2"/>
      <w:footerReference w:type="default" r:id="rId3"/>
      <w:type w:val="nextPage"/>
      <w:pgSz w:w="11906" w:h="16838"/>
      <w:pgMar w:left="1417" w:right="1417" w:header="567" w:top="1417" w:footer="57"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entury Gothic">
    <w:charset w:val="00"/>
    <w:family w:val="swiss"/>
    <w:pitch w:val="variable"/>
  </w:font>
  <w:font w:name="Courier New">
    <w:charset w:val="00"/>
    <w:family w:val="modern"/>
    <w:pitch w:val="default"/>
  </w:font>
  <w:font w:name="Wingdings">
    <w:charset w:val="02"/>
    <w:family w:val="auto"/>
    <w:pitch w:val="variable"/>
  </w:font>
  <w:font w:name="Symbol">
    <w:charset w:val="01"/>
    <w:family w:val="roman"/>
    <w:pitch w:val="variable"/>
  </w:font>
  <w:font w:name="Calibri">
    <w:charset w:val="00"/>
    <w:family w:val="swiss"/>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left="-709" w:hanging="0"/>
      <w:rPr/>
    </w:pPr>
    <w:r>
      <w:rPr/>
      <w:drawing>
        <wp:inline distT="0" distB="0" distL="0" distR="0">
          <wp:extent cx="6986905" cy="1229360"/>
          <wp:effectExtent l="0" t="0" r="0" b="0"/>
          <wp:docPr id="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 descr=""/>
                  <pic:cNvPicPr>
                    <a:picLocks noChangeAspect="1" noChangeArrowheads="1"/>
                  </pic:cNvPicPr>
                </pic:nvPicPr>
                <pic:blipFill>
                  <a:blip r:embed="rId1"/>
                  <a:stretch>
                    <a:fillRect/>
                  </a:stretch>
                </pic:blipFill>
                <pic:spPr bwMode="auto">
                  <a:xfrm>
                    <a:off x="0" y="0"/>
                    <a:ext cx="6986905" cy="1229360"/>
                  </a:xfrm>
                  <a:prstGeom prst="rect">
                    <a:avLst/>
                  </a:prstGeom>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ind w:left="-1134" w:hanging="0"/>
      <w:rPr>
        <w:lang w:val="en-GB" w:eastAsia="en-GB"/>
      </w:rPr>
    </w:pPr>
    <w:r>
      <w:rPr>
        <w:lang w:val="en-GB" w:eastAsia="en-GB"/>
      </w:rPr>
      <w:drawing>
        <wp:inline distT="0" distB="0" distL="0" distR="0">
          <wp:extent cx="2287270" cy="1028700"/>
          <wp:effectExtent l="0" t="0" r="0" b="0"/>
          <wp:docPr id="1"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2" descr=""/>
                  <pic:cNvPicPr>
                    <a:picLocks noChangeAspect="1" noChangeArrowheads="1"/>
                  </pic:cNvPicPr>
                </pic:nvPicPr>
                <pic:blipFill>
                  <a:blip r:embed="rId1"/>
                  <a:stretch>
                    <a:fillRect/>
                  </a:stretch>
                </pic:blipFill>
                <pic:spPr bwMode="auto">
                  <a:xfrm>
                    <a:off x="0" y="0"/>
                    <a:ext cx="2287270" cy="1028700"/>
                  </a:xfrm>
                  <a:prstGeom prst="rect">
                    <a:avLst/>
                  </a:prstGeom>
                </pic:spPr>
              </pic:pic>
            </a:graphicData>
          </a:graphic>
        </wp:inline>
      </w:drawing>
    </w:r>
  </w:p>
  <w:p>
    <w:pPr>
      <w:pStyle w:val="Header"/>
      <w:ind w:left="-1134" w:hanging="0"/>
      <w:rPr/>
    </w:pPr>
    <w:r>
      <w:rPr/>
    </w:r>
  </w:p>
  <w:p>
    <w:pPr>
      <w:pStyle w:val="Header"/>
      <w:ind w:left="-1134"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lvl w:ilvl="0">
      <w:start w:val="1"/>
      <w:numFmt w:val="bullet"/>
      <w:lvlText w:val="-"/>
      <w:lvlJc w:val="left"/>
      <w:pPr>
        <w:ind w:left="227" w:hanging="0"/>
      </w:pPr>
      <w:rPr>
        <w:rFonts w:ascii="Calibri" w:hAnsi="Calibri" w:cs="Calibri" w:hint="default"/>
        <w:dstrike w:val="false"/>
        <w:strike w:val="false"/>
        <w:vertAlign w:val="baseline"/>
        <w:position w:val="0"/>
        <w:sz w:val="24"/>
        <w:sz w:val="24"/>
        <w:i w:val="false"/>
        <w:u w:val="none" w:color="000000"/>
        <w:b w:val="false"/>
        <w:shd w:fill="auto" w:val="clear"/>
        <w:szCs w:val="24"/>
        <w:rFonts w:cs="Calibri"/>
        <w:color w:val="000000"/>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keepLines/>
      <w:numPr>
        <w:ilvl w:val="0"/>
        <w:numId w:val="1"/>
      </w:numPr>
      <w:spacing w:before="360" w:after="40"/>
      <w:outlineLvl w:val="0"/>
      <w:outlineLvl w:val="0"/>
    </w:pPr>
    <w:rPr>
      <w:rFonts w:ascii="Century Gothic" w:hAnsi="Century Gothic" w:cs="Century Gothic"/>
      <w:color w:val="941A1A"/>
      <w:sz w:val="40"/>
      <w:szCs w:val="40"/>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Arial" w:hAnsi="Arial" w:eastAsia="Times New Roman" w:cs="Aria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Calibri" w:hAnsi="Calibri" w:eastAsia="Calibri" w:cs="Calibri"/>
      <w:b w:val="false"/>
      <w:i w:val="false"/>
      <w:strike w:val="false"/>
      <w:dstrike w:val="false"/>
      <w:color w:val="000000"/>
      <w:position w:val="0"/>
      <w:sz w:val="24"/>
      <w:sz w:val="24"/>
      <w:szCs w:val="24"/>
      <w:u w:val="none" w:color="000000"/>
      <w:shd w:fill="auto" w:val="clear"/>
      <w:vertAlign w:val="baseline"/>
    </w:rPr>
  </w:style>
  <w:style w:type="character" w:styleId="Policepardfaut">
    <w:name w:val="Police par défaut"/>
    <w:qFormat/>
    <w:rPr/>
  </w:style>
  <w:style w:type="character" w:styleId="CGM">
    <w:name w:val="CGM"/>
    <w:qFormat/>
    <w:rPr>
      <w:rFonts w:ascii="Arial" w:hAnsi="Arial" w:cs="Arial"/>
      <w:color w:val="000080"/>
      <w:sz w:val="20"/>
      <w:szCs w:val="20"/>
    </w:rPr>
  </w:style>
  <w:style w:type="character" w:styleId="TextedebullesCar">
    <w:name w:val="Texte de bulles Car"/>
    <w:qFormat/>
    <w:rPr>
      <w:rFonts w:ascii="Segoe UI" w:hAnsi="Segoe UI" w:cs="Segoe UI"/>
      <w:sz w:val="18"/>
      <w:szCs w:val="18"/>
    </w:rPr>
  </w:style>
  <w:style w:type="character" w:styleId="Titre1Car">
    <w:name w:val="Titre 1 Car"/>
    <w:qFormat/>
    <w:rPr>
      <w:rFonts w:ascii="Century Gothic" w:hAnsi="Century Gothic" w:cs="Century Gothic"/>
      <w:color w:val="941A1A"/>
      <w:sz w:val="40"/>
      <w:szCs w:val="40"/>
    </w:rPr>
  </w:style>
  <w:style w:type="character" w:styleId="Marquedecommentaire">
    <w:name w:val="Marque de commentaire"/>
    <w:qFormat/>
    <w:rPr>
      <w:sz w:val="16"/>
      <w:szCs w:val="16"/>
    </w:rPr>
  </w:style>
  <w:style w:type="character" w:styleId="CommentaireCar">
    <w:name w:val="Commentaire Car"/>
    <w:basedOn w:val="Policepardfaut"/>
    <w:qFormat/>
    <w:rPr/>
  </w:style>
  <w:style w:type="character" w:styleId="ObjetducommentaireCar">
    <w:name w:val="Objet du commentaire Car"/>
    <w:qFormat/>
    <w:rPr>
      <w:b/>
      <w:bCs/>
    </w:rPr>
  </w:style>
  <w:style w:type="paragraph" w:styleId="Heading">
    <w:name w:val="Heading"/>
    <w:basedOn w:val="Normal"/>
    <w:next w:val="TextBody"/>
    <w:qFormat/>
    <w:pPr>
      <w:keepNext/>
      <w:spacing w:before="240" w:after="120"/>
    </w:pPr>
    <w:rPr>
      <w:rFonts w:ascii="Liberation Sans" w:hAnsi="Liberation Sans" w:eastAsia="DejaVu Sans" w:cs="DejaVu San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Paragraphedeliste">
    <w:name w:val="Paragraphe de liste"/>
    <w:basedOn w:val="Normal"/>
    <w:qFormat/>
    <w:pPr>
      <w:ind w:left="708" w:hanging="0"/>
    </w:pPr>
    <w:rPr/>
  </w:style>
  <w:style w:type="paragraph" w:styleId="Textedebulles">
    <w:name w:val="Texte de bulles"/>
    <w:basedOn w:val="Normal"/>
    <w:qFormat/>
    <w:pPr/>
    <w:rPr>
      <w:rFonts w:ascii="Segoe UI" w:hAnsi="Segoe UI" w:cs="Segoe UI"/>
      <w:sz w:val="18"/>
      <w:szCs w:val="18"/>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numbering" w:styleId="WW8Num1">
    <w:name w:val="WW8Num1"/>
  </w:style>
  <w:style w:type="numbering" w:styleId="WW8Num2">
    <w:name w:val="WW8Num2"/>
  </w:style>
  <w:style w:type="numbering" w:styleId="WW8Num3">
    <w:name w:val="WW8Num3"/>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wmf"/>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LibreOffice/5.0.6.2$Linux_X86_64 LibreOffice_project/00$Build-2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2018-11-30T14:49:00Z</dcterms:created>
  <dc:language>en-GB</dc:language>
  <cp:lastPrinted>2018-06-04T09:14:00Z</cp:lastPrinted>
  <dcterms:modified xsi:type="dcterms:W3CDTF">2018-11-30T14:49:00Z</dcterms:modified>
  <cp:revision>2</cp:revision>
</cp:coreProperties>
</file>