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Gotham" w:hAnsi="Gotham" w:cs="Gotham"/>
          <w:sz w:val="22"/>
          <w:lang w:val="en-GB" w:eastAsia="en-GB"/>
        </w:rPr>
      </w:pPr>
      <w:r>
        <w:rPr>
          <w:rFonts w:cs="Gotham" w:ascii="Gotham" w:hAnsi="Gotham"/>
          <w:sz w:val="22"/>
          <w:lang w:val="en-GB" w:eastAsia="en-GB"/>
        </w:rPr>
        <w:drawing>
          <wp:anchor behindDoc="0" distT="0" distB="0" distL="114935" distR="114935" simplePos="0" locked="0" layoutInCell="1" allowOverlap="1" relativeHeight="16">
            <wp:simplePos x="0" y="0"/>
            <wp:positionH relativeFrom="margin">
              <wp:posOffset>-800735</wp:posOffset>
            </wp:positionH>
            <wp:positionV relativeFrom="margin">
              <wp:posOffset>-810260</wp:posOffset>
            </wp:positionV>
            <wp:extent cx="1724025" cy="1724025"/>
            <wp:effectExtent l="0" t="0" r="0" b="0"/>
            <wp:wrapSquare wrapText="bothSides"/>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rcRect l="-25" t="-25" r="-25" b="-25"/>
                    <a:stretch>
                      <a:fillRect/>
                    </a:stretch>
                  </pic:blipFill>
                  <pic:spPr bwMode="auto">
                    <a:xfrm>
                      <a:off x="0" y="0"/>
                      <a:ext cx="1724025" cy="1724025"/>
                    </a:xfrm>
                    <a:prstGeom prst="rect">
                      <a:avLst/>
                    </a:prstGeom>
                  </pic:spPr>
                </pic:pic>
              </a:graphicData>
            </a:graphic>
          </wp:anchor>
        </w:drawing>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center"/>
        <w:rPr>
          <w:rFonts w:ascii="Gotham" w:hAnsi="Gotham" w:cs="Gotham"/>
          <w:b/>
          <w:b/>
          <w:sz w:val="36"/>
        </w:rPr>
      </w:pPr>
      <w:r>
        <w:rPr>
          <w:rFonts w:cs="Gotham" w:ascii="Gotham" w:hAnsi="Gotham"/>
          <w:b/>
          <w:sz w:val="36"/>
        </w:rPr>
      </w:r>
    </w:p>
    <w:p>
      <w:pPr>
        <w:pStyle w:val="Normal"/>
        <w:pBdr>
          <w:bottom w:val="single" w:sz="4" w:space="1" w:color="000000"/>
        </w:pBdr>
        <w:jc w:val="center"/>
        <w:rPr>
          <w:rFonts w:ascii="Gotham" w:hAnsi="Gotham" w:cs="Gotham"/>
          <w:b/>
          <w:b/>
          <w:sz w:val="32"/>
        </w:rPr>
      </w:pPr>
      <w:r>
        <w:rPr>
          <w:rFonts w:cs="Gotham" w:ascii="Gotham" w:hAnsi="Gotham"/>
          <w:b/>
          <w:sz w:val="36"/>
        </w:rPr>
        <w:t>Accord sur l’aménagement et l’organisation du temps de travail</w:t>
      </w:r>
    </w:p>
    <w:p>
      <w:pPr>
        <w:pStyle w:val="Normal"/>
        <w:jc w:val="both"/>
        <w:rPr>
          <w:rFonts w:ascii="Gotham" w:hAnsi="Gotham" w:cs="Gotham"/>
          <w:b/>
          <w:b/>
          <w:sz w:val="22"/>
        </w:rPr>
      </w:pPr>
      <w:r>
        <w:rPr>
          <w:rFonts w:cs="Gotham" w:ascii="Gotham" w:hAnsi="Gotham"/>
          <w:b/>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b/>
          <w:b/>
          <w:sz w:val="22"/>
        </w:rPr>
      </w:pPr>
      <w:r>
        <w:rPr>
          <w:rFonts w:cs="Gotham" w:ascii="Gotham" w:hAnsi="Gotham"/>
          <w:b/>
          <w:sz w:val="22"/>
        </w:rPr>
        <w:t>ENTRE LES SOUSSIGNES</w:t>
      </w:r>
    </w:p>
    <w:p>
      <w:pPr>
        <w:pStyle w:val="Normal"/>
        <w:jc w:val="both"/>
        <w:rPr>
          <w:rFonts w:ascii="Gotham" w:hAnsi="Gotham" w:cs="Gotham"/>
          <w:b/>
          <w:b/>
          <w:sz w:val="22"/>
        </w:rPr>
      </w:pPr>
      <w:r>
        <w:rPr>
          <w:rFonts w:cs="Gotham" w:ascii="Gotham" w:hAnsi="Gotham"/>
          <w:b/>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pPr>
      <w:r>
        <w:rPr>
          <w:rFonts w:cs="Gotham" w:ascii="Gotham" w:hAnsi="Gotham"/>
          <w:sz w:val="22"/>
        </w:rPr>
        <w:t>La Société d’Economie Mixte de Construction du Département de l’Ain (SEMCODA), dont le siège social est situé au 50 rue du Pavillon – CS 91007 - 01009 BOURG EN BRESSE CEDEX,</w:t>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t xml:space="preserve">Représentée par xxx, en qualité de Directeur Général, ayant tout pouvoir aux fins des présentes, </w:t>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right"/>
        <w:rPr>
          <w:rFonts w:ascii="Gotham" w:hAnsi="Gotham" w:cs="Gotham"/>
          <w:b/>
          <w:b/>
          <w:sz w:val="22"/>
        </w:rPr>
      </w:pPr>
      <w:r>
        <w:rPr>
          <w:rFonts w:cs="Gotham" w:ascii="Gotham" w:hAnsi="Gotham"/>
          <w:b/>
          <w:sz w:val="22"/>
        </w:rPr>
        <w:t>D’une part,</w:t>
      </w:r>
    </w:p>
    <w:p>
      <w:pPr>
        <w:pStyle w:val="Normal"/>
        <w:jc w:val="both"/>
        <w:rPr>
          <w:rFonts w:ascii="Gotham" w:hAnsi="Gotham" w:cs="Gotham"/>
          <w:b/>
          <w:b/>
          <w:sz w:val="22"/>
        </w:rPr>
      </w:pPr>
      <w:r>
        <w:rPr>
          <w:rFonts w:cs="Gotham" w:ascii="Gotham" w:hAnsi="Gotham"/>
          <w:b/>
          <w:sz w:val="22"/>
        </w:rPr>
      </w:r>
    </w:p>
    <w:p>
      <w:pPr>
        <w:pStyle w:val="Normal"/>
        <w:jc w:val="both"/>
        <w:rPr>
          <w:rFonts w:ascii="Gotham" w:hAnsi="Gotham" w:cs="Gotham"/>
          <w:b/>
          <w:b/>
          <w:sz w:val="22"/>
        </w:rPr>
      </w:pPr>
      <w:r>
        <w:rPr>
          <w:rFonts w:cs="Gotham" w:ascii="Gotham" w:hAnsi="Gotham"/>
          <w:b/>
          <w:sz w:val="22"/>
        </w:rPr>
      </w:r>
    </w:p>
    <w:p>
      <w:pPr>
        <w:pStyle w:val="Normal"/>
        <w:jc w:val="both"/>
        <w:rPr>
          <w:rFonts w:ascii="Gotham" w:hAnsi="Gotham" w:cs="Gotham"/>
          <w:b/>
          <w:b/>
          <w:sz w:val="22"/>
        </w:rPr>
      </w:pPr>
      <w:r>
        <w:rPr>
          <w:rFonts w:cs="Gotham" w:ascii="Gotham" w:hAnsi="Gotham"/>
          <w:b/>
          <w:sz w:val="22"/>
        </w:rPr>
        <w:t>ET</w:t>
      </w:r>
    </w:p>
    <w:p>
      <w:pPr>
        <w:pStyle w:val="Normal"/>
        <w:jc w:val="both"/>
        <w:rPr>
          <w:rFonts w:ascii="Gotham" w:hAnsi="Gotham" w:cs="Gotham"/>
          <w:b/>
          <w:b/>
          <w:sz w:val="22"/>
        </w:rPr>
      </w:pPr>
      <w:r>
        <w:rPr>
          <w:rFonts w:cs="Gotham" w:ascii="Gotham" w:hAnsi="Gotham"/>
          <w:b/>
          <w:sz w:val="22"/>
        </w:rPr>
      </w:r>
    </w:p>
    <w:p>
      <w:pPr>
        <w:pStyle w:val="Normal"/>
        <w:jc w:val="both"/>
        <w:rPr>
          <w:rFonts w:ascii="Gotham" w:hAnsi="Gotham" w:cs="Gotham"/>
          <w:b/>
          <w:b/>
          <w:sz w:val="22"/>
        </w:rPr>
      </w:pPr>
      <w:r>
        <w:rPr>
          <w:rFonts w:cs="Gotham" w:ascii="Gotham" w:hAnsi="Gotham"/>
          <w:b/>
          <w:sz w:val="22"/>
        </w:rPr>
      </w:r>
    </w:p>
    <w:p>
      <w:pPr>
        <w:pStyle w:val="Normal"/>
        <w:jc w:val="both"/>
        <w:rPr>
          <w:rFonts w:ascii="Gotham" w:hAnsi="Gotham" w:cs="Gotham"/>
          <w:b/>
          <w:b/>
          <w:sz w:val="22"/>
        </w:rPr>
      </w:pPr>
      <w:r>
        <w:rPr>
          <w:rFonts w:cs="Gotham" w:ascii="Gotham" w:hAnsi="Gotham"/>
          <w:b/>
          <w:sz w:val="22"/>
        </w:rPr>
      </w:r>
    </w:p>
    <w:p>
      <w:pPr>
        <w:pStyle w:val="Normal"/>
        <w:jc w:val="both"/>
        <w:rPr>
          <w:rFonts w:ascii="Gotham" w:hAnsi="Gotham" w:cs="Gotham"/>
          <w:sz w:val="22"/>
        </w:rPr>
      </w:pPr>
      <w:r>
        <w:rPr>
          <w:rFonts w:cs="Gotham" w:ascii="Gotham" w:hAnsi="Gotham"/>
          <w:sz w:val="22"/>
        </w:rPr>
        <w:t xml:space="preserve">L’organisation syndicale représentative des salariés : </w:t>
      </w:r>
    </w:p>
    <w:p>
      <w:pPr>
        <w:pStyle w:val="Normal"/>
        <w:jc w:val="both"/>
        <w:rPr>
          <w:rFonts w:ascii="Gotham" w:hAnsi="Gotham" w:cs="Gotham"/>
          <w:sz w:val="22"/>
        </w:rPr>
      </w:pPr>
      <w:r>
        <w:rPr>
          <w:rFonts w:cs="Gotham" w:ascii="Gotham" w:hAnsi="Gotham"/>
          <w:sz w:val="22"/>
        </w:rPr>
      </w:r>
    </w:p>
    <w:p>
      <w:pPr>
        <w:pStyle w:val="Normal"/>
        <w:jc w:val="both"/>
        <w:rPr/>
      </w:pPr>
      <w:r>
        <w:rPr>
          <w:rFonts w:cs="Gotham" w:ascii="Gotham" w:hAnsi="Gotham"/>
          <w:sz w:val="22"/>
        </w:rPr>
        <w:t>Le syndicat CFDT représenté par xxx, en sa qualité de déléguée syndicale,</w:t>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right"/>
        <w:rPr>
          <w:rFonts w:ascii="Gotham" w:hAnsi="Gotham" w:cs="Gotham"/>
          <w:b/>
          <w:b/>
          <w:sz w:val="22"/>
        </w:rPr>
      </w:pPr>
      <w:r>
        <w:rPr>
          <w:rFonts w:cs="Gotham" w:ascii="Gotham" w:hAnsi="Gotham"/>
          <w:b/>
          <w:sz w:val="22"/>
        </w:rPr>
        <w:t>D’autre part,</w:t>
      </w:r>
    </w:p>
    <w:p>
      <w:pPr>
        <w:pStyle w:val="Normal"/>
        <w:jc w:val="both"/>
        <w:rPr>
          <w:rFonts w:ascii="Gotham" w:hAnsi="Gotham" w:cs="Gotham"/>
          <w:b/>
          <w:b/>
          <w:sz w:val="22"/>
        </w:rPr>
      </w:pPr>
      <w:r>
        <w:rPr>
          <w:rFonts w:cs="Gotham" w:ascii="Gotham" w:hAnsi="Gotham"/>
          <w:b/>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sz w:val="22"/>
        </w:rPr>
      </w:pPr>
      <w:r>
        <w:rPr>
          <w:rFonts w:cs="Gotham" w:ascii="Gotham" w:hAnsi="Gotham"/>
          <w:sz w:val="22"/>
        </w:rPr>
      </w:r>
    </w:p>
    <w:p>
      <w:pPr>
        <w:pStyle w:val="Normal"/>
        <w:jc w:val="both"/>
        <w:rPr>
          <w:rFonts w:ascii="Gotham" w:hAnsi="Gotham" w:cs="Gotham"/>
          <w:b/>
          <w:b/>
          <w:sz w:val="22"/>
        </w:rPr>
      </w:pPr>
      <w:r>
        <w:rPr>
          <w:rFonts w:cs="Gotham" w:ascii="Gotham" w:hAnsi="Gotham"/>
          <w:b/>
          <w:sz w:val="22"/>
        </w:rPr>
        <w:t>Il a été convenu ce qui suit :</w:t>
      </w:r>
    </w:p>
    <w:p>
      <w:pPr>
        <w:pStyle w:val="Normal"/>
        <w:jc w:val="both"/>
        <w:rPr>
          <w:rFonts w:ascii="Gotham" w:hAnsi="Gotham" w:cs="Gotham"/>
          <w:b/>
          <w:b/>
          <w:sz w:val="22"/>
        </w:rPr>
      </w:pPr>
      <w:r>
        <w:rPr>
          <w:rFonts w:cs="Gotham" w:ascii="Gotham" w:hAnsi="Gotham"/>
          <w:b/>
          <w:sz w:val="22"/>
        </w:rPr>
      </w:r>
    </w:p>
    <w:p>
      <w:pPr>
        <w:pStyle w:val="Normal"/>
        <w:jc w:val="both"/>
        <w:rPr>
          <w:rFonts w:ascii="Gotham" w:hAnsi="Gotham" w:cs="Gotham"/>
        </w:rPr>
      </w:pPr>
      <w:r>
        <w:rPr>
          <w:rFonts w:cs="Gotham" w:ascii="Gotham" w:hAnsi="Gotham"/>
        </w:rPr>
      </w:r>
    </w:p>
    <w:p>
      <w:pPr>
        <w:pStyle w:val="Normal"/>
        <w:jc w:val="both"/>
        <w:rPr>
          <w:rFonts w:ascii="Gotham" w:hAnsi="Gotham" w:cs="Gotham"/>
        </w:rPr>
      </w:pPr>
      <w:r>
        <w:rPr>
          <w:rFonts w:cs="Gotham" w:ascii="Gotham" w:hAnsi="Gotham"/>
        </w:rPr>
      </w:r>
      <w:r>
        <w:br w:type="page"/>
      </w:r>
    </w:p>
    <w:p>
      <w:pPr>
        <w:pStyle w:val="Para"/>
        <w:spacing w:before="0" w:after="0"/>
        <w:ind w:left="0" w:right="100" w:hanging="0"/>
        <w:jc w:val="both"/>
        <w:rPr>
          <w:rFonts w:ascii="Gotham" w:hAnsi="Gotham" w:cs="Gotham"/>
          <w:b/>
          <w:b/>
          <w:caps/>
          <w:sz w:val="28"/>
        </w:rPr>
      </w:pPr>
      <w:r>
        <w:rPr>
          <w:rFonts w:cs="Gotham" w:ascii="Gotham" w:hAnsi="Gotham"/>
          <w:b/>
          <w:caps/>
          <w:sz w:val="28"/>
        </w:rPr>
      </w:r>
    </w:p>
    <w:p>
      <w:pPr>
        <w:pStyle w:val="Enttedetabledesmatires"/>
        <w:rPr/>
      </w:pPr>
      <w:r>
        <w:rPr/>
        <w:t>Table des matières</w:t>
      </w:r>
    </w:p>
    <w:p>
      <w:pPr>
        <w:pStyle w:val="Contents1"/>
        <w:tabs>
          <w:tab w:val="right" w:pos="9060" w:leader="dot"/>
        </w:tabs>
        <w:rPr>
          <w:rFonts w:ascii="Gotham" w:hAnsi="Gotham" w:cs="Gotham"/>
          <w:sz w:val="22"/>
          <w:szCs w:val="22"/>
          <w:lang w:val="en-GB" w:eastAsia="en-GB"/>
        </w:rPr>
      </w:pPr>
      <w:r>
        <w:fldChar w:fldCharType="begin"/>
      </w:r>
      <w:r>
        <w:instrText> TOC \o "1-3" \h \z \u </w:instrText>
      </w:r>
      <w:r>
        <w:fldChar w:fldCharType="separate"/>
      </w:r>
      <w:hyperlink w:anchor="__RefHeading___Toc85536060">
        <w:r>
          <w:rPr>
            <w:rStyle w:val="IndexLink"/>
            <w:rFonts w:cs="Gotham" w:ascii="Gotham" w:hAnsi="Gotham"/>
            <w:lang w:val="en-GB" w:eastAsia="en-GB"/>
          </w:rPr>
          <w:t>ARTICLE 1 – CHAMP D’APPLICATION</w:t>
          <w:tab/>
          <w:t>3</w:t>
        </w:r>
      </w:hyperlink>
    </w:p>
    <w:p>
      <w:pPr>
        <w:pStyle w:val="Contents1"/>
        <w:tabs>
          <w:tab w:val="right" w:pos="9060" w:leader="dot"/>
        </w:tabs>
        <w:rPr>
          <w:rFonts w:ascii="Gotham" w:hAnsi="Gotham" w:cs="Gotham"/>
          <w:sz w:val="22"/>
          <w:szCs w:val="22"/>
          <w:lang w:val="en-GB" w:eastAsia="en-GB"/>
        </w:rPr>
      </w:pPr>
      <w:hyperlink w:anchor="__RefHeading___Toc85536061">
        <w:r>
          <w:rPr>
            <w:rStyle w:val="IndexLink"/>
            <w:rFonts w:cs="Gotham" w:ascii="Gotham" w:hAnsi="Gotham"/>
            <w:lang w:val="en-GB" w:eastAsia="en-GB"/>
          </w:rPr>
          <w:t>ARTICLE 2 – PRINCIPES – DUREE DU TRAVAIL</w:t>
          <w:tab/>
          <w:t>3</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62">
        <w:r>
          <w:rPr>
            <w:rStyle w:val="IndexLink"/>
            <w:rFonts w:cs="Gotham" w:ascii="Gotham" w:hAnsi="Gotham"/>
            <w:lang w:val="en-GB" w:eastAsia="en-GB"/>
          </w:rPr>
          <w:t>1.</w:t>
        </w:r>
        <w:r>
          <w:rPr>
            <w:rStyle w:val="IndexLink"/>
            <w:rFonts w:cs="Gotham" w:ascii="Gotham" w:hAnsi="Gotham"/>
            <w:sz w:val="22"/>
            <w:szCs w:val="22"/>
            <w:lang w:val="en-GB" w:eastAsia="en-GB"/>
          </w:rPr>
          <w:tab/>
        </w:r>
        <w:r>
          <w:rPr>
            <w:rStyle w:val="IndexLink"/>
            <w:rFonts w:cs="Gotham" w:ascii="Gotham" w:hAnsi="Gotham"/>
            <w:lang w:val="en-GB" w:eastAsia="en-GB"/>
          </w:rPr>
          <w:t>Formules de temps de travail</w:t>
          <w:tab/>
          <w:t>3</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63">
        <w:r>
          <w:rPr>
            <w:rStyle w:val="IndexLink"/>
            <w:rFonts w:cs="Gotham" w:ascii="Gotham" w:hAnsi="Gotham"/>
            <w:lang w:val="en-GB" w:eastAsia="en-GB"/>
          </w:rPr>
          <w:t>2.</w:t>
        </w:r>
        <w:r>
          <w:rPr>
            <w:rStyle w:val="IndexLink"/>
            <w:rFonts w:cs="Gotham" w:ascii="Gotham" w:hAnsi="Gotham"/>
            <w:sz w:val="22"/>
            <w:szCs w:val="22"/>
            <w:lang w:val="en-GB" w:eastAsia="en-GB"/>
          </w:rPr>
          <w:tab/>
        </w:r>
        <w:r>
          <w:rPr>
            <w:rStyle w:val="IndexLink"/>
            <w:rFonts w:cs="Gotham" w:ascii="Gotham" w:hAnsi="Gotham"/>
            <w:lang w:val="en-GB" w:eastAsia="en-GB"/>
          </w:rPr>
          <w:t>Horaires flexibles</w:t>
          <w:tab/>
          <w:t>3</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64">
        <w:r>
          <w:rPr>
            <w:rStyle w:val="IndexLink"/>
            <w:rFonts w:cs="Gotham" w:ascii="Gotham" w:hAnsi="Gotham"/>
            <w:lang w:val="en-GB" w:eastAsia="en-GB"/>
          </w:rPr>
          <w:t>3.</w:t>
        </w:r>
        <w:r>
          <w:rPr>
            <w:rStyle w:val="IndexLink"/>
            <w:rFonts w:cs="Gotham" w:ascii="Gotham" w:hAnsi="Gotham"/>
            <w:sz w:val="22"/>
            <w:szCs w:val="22"/>
            <w:lang w:val="en-GB" w:eastAsia="en-GB"/>
          </w:rPr>
          <w:tab/>
        </w:r>
        <w:r>
          <w:rPr>
            <w:rStyle w:val="IndexLink"/>
            <w:rFonts w:cs="Gotham" w:ascii="Gotham" w:hAnsi="Gotham"/>
            <w:lang w:val="en-GB" w:eastAsia="en-GB"/>
          </w:rPr>
          <w:t>Réception du public</w:t>
          <w:tab/>
          <w:t>4</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65">
        <w:r>
          <w:rPr>
            <w:rStyle w:val="IndexLink"/>
            <w:rFonts w:cs="Gotham" w:ascii="Gotham" w:hAnsi="Gotham"/>
            <w:lang w:val="en-GB" w:eastAsia="en-GB"/>
          </w:rPr>
          <w:t>4.</w:t>
        </w:r>
        <w:r>
          <w:rPr>
            <w:rStyle w:val="IndexLink"/>
            <w:rFonts w:cs="Gotham" w:ascii="Gotham" w:hAnsi="Gotham"/>
            <w:sz w:val="22"/>
            <w:szCs w:val="22"/>
            <w:lang w:val="en-GB" w:eastAsia="en-GB"/>
          </w:rPr>
          <w:tab/>
        </w:r>
        <w:r>
          <w:rPr>
            <w:rStyle w:val="IndexLink"/>
            <w:rFonts w:cs="Gotham" w:ascii="Gotham" w:hAnsi="Gotham"/>
            <w:lang w:val="en-GB" w:eastAsia="en-GB"/>
          </w:rPr>
          <w:t>Report d’heures</w:t>
          <w:tab/>
          <w:t>4</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66">
        <w:r>
          <w:rPr>
            <w:rStyle w:val="IndexLink"/>
            <w:rFonts w:cs="Gotham" w:ascii="Gotham" w:hAnsi="Gotham"/>
            <w:lang w:val="en-GB" w:eastAsia="en-GB"/>
          </w:rPr>
          <w:t>5.</w:t>
        </w:r>
        <w:r>
          <w:rPr>
            <w:rStyle w:val="IndexLink"/>
            <w:rFonts w:cs="Gotham" w:ascii="Gotham" w:hAnsi="Gotham"/>
            <w:sz w:val="22"/>
            <w:szCs w:val="22"/>
            <w:lang w:val="en-GB" w:eastAsia="en-GB"/>
          </w:rPr>
          <w:tab/>
        </w:r>
        <w:r>
          <w:rPr>
            <w:rStyle w:val="IndexLink"/>
            <w:rFonts w:cs="Gotham" w:ascii="Gotham" w:hAnsi="Gotham"/>
            <w:shd w:fill="FFFFFF" w:val="clear"/>
            <w:lang w:val="en-GB" w:eastAsia="en-GB"/>
          </w:rPr>
          <w:t>Heures supplémentaires</w:t>
        </w:r>
        <w:r>
          <w:rPr>
            <w:rStyle w:val="IndexLink"/>
            <w:rFonts w:cs="Gotham" w:ascii="Gotham" w:hAnsi="Gotham"/>
            <w:lang w:val="en-GB" w:eastAsia="en-GB"/>
          </w:rPr>
          <w:tab/>
          <w:t>4</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67">
        <w:r>
          <w:rPr>
            <w:rStyle w:val="IndexLink"/>
            <w:rFonts w:cs="Gotham" w:ascii="Gotham" w:hAnsi="Gotham"/>
            <w:lang w:val="en-GB" w:eastAsia="en-GB"/>
          </w:rPr>
          <w:t>6.</w:t>
        </w:r>
        <w:r>
          <w:rPr>
            <w:rStyle w:val="IndexLink"/>
            <w:rFonts w:cs="Gotham" w:ascii="Gotham" w:hAnsi="Gotham"/>
            <w:sz w:val="22"/>
            <w:szCs w:val="22"/>
            <w:lang w:val="en-GB" w:eastAsia="en-GB"/>
          </w:rPr>
          <w:tab/>
        </w:r>
        <w:r>
          <w:rPr>
            <w:rStyle w:val="IndexLink"/>
            <w:rFonts w:cs="Gotham" w:ascii="Gotham" w:hAnsi="Gotham"/>
            <w:lang w:val="en-GB" w:eastAsia="en-GB"/>
          </w:rPr>
          <w:t>Personnel de la CCNGCEI de catégorie A</w:t>
          <w:tab/>
          <w:t>4</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68">
        <w:r>
          <w:rPr>
            <w:rStyle w:val="IndexLink"/>
            <w:rFonts w:cs="Gotham" w:ascii="Gotham" w:hAnsi="Gotham"/>
            <w:lang w:val="en-GB" w:eastAsia="en-GB"/>
          </w:rPr>
          <w:t>7.</w:t>
        </w:r>
        <w:r>
          <w:rPr>
            <w:rStyle w:val="IndexLink"/>
            <w:rFonts w:cs="Gotham" w:ascii="Gotham" w:hAnsi="Gotham"/>
            <w:sz w:val="22"/>
            <w:szCs w:val="22"/>
            <w:lang w:val="en-GB" w:eastAsia="en-GB"/>
          </w:rPr>
          <w:tab/>
        </w:r>
        <w:r>
          <w:rPr>
            <w:rStyle w:val="IndexLink"/>
            <w:rFonts w:cs="Gotham" w:ascii="Gotham" w:hAnsi="Gotham"/>
            <w:lang w:val="en-GB" w:eastAsia="en-GB"/>
          </w:rPr>
          <w:t>Maternité</w:t>
          <w:tab/>
          <w:t>4</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69">
        <w:r>
          <w:rPr>
            <w:rStyle w:val="IndexLink"/>
            <w:rFonts w:cs="Gotham" w:ascii="Gotham" w:hAnsi="Gotham"/>
            <w:lang w:val="en-GB" w:eastAsia="en-GB"/>
          </w:rPr>
          <w:t>8.</w:t>
        </w:r>
        <w:r>
          <w:rPr>
            <w:rStyle w:val="IndexLink"/>
            <w:rFonts w:cs="Gotham" w:ascii="Gotham" w:hAnsi="Gotham"/>
            <w:sz w:val="22"/>
            <w:szCs w:val="22"/>
            <w:lang w:val="en-GB" w:eastAsia="en-GB"/>
          </w:rPr>
          <w:tab/>
        </w:r>
        <w:r>
          <w:rPr>
            <w:rStyle w:val="IndexLink"/>
            <w:rFonts w:cs="Gotham" w:ascii="Gotham" w:hAnsi="Gotham"/>
            <w:lang w:val="en-GB" w:eastAsia="en-GB"/>
          </w:rPr>
          <w:t>Droit à la déconnexion</w:t>
          <w:tab/>
          <w:t>5</w:t>
        </w:r>
      </w:hyperlink>
    </w:p>
    <w:p>
      <w:pPr>
        <w:pStyle w:val="Contents1"/>
        <w:tabs>
          <w:tab w:val="right" w:pos="9060" w:leader="dot"/>
        </w:tabs>
        <w:rPr>
          <w:rFonts w:ascii="Gotham" w:hAnsi="Gotham" w:cs="Gotham"/>
          <w:sz w:val="22"/>
          <w:szCs w:val="22"/>
          <w:lang w:val="en-GB" w:eastAsia="en-GB"/>
        </w:rPr>
      </w:pPr>
      <w:hyperlink w:anchor="__RefHeading___Toc85536070">
        <w:r>
          <w:rPr>
            <w:rStyle w:val="IndexLink"/>
            <w:rFonts w:cs="Gotham" w:ascii="Gotham" w:hAnsi="Gotham"/>
            <w:lang w:val="en-GB" w:eastAsia="en-GB"/>
          </w:rPr>
          <w:t>ARTICLE 3 – FORFAIT ANNUEL EN JOURS</w:t>
          <w:tab/>
          <w:t>5</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71">
        <w:r>
          <w:rPr>
            <w:rStyle w:val="IndexLink"/>
            <w:rFonts w:cs="Gotham" w:ascii="Gotham" w:hAnsi="Gotham"/>
            <w:lang w:val="en-GB" w:eastAsia="en-GB"/>
          </w:rPr>
          <w:t>1.</w:t>
        </w:r>
        <w:r>
          <w:rPr>
            <w:rStyle w:val="IndexLink"/>
            <w:rFonts w:cs="Gotham" w:ascii="Gotham" w:hAnsi="Gotham"/>
            <w:sz w:val="22"/>
            <w:szCs w:val="22"/>
            <w:lang w:val="en-GB" w:eastAsia="en-GB"/>
          </w:rPr>
          <w:tab/>
        </w:r>
        <w:r>
          <w:rPr>
            <w:rStyle w:val="IndexLink"/>
            <w:rFonts w:cs="Gotham" w:ascii="Gotham" w:hAnsi="Gotham"/>
            <w:lang w:val="en-GB" w:eastAsia="en-GB"/>
          </w:rPr>
          <w:t>Cadres et salariés autonomes</w:t>
          <w:tab/>
          <w:t>5</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72">
        <w:r>
          <w:rPr>
            <w:rStyle w:val="IndexLink"/>
            <w:rFonts w:eastAsia="August Debouzy;Arial" w:cs="August Debouzy;Arial" w:ascii="Gotham" w:hAnsi="Gotham"/>
            <w:lang w:val="en-GB" w:eastAsia="en-GB"/>
          </w:rPr>
          <w:t>2.</w:t>
        </w:r>
        <w:r>
          <w:rPr>
            <w:rStyle w:val="IndexLink"/>
            <w:rFonts w:cs="Gotham" w:ascii="Gotham" w:hAnsi="Gotham"/>
            <w:sz w:val="22"/>
            <w:szCs w:val="22"/>
            <w:lang w:val="en-GB" w:eastAsia="en-GB"/>
          </w:rPr>
          <w:tab/>
        </w:r>
        <w:r>
          <w:rPr>
            <w:rStyle w:val="IndexLink"/>
            <w:rFonts w:eastAsia="August Debouzy;Arial" w:cs="August Debouzy;Arial" w:ascii="Gotham" w:hAnsi="Gotham"/>
            <w:lang w:val="en-GB" w:eastAsia="en-GB"/>
          </w:rPr>
          <w:t>Décompte des jours travaillés</w:t>
        </w:r>
        <w:r>
          <w:rPr>
            <w:rStyle w:val="IndexLink"/>
            <w:rFonts w:cs="Gotham" w:ascii="Gotham" w:hAnsi="Gotham"/>
            <w:lang w:val="en-GB" w:eastAsia="en-GB"/>
          </w:rPr>
          <w:tab/>
          <w:t>5</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73">
        <w:r>
          <w:rPr>
            <w:rStyle w:val="IndexLink"/>
            <w:rFonts w:cs="Gotham" w:ascii="Gotham" w:hAnsi="Gotham"/>
            <w:lang w:val="en-GB" w:eastAsia="en-GB"/>
          </w:rPr>
          <w:t>3.</w:t>
        </w:r>
        <w:r>
          <w:rPr>
            <w:rStyle w:val="IndexLink"/>
            <w:rFonts w:cs="Gotham" w:ascii="Gotham" w:hAnsi="Gotham"/>
            <w:sz w:val="22"/>
            <w:szCs w:val="22"/>
            <w:lang w:val="en-GB" w:eastAsia="en-GB"/>
          </w:rPr>
          <w:tab/>
        </w:r>
        <w:r>
          <w:rPr>
            <w:rStyle w:val="IndexLink"/>
            <w:rFonts w:cs="Gotham" w:ascii="Gotham" w:hAnsi="Gotham"/>
            <w:lang w:val="en-GB" w:eastAsia="en-GB"/>
          </w:rPr>
          <w:t>Forfait jours réduit</w:t>
          <w:tab/>
          <w:t>6</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74">
        <w:r>
          <w:rPr>
            <w:rStyle w:val="IndexLink"/>
            <w:rFonts w:cs="Gotham" w:ascii="Gotham" w:hAnsi="Gotham"/>
            <w:lang w:val="en-GB" w:eastAsia="en-GB"/>
          </w:rPr>
          <w:t>4.</w:t>
        </w:r>
        <w:r>
          <w:rPr>
            <w:rStyle w:val="IndexLink"/>
            <w:rFonts w:cs="Gotham" w:ascii="Gotham" w:hAnsi="Gotham"/>
            <w:sz w:val="22"/>
            <w:szCs w:val="22"/>
            <w:lang w:val="en-GB" w:eastAsia="en-GB"/>
          </w:rPr>
          <w:tab/>
        </w:r>
        <w:r>
          <w:rPr>
            <w:rStyle w:val="IndexLink"/>
            <w:rFonts w:cs="Gotham" w:ascii="Gotham" w:hAnsi="Gotham"/>
            <w:lang w:val="en-GB" w:eastAsia="en-GB"/>
          </w:rPr>
          <w:t>Acquisition des jours de repos</w:t>
          <w:tab/>
          <w:t>6</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75">
        <w:r>
          <w:rPr>
            <w:rStyle w:val="IndexLink"/>
            <w:rFonts w:cs="Gotham" w:ascii="Gotham" w:hAnsi="Gotham"/>
            <w:lang w:val="en-GB" w:eastAsia="en-GB"/>
          </w:rPr>
          <w:t>5.</w:t>
        </w:r>
        <w:r>
          <w:rPr>
            <w:rStyle w:val="IndexLink"/>
            <w:rFonts w:cs="Gotham" w:ascii="Gotham" w:hAnsi="Gotham"/>
            <w:sz w:val="22"/>
            <w:szCs w:val="22"/>
            <w:lang w:val="en-GB" w:eastAsia="en-GB"/>
          </w:rPr>
          <w:tab/>
        </w:r>
        <w:r>
          <w:rPr>
            <w:rStyle w:val="IndexLink"/>
            <w:rFonts w:cs="Gotham" w:ascii="Gotham" w:hAnsi="Gotham"/>
            <w:lang w:val="en-GB" w:eastAsia="en-GB"/>
          </w:rPr>
          <w:t>Modalités de prise des jours de repos</w:t>
          <w:tab/>
          <w:t>6</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76">
        <w:r>
          <w:rPr>
            <w:rStyle w:val="IndexLink"/>
            <w:rFonts w:cs="Gotham" w:ascii="Gotham" w:hAnsi="Gotham"/>
            <w:lang w:val="en-GB" w:eastAsia="en-GB"/>
          </w:rPr>
          <w:t>6.</w:t>
        </w:r>
        <w:r>
          <w:rPr>
            <w:rStyle w:val="IndexLink"/>
            <w:rFonts w:cs="Gotham" w:ascii="Gotham" w:hAnsi="Gotham"/>
            <w:sz w:val="22"/>
            <w:szCs w:val="22"/>
            <w:lang w:val="en-GB" w:eastAsia="en-GB"/>
          </w:rPr>
          <w:tab/>
        </w:r>
        <w:r>
          <w:rPr>
            <w:rStyle w:val="IndexLink"/>
            <w:rFonts w:cs="Gotham" w:ascii="Gotham" w:hAnsi="Gotham"/>
            <w:lang w:val="en-GB" w:eastAsia="en-GB"/>
          </w:rPr>
          <w:t>Décompte du temps de travail</w:t>
          <w:tab/>
          <w:t>6</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77">
        <w:r>
          <w:rPr>
            <w:rStyle w:val="IndexLink"/>
            <w:rFonts w:cs="Gotham" w:ascii="Gotham" w:hAnsi="Gotham"/>
            <w:lang w:val="en-GB" w:eastAsia="en-GB"/>
          </w:rPr>
          <w:t>7.</w:t>
        </w:r>
        <w:r>
          <w:rPr>
            <w:rStyle w:val="IndexLink"/>
            <w:rFonts w:cs="Gotham" w:ascii="Gotham" w:hAnsi="Gotham"/>
            <w:sz w:val="22"/>
            <w:szCs w:val="22"/>
            <w:lang w:val="en-GB" w:eastAsia="en-GB"/>
          </w:rPr>
          <w:tab/>
        </w:r>
        <w:r>
          <w:rPr>
            <w:rStyle w:val="IndexLink"/>
            <w:rFonts w:cs="Gotham" w:ascii="Gotham" w:hAnsi="Gotham"/>
            <w:lang w:val="en-GB" w:eastAsia="en-GB"/>
          </w:rPr>
          <w:t>Entretiens individuels</w:t>
          <w:tab/>
          <w:t>6</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78">
        <w:r>
          <w:rPr>
            <w:rStyle w:val="IndexLink"/>
            <w:rFonts w:cs="Gotham" w:ascii="Gotham" w:hAnsi="Gotham"/>
            <w:lang w:val="en-GB" w:eastAsia="en-GB"/>
          </w:rPr>
          <w:t>8.</w:t>
        </w:r>
        <w:r>
          <w:rPr>
            <w:rStyle w:val="IndexLink"/>
            <w:rFonts w:cs="Gotham" w:ascii="Gotham" w:hAnsi="Gotham"/>
            <w:sz w:val="22"/>
            <w:szCs w:val="22"/>
            <w:lang w:val="en-GB" w:eastAsia="en-GB"/>
          </w:rPr>
          <w:tab/>
        </w:r>
        <w:r>
          <w:rPr>
            <w:rStyle w:val="IndexLink"/>
            <w:rFonts w:cs="Gotham" w:ascii="Gotham" w:hAnsi="Gotham"/>
            <w:lang w:val="en-GB" w:eastAsia="en-GB"/>
          </w:rPr>
          <w:t>Dispositif d’alerte</w:t>
          <w:tab/>
          <w:t>7</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79">
        <w:r>
          <w:rPr>
            <w:rStyle w:val="IndexLink"/>
            <w:rFonts w:cs="Gotham" w:ascii="Gotham" w:hAnsi="Gotham"/>
            <w:lang w:val="en-GB" w:eastAsia="en-GB"/>
          </w:rPr>
          <w:t>9.</w:t>
        </w:r>
        <w:r>
          <w:rPr>
            <w:rStyle w:val="IndexLink"/>
            <w:rFonts w:cs="Gotham" w:ascii="Gotham" w:hAnsi="Gotham"/>
            <w:sz w:val="22"/>
            <w:szCs w:val="22"/>
            <w:lang w:val="en-GB" w:eastAsia="en-GB"/>
          </w:rPr>
          <w:tab/>
        </w:r>
        <w:r>
          <w:rPr>
            <w:rStyle w:val="IndexLink"/>
            <w:rFonts w:cs="Gotham" w:ascii="Gotham" w:hAnsi="Gotham"/>
            <w:lang w:val="en-GB" w:eastAsia="en-GB"/>
          </w:rPr>
          <w:t>Droit à la déconnexion</w:t>
          <w:tab/>
          <w:t>7</w:t>
        </w:r>
      </w:hyperlink>
    </w:p>
    <w:p>
      <w:pPr>
        <w:pStyle w:val="Contents1"/>
        <w:tabs>
          <w:tab w:val="right" w:pos="9060" w:leader="dot"/>
        </w:tabs>
        <w:rPr>
          <w:rFonts w:ascii="Gotham" w:hAnsi="Gotham" w:cs="Gotham"/>
          <w:sz w:val="22"/>
          <w:szCs w:val="22"/>
          <w:lang w:val="en-GB" w:eastAsia="en-GB"/>
        </w:rPr>
      </w:pPr>
      <w:hyperlink w:anchor="__RefHeading___Toc85536080">
        <w:r>
          <w:rPr>
            <w:rStyle w:val="IndexLink"/>
            <w:rFonts w:cs="Gotham" w:ascii="Gotham" w:hAnsi="Gotham"/>
            <w:lang w:val="en-GB" w:eastAsia="en-GB"/>
          </w:rPr>
          <w:t>ARTICLE 4 - CONGES</w:t>
          <w:tab/>
          <w:t>7</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81">
        <w:r>
          <w:rPr>
            <w:rStyle w:val="IndexLink"/>
            <w:rFonts w:cs="Gotham" w:ascii="Gotham" w:hAnsi="Gotham"/>
            <w:lang w:val="en-GB" w:eastAsia="en-GB"/>
          </w:rPr>
          <w:t>1.</w:t>
        </w:r>
        <w:r>
          <w:rPr>
            <w:rStyle w:val="IndexLink"/>
            <w:rFonts w:cs="Gotham" w:ascii="Gotham" w:hAnsi="Gotham"/>
            <w:sz w:val="22"/>
            <w:szCs w:val="22"/>
            <w:lang w:val="en-GB" w:eastAsia="en-GB"/>
          </w:rPr>
          <w:tab/>
        </w:r>
        <w:r>
          <w:rPr>
            <w:rStyle w:val="IndexLink"/>
            <w:rFonts w:cs="Gotham" w:ascii="Gotham" w:hAnsi="Gotham"/>
            <w:lang w:val="en-GB" w:eastAsia="en-GB"/>
          </w:rPr>
          <w:t>Congés annuels payés</w:t>
          <w:tab/>
          <w:t>7</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82">
        <w:r>
          <w:rPr>
            <w:rStyle w:val="IndexLink"/>
            <w:rFonts w:cs="Gotham" w:ascii="Gotham" w:hAnsi="Gotham"/>
            <w:lang w:val="en-GB" w:eastAsia="en-GB"/>
          </w:rPr>
          <w:t>2.</w:t>
        </w:r>
        <w:r>
          <w:rPr>
            <w:rStyle w:val="IndexLink"/>
            <w:rFonts w:cs="Gotham" w:ascii="Gotham" w:hAnsi="Gotham"/>
            <w:sz w:val="22"/>
            <w:szCs w:val="22"/>
            <w:lang w:val="en-GB" w:eastAsia="en-GB"/>
          </w:rPr>
          <w:tab/>
        </w:r>
        <w:r>
          <w:rPr>
            <w:rStyle w:val="IndexLink"/>
            <w:rFonts w:cs="Gotham" w:ascii="Gotham" w:hAnsi="Gotham"/>
            <w:lang w:val="en-GB" w:eastAsia="en-GB"/>
          </w:rPr>
          <w:t>Congés d’ancienneté</w:t>
          <w:tab/>
          <w:t>8</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83">
        <w:r>
          <w:rPr>
            <w:rStyle w:val="IndexLink"/>
            <w:rFonts w:cs="Gotham" w:ascii="Gotham" w:hAnsi="Gotham"/>
            <w:lang w:val="en-GB" w:eastAsia="en-GB"/>
          </w:rPr>
          <w:t>3.</w:t>
        </w:r>
        <w:r>
          <w:rPr>
            <w:rStyle w:val="IndexLink"/>
            <w:rFonts w:cs="Gotham" w:ascii="Gotham" w:hAnsi="Gotham"/>
            <w:sz w:val="22"/>
            <w:szCs w:val="22"/>
            <w:lang w:val="en-GB" w:eastAsia="en-GB"/>
          </w:rPr>
          <w:tab/>
        </w:r>
        <w:r>
          <w:rPr>
            <w:rStyle w:val="IndexLink"/>
            <w:rFonts w:cs="Gotham" w:ascii="Gotham" w:hAnsi="Gotham"/>
            <w:lang w:val="en-GB" w:eastAsia="en-GB"/>
          </w:rPr>
          <w:t>Congés pour évènements familiaux</w:t>
          <w:tab/>
          <w:t>8</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84">
        <w:r>
          <w:rPr>
            <w:rStyle w:val="IndexLink"/>
            <w:rFonts w:cs="Gotham" w:ascii="Gotham" w:hAnsi="Gotham"/>
            <w:lang w:val="en-GB" w:eastAsia="en-GB"/>
          </w:rPr>
          <w:t>4.</w:t>
        </w:r>
        <w:r>
          <w:rPr>
            <w:rStyle w:val="IndexLink"/>
            <w:rFonts w:cs="Gotham" w:ascii="Gotham" w:hAnsi="Gotham"/>
            <w:sz w:val="22"/>
            <w:szCs w:val="22"/>
            <w:lang w:val="en-GB" w:eastAsia="en-GB"/>
          </w:rPr>
          <w:tab/>
        </w:r>
        <w:r>
          <w:rPr>
            <w:rStyle w:val="IndexLink"/>
            <w:rFonts w:cs="Gotham" w:ascii="Gotham" w:hAnsi="Gotham"/>
            <w:lang w:val="en-GB" w:eastAsia="en-GB"/>
          </w:rPr>
          <w:t>Autorisation d’absence pour rentrée scolaire</w:t>
          <w:tab/>
          <w:t>9</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85">
        <w:r>
          <w:rPr>
            <w:rStyle w:val="IndexLink"/>
            <w:rFonts w:cs="Gotham" w:ascii="Gotham" w:hAnsi="Gotham"/>
            <w:lang w:val="en-GB" w:eastAsia="en-GB"/>
          </w:rPr>
          <w:t>5.</w:t>
        </w:r>
        <w:r>
          <w:rPr>
            <w:rStyle w:val="IndexLink"/>
            <w:rFonts w:cs="Gotham" w:ascii="Gotham" w:hAnsi="Gotham"/>
            <w:sz w:val="22"/>
            <w:szCs w:val="22"/>
            <w:lang w:val="en-GB" w:eastAsia="en-GB"/>
          </w:rPr>
          <w:tab/>
        </w:r>
        <w:r>
          <w:rPr>
            <w:rStyle w:val="IndexLink"/>
            <w:rFonts w:cs="Gotham" w:ascii="Gotham" w:hAnsi="Gotham"/>
            <w:lang w:val="en-GB" w:eastAsia="en-GB"/>
          </w:rPr>
          <w:t>Journée de solidarité</w:t>
          <w:tab/>
          <w:t>9</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86">
        <w:r>
          <w:rPr>
            <w:rStyle w:val="IndexLink"/>
            <w:rFonts w:cs="Gotham" w:ascii="Gotham" w:hAnsi="Gotham"/>
            <w:lang w:val="en-GB" w:eastAsia="en-GB"/>
          </w:rPr>
          <w:t>6.</w:t>
        </w:r>
        <w:r>
          <w:rPr>
            <w:rStyle w:val="IndexLink"/>
            <w:rFonts w:cs="Gotham" w:ascii="Gotham" w:hAnsi="Gotham"/>
            <w:sz w:val="22"/>
            <w:szCs w:val="22"/>
            <w:lang w:val="en-GB" w:eastAsia="en-GB"/>
          </w:rPr>
          <w:tab/>
        </w:r>
        <w:r>
          <w:rPr>
            <w:rStyle w:val="IndexLink"/>
            <w:rFonts w:cs="Gotham" w:ascii="Gotham" w:hAnsi="Gotham"/>
            <w:lang w:val="en-GB" w:eastAsia="en-GB"/>
          </w:rPr>
          <w:t>Autres congés</w:t>
          <w:tab/>
          <w:t>9</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87">
        <w:r>
          <w:rPr>
            <w:rStyle w:val="IndexLink"/>
            <w:rFonts w:cs="Gotham" w:ascii="Gotham" w:hAnsi="Gotham"/>
            <w:lang w:val="en-GB" w:eastAsia="en-GB"/>
          </w:rPr>
          <w:t>7.</w:t>
        </w:r>
        <w:r>
          <w:rPr>
            <w:rStyle w:val="IndexLink"/>
            <w:rFonts w:cs="Gotham" w:ascii="Gotham" w:hAnsi="Gotham"/>
            <w:sz w:val="22"/>
            <w:szCs w:val="22"/>
            <w:lang w:val="en-GB" w:eastAsia="en-GB"/>
          </w:rPr>
          <w:tab/>
        </w:r>
        <w:r>
          <w:rPr>
            <w:rStyle w:val="IndexLink"/>
            <w:rFonts w:cs="Gotham" w:ascii="Gotham" w:hAnsi="Gotham"/>
            <w:lang w:val="en-GB" w:eastAsia="en-GB"/>
          </w:rPr>
          <w:t>Dons de jours de congés payés et de repos</w:t>
          <w:tab/>
          <w:t>9</w:t>
        </w:r>
      </w:hyperlink>
    </w:p>
    <w:p>
      <w:pPr>
        <w:pStyle w:val="Contents1"/>
        <w:tabs>
          <w:tab w:val="right" w:pos="9060" w:leader="dot"/>
        </w:tabs>
        <w:rPr>
          <w:rFonts w:ascii="Gotham" w:hAnsi="Gotham" w:cs="Gotham"/>
          <w:sz w:val="22"/>
          <w:szCs w:val="22"/>
          <w:lang w:val="en-GB" w:eastAsia="en-GB"/>
        </w:rPr>
      </w:pPr>
      <w:hyperlink w:anchor="__RefHeading___Toc85536088">
        <w:r>
          <w:rPr>
            <w:rStyle w:val="IndexLink"/>
            <w:rFonts w:cs="Gotham" w:ascii="Gotham" w:hAnsi="Gotham"/>
            <w:lang w:val="en-GB" w:eastAsia="en-GB"/>
          </w:rPr>
          <w:t>ARTICLE 5 – AMENAGEMENT DE FIN DE CARRIERE</w:t>
          <w:tab/>
          <w:t>10</w:t>
        </w:r>
      </w:hyperlink>
    </w:p>
    <w:p>
      <w:pPr>
        <w:pStyle w:val="Contents1"/>
        <w:tabs>
          <w:tab w:val="right" w:pos="9060" w:leader="dot"/>
        </w:tabs>
        <w:rPr>
          <w:rFonts w:ascii="Gotham" w:hAnsi="Gotham" w:cs="Gotham"/>
          <w:sz w:val="22"/>
          <w:szCs w:val="22"/>
          <w:lang w:val="en-GB" w:eastAsia="en-GB"/>
        </w:rPr>
      </w:pPr>
      <w:hyperlink w:anchor="__RefHeading___Toc85536089">
        <w:r>
          <w:rPr>
            <w:rStyle w:val="IndexLink"/>
            <w:rFonts w:cs="Gotham" w:ascii="Gotham" w:hAnsi="Gotham"/>
            <w:lang w:val="en-GB" w:eastAsia="en-GB"/>
          </w:rPr>
          <w:t>ARTICLE 6 – DISPOSITIONS FINALES</w:t>
          <w:tab/>
          <w:t>11</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90">
        <w:r>
          <w:rPr>
            <w:rStyle w:val="IndexLink"/>
            <w:rFonts w:cs="Gotham" w:ascii="Gotham" w:hAnsi="Gotham"/>
            <w:lang w:val="en-GB" w:eastAsia="en-GB"/>
          </w:rPr>
          <w:t>1.</w:t>
        </w:r>
        <w:r>
          <w:rPr>
            <w:rStyle w:val="IndexLink"/>
            <w:rFonts w:cs="Gotham" w:ascii="Gotham" w:hAnsi="Gotham"/>
            <w:sz w:val="22"/>
            <w:szCs w:val="22"/>
            <w:lang w:val="en-GB" w:eastAsia="en-GB"/>
          </w:rPr>
          <w:tab/>
        </w:r>
        <w:r>
          <w:rPr>
            <w:rStyle w:val="IndexLink"/>
            <w:rFonts w:cs="Gotham" w:ascii="Gotham" w:hAnsi="Gotham"/>
            <w:lang w:val="en-GB" w:eastAsia="en-GB"/>
          </w:rPr>
          <w:t>Durée de l’accord</w:t>
          <w:tab/>
          <w:t>11</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91">
        <w:r>
          <w:rPr>
            <w:rStyle w:val="IndexLink"/>
            <w:rFonts w:cs="Gotham" w:ascii="Gotham" w:hAnsi="Gotham"/>
            <w:lang w:val="en-GB" w:eastAsia="en-GB"/>
          </w:rPr>
          <w:t>2.</w:t>
        </w:r>
        <w:r>
          <w:rPr>
            <w:rStyle w:val="IndexLink"/>
            <w:rFonts w:cs="Gotham" w:ascii="Gotham" w:hAnsi="Gotham"/>
            <w:sz w:val="22"/>
            <w:szCs w:val="22"/>
            <w:lang w:val="en-GB" w:eastAsia="en-GB"/>
          </w:rPr>
          <w:tab/>
        </w:r>
        <w:r>
          <w:rPr>
            <w:rStyle w:val="IndexLink"/>
            <w:rFonts w:cs="Gotham" w:ascii="Gotham" w:hAnsi="Gotham"/>
            <w:lang w:val="en-GB" w:eastAsia="en-GB"/>
          </w:rPr>
          <w:t>Dénonciation</w:t>
          <w:tab/>
          <w:t>11</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92">
        <w:r>
          <w:rPr>
            <w:rStyle w:val="IndexLink"/>
            <w:rFonts w:cs="Gotham" w:ascii="Gotham" w:hAnsi="Gotham"/>
            <w:lang w:val="en-GB" w:eastAsia="en-GB"/>
          </w:rPr>
          <w:t>3.</w:t>
        </w:r>
        <w:r>
          <w:rPr>
            <w:rStyle w:val="IndexLink"/>
            <w:rFonts w:cs="Gotham" w:ascii="Gotham" w:hAnsi="Gotham"/>
            <w:sz w:val="22"/>
            <w:szCs w:val="22"/>
            <w:lang w:val="en-GB" w:eastAsia="en-GB"/>
          </w:rPr>
          <w:tab/>
        </w:r>
        <w:r>
          <w:rPr>
            <w:rStyle w:val="IndexLink"/>
            <w:rFonts w:cs="Gotham" w:ascii="Gotham" w:hAnsi="Gotham"/>
            <w:lang w:val="en-GB" w:eastAsia="en-GB"/>
          </w:rPr>
          <w:t>Révision</w:t>
          <w:tab/>
          <w:t>11</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93">
        <w:r>
          <w:rPr>
            <w:rStyle w:val="IndexLink"/>
            <w:rFonts w:cs="Gotham" w:ascii="Gotham" w:hAnsi="Gotham"/>
            <w:lang w:val="en-GB" w:eastAsia="en-GB"/>
          </w:rPr>
          <w:t>4.</w:t>
        </w:r>
        <w:r>
          <w:rPr>
            <w:rStyle w:val="IndexLink"/>
            <w:rFonts w:cs="Gotham" w:ascii="Gotham" w:hAnsi="Gotham"/>
            <w:sz w:val="22"/>
            <w:szCs w:val="22"/>
            <w:lang w:val="en-GB" w:eastAsia="en-GB"/>
          </w:rPr>
          <w:tab/>
        </w:r>
        <w:r>
          <w:rPr>
            <w:rStyle w:val="IndexLink"/>
            <w:rFonts w:cs="Gotham" w:ascii="Gotham" w:hAnsi="Gotham"/>
            <w:lang w:val="en-GB" w:eastAsia="en-GB"/>
          </w:rPr>
          <w:t>Suivi</w:t>
          <w:tab/>
          <w:t>12</w:t>
        </w:r>
      </w:hyperlink>
    </w:p>
    <w:p>
      <w:pPr>
        <w:pStyle w:val="Contents1"/>
        <w:tabs>
          <w:tab w:val="left" w:pos="440" w:leader="none"/>
          <w:tab w:val="right" w:pos="9060" w:leader="dot"/>
        </w:tabs>
        <w:rPr>
          <w:rFonts w:ascii="Gotham" w:hAnsi="Gotham" w:cs="Gotham"/>
          <w:sz w:val="22"/>
          <w:szCs w:val="22"/>
          <w:lang w:val="en-GB" w:eastAsia="en-GB"/>
        </w:rPr>
      </w:pPr>
      <w:hyperlink w:anchor="__RefHeading___Toc85536094">
        <w:r>
          <w:rPr>
            <w:rStyle w:val="IndexLink"/>
            <w:rFonts w:cs="Gotham" w:ascii="Gotham" w:hAnsi="Gotham"/>
            <w:lang w:val="en-GB" w:eastAsia="en-GB"/>
          </w:rPr>
          <w:t>5.</w:t>
        </w:r>
        <w:r>
          <w:rPr>
            <w:rStyle w:val="IndexLink"/>
            <w:rFonts w:cs="Gotham" w:ascii="Gotham" w:hAnsi="Gotham"/>
            <w:sz w:val="22"/>
            <w:szCs w:val="22"/>
            <w:lang w:val="en-GB" w:eastAsia="en-GB"/>
          </w:rPr>
          <w:tab/>
        </w:r>
        <w:r>
          <w:rPr>
            <w:rStyle w:val="IndexLink"/>
            <w:rFonts w:cs="Gotham" w:ascii="Gotham" w:hAnsi="Gotham"/>
            <w:lang w:val="en-GB" w:eastAsia="en-GB"/>
          </w:rPr>
          <w:t>Dépôt légal</w:t>
          <w:tab/>
          <w:t>12</w:t>
        </w:r>
      </w:hyperlink>
      <w:r>
        <w:fldChar w:fldCharType="end"/>
      </w:r>
    </w:p>
    <w:p>
      <w:pPr>
        <w:pStyle w:val="Normal"/>
        <w:rPr>
          <w:rFonts w:ascii="Gotham" w:hAnsi="Gotham" w:cs="Gotham"/>
          <w:b/>
          <w:b/>
          <w:bCs/>
          <w:sz w:val="22"/>
          <w:szCs w:val="22"/>
          <w:lang w:val="en-GB" w:eastAsia="en-GB"/>
        </w:rPr>
      </w:pPr>
      <w:r>
        <w:rPr>
          <w:rFonts w:cs="Gotham" w:ascii="Gotham" w:hAnsi="Gotham"/>
          <w:b/>
          <w:bCs/>
          <w:sz w:val="22"/>
          <w:szCs w:val="22"/>
          <w:lang w:val="en-GB" w:eastAsia="en-GB"/>
        </w:rPr>
      </w:r>
    </w:p>
    <w:p>
      <w:pPr>
        <w:pStyle w:val="Para"/>
        <w:tabs>
          <w:tab w:val="left" w:pos="960" w:leader="none"/>
        </w:tabs>
        <w:ind w:left="0" w:right="100" w:hanging="0"/>
        <w:jc w:val="both"/>
        <w:rPr>
          <w:rFonts w:ascii="Gotham" w:hAnsi="Gotham" w:cs="Gotham"/>
        </w:rPr>
      </w:pPr>
      <w:r>
        <w:rPr>
          <w:rFonts w:cs="Gotham" w:ascii="Gotham" w:hAnsi="Gotham"/>
        </w:rPr>
      </w:r>
      <w:r>
        <w:br w:type="page"/>
      </w:r>
    </w:p>
    <w:p>
      <w:pPr>
        <w:pStyle w:val="Para"/>
        <w:spacing w:before="0" w:after="0"/>
        <w:ind w:left="0" w:right="100" w:hanging="0"/>
        <w:jc w:val="both"/>
        <w:rPr>
          <w:rFonts w:ascii="Gotham" w:hAnsi="Gotham" w:cs="Gotham"/>
          <w:b/>
          <w:b/>
          <w:caps/>
          <w:sz w:val="28"/>
          <w:u w:val="single"/>
        </w:rPr>
      </w:pPr>
      <w:r>
        <w:rPr>
          <w:rFonts w:cs="Gotham" w:ascii="Gotham" w:hAnsi="Gotham"/>
          <w:b/>
          <w:caps/>
          <w:sz w:val="28"/>
          <w:u w:val="single"/>
        </w:rPr>
        <w:t>Préambule</w:t>
      </w:r>
    </w:p>
    <w:p>
      <w:pPr>
        <w:pStyle w:val="Para"/>
        <w:spacing w:before="0" w:after="0"/>
        <w:ind w:left="0" w:right="100" w:hanging="0"/>
        <w:jc w:val="both"/>
        <w:rPr>
          <w:rFonts w:ascii="Gotham" w:hAnsi="Gotham" w:cs="Gotham"/>
          <w:b/>
          <w:b/>
          <w:caps/>
          <w:sz w:val="28"/>
          <w:u w:val="single"/>
        </w:rPr>
      </w:pPr>
      <w:r>
        <w:rPr>
          <w:rFonts w:cs="Gotham" w:ascii="Gotham" w:hAnsi="Gotham"/>
          <w:b/>
          <w:caps/>
          <w:sz w:val="28"/>
          <w:u w:val="single"/>
        </w:rPr>
      </w:r>
    </w:p>
    <w:p>
      <w:pPr>
        <w:pStyle w:val="Normal"/>
        <w:jc w:val="both"/>
        <w:rPr>
          <w:rFonts w:ascii="Gotham" w:hAnsi="Gotham" w:cs="Gotham"/>
          <w:sz w:val="22"/>
        </w:rPr>
      </w:pPr>
      <w:r>
        <w:rPr>
          <w:rFonts w:cs="Gotham" w:ascii="Gotham" w:hAnsi="Gotham"/>
          <w:sz w:val="22"/>
        </w:rPr>
        <w:t>L’aménagement et l’organisation du temps de travail ont connu ces dernières années des modifications législatives et réglementaires importantes.</w:t>
      </w:r>
    </w:p>
    <w:p>
      <w:pPr>
        <w:pStyle w:val="Normal"/>
        <w:jc w:val="both"/>
        <w:rPr>
          <w:rFonts w:ascii="Gotham" w:hAnsi="Gotham" w:cs="Gotham"/>
          <w:sz w:val="22"/>
        </w:rPr>
      </w:pPr>
      <w:r>
        <w:rPr>
          <w:rFonts w:cs="Gotham" w:ascii="Gotham" w:hAnsi="Gotham"/>
          <w:sz w:val="22"/>
        </w:rPr>
        <w:t xml:space="preserve">Par ailleurs, les dispositions en vigueur au sein de la SEMCODA n’apparaissaient plus adaptées à la situation. </w:t>
      </w:r>
    </w:p>
    <w:p>
      <w:pPr>
        <w:pStyle w:val="Normal"/>
        <w:jc w:val="both"/>
        <w:rPr/>
      </w:pPr>
      <w:r>
        <w:rPr>
          <w:rFonts w:cs="Gotham" w:ascii="Gotham" w:hAnsi="Gotham"/>
          <w:sz w:val="22"/>
        </w:rPr>
        <w:t>Dans ce cadre, des négociations ont été engagées entre la Direction et le CSE afin d’adapter les règles d’organisation et d’aménagement du temps de travail afin qu’elles correspondent aux besoins de fonctionnement de la SEMCODA.</w:t>
      </w:r>
    </w:p>
    <w:p>
      <w:pPr>
        <w:pStyle w:val="Normal"/>
        <w:jc w:val="both"/>
        <w:rPr>
          <w:rFonts w:ascii="Gotham" w:hAnsi="Gotham" w:cs="Gotham"/>
          <w:sz w:val="22"/>
        </w:rPr>
      </w:pPr>
      <w:r>
        <w:rPr>
          <w:rFonts w:cs="Gotham" w:ascii="Gotham" w:hAnsi="Gotham"/>
          <w:sz w:val="22"/>
        </w:rPr>
        <w:t xml:space="preserve">Le présent accord se substitue à tout accord collectif ayant le même objet, et à tout usage, toute décision unilatérale de l’employeur, toute pratique ayant le même objet. </w:t>
      </w:r>
    </w:p>
    <w:p>
      <w:pPr>
        <w:pStyle w:val="Heading"/>
        <w:rPr/>
      </w:pPr>
      <w:bookmarkStart w:id="0" w:name="__RefHeading___Toc85536060"/>
      <w:r>
        <w:rPr/>
        <w:t>ARTICLE 1 – CHAMP D’APPLICATION</w:t>
      </w:r>
      <w:bookmarkEnd w:id="0"/>
      <w:r>
        <w:rPr/>
        <w:t xml:space="preserve"> </w:t>
      </w:r>
    </w:p>
    <w:p>
      <w:pPr>
        <w:pStyle w:val="Normal"/>
        <w:tabs>
          <w:tab w:val="left" w:pos="567" w:leader="none"/>
          <w:tab w:val="left" w:pos="1985" w:leader="none"/>
        </w:tabs>
        <w:jc w:val="both"/>
        <w:rPr>
          <w:rFonts w:ascii="Gotham" w:hAnsi="Gotham" w:cs="Gotham"/>
          <w:sz w:val="22"/>
        </w:rPr>
      </w:pPr>
      <w:r>
        <w:rPr>
          <w:rFonts w:cs="Gotham" w:ascii="Gotham" w:hAnsi="Gotham"/>
          <w:sz w:val="22"/>
        </w:rPr>
      </w:r>
    </w:p>
    <w:p>
      <w:pPr>
        <w:pStyle w:val="Normal"/>
        <w:tabs>
          <w:tab w:val="left" w:pos="567" w:leader="none"/>
          <w:tab w:val="left" w:pos="1985" w:leader="none"/>
        </w:tabs>
        <w:jc w:val="both"/>
        <w:rPr>
          <w:rFonts w:ascii="Gotham" w:hAnsi="Gotham" w:cs="Gotham"/>
          <w:sz w:val="22"/>
        </w:rPr>
      </w:pPr>
      <w:r>
        <w:rPr>
          <w:rFonts w:cs="Gotham" w:ascii="Gotham" w:hAnsi="Gotham"/>
          <w:sz w:val="22"/>
        </w:rPr>
        <w:t xml:space="preserve">Le présent accord s'applique à l’ensemble des salariés de la société, quel que soit leur convention, contrat de travail ou temps de travail. </w:t>
      </w:r>
    </w:p>
    <w:p>
      <w:pPr>
        <w:pStyle w:val="Normal"/>
        <w:tabs>
          <w:tab w:val="left" w:pos="567" w:leader="none"/>
          <w:tab w:val="left" w:pos="1985" w:leader="none"/>
        </w:tabs>
        <w:jc w:val="both"/>
        <w:rPr>
          <w:rFonts w:ascii="Gotham" w:hAnsi="Gotham" w:cs="Gotham"/>
          <w:i/>
          <w:i/>
          <w:sz w:val="22"/>
        </w:rPr>
      </w:pPr>
      <w:r>
        <w:rPr>
          <w:rFonts w:cs="Gotham" w:ascii="Gotham" w:hAnsi="Gotham"/>
          <w:i/>
          <w:sz w:val="22"/>
        </w:rPr>
      </w:r>
    </w:p>
    <w:p>
      <w:pPr>
        <w:pStyle w:val="Normal"/>
        <w:rPr>
          <w:rFonts w:ascii="Gotham" w:hAnsi="Gotham" w:cs="Gotham"/>
          <w:sz w:val="22"/>
        </w:rPr>
      </w:pPr>
      <w:r>
        <w:rPr>
          <w:rFonts w:cs="Gotham" w:ascii="Gotham" w:hAnsi="Gotham"/>
          <w:sz w:val="22"/>
        </w:rPr>
        <w:t>Les mandataires sociaux sont exclus de l’application du présent accord.</w:t>
      </w:r>
    </w:p>
    <w:p>
      <w:pPr>
        <w:pStyle w:val="Heading"/>
        <w:rPr/>
      </w:pPr>
      <w:bookmarkStart w:id="1" w:name="__RefHeading___Toc85536061"/>
      <w:bookmarkEnd w:id="1"/>
      <w:r>
        <w:rPr/>
        <w:t>ARTICLE 2 – PRINCIPES – DUREE DU TRAVAIL</w:t>
      </w:r>
    </w:p>
    <w:p>
      <w:pPr>
        <w:pStyle w:val="Para"/>
        <w:spacing w:before="0" w:after="0"/>
        <w:ind w:left="0" w:right="100" w:hanging="0"/>
        <w:jc w:val="both"/>
        <w:rPr>
          <w:rFonts w:ascii="Gotham" w:hAnsi="Gotham" w:cs="Gotham"/>
          <w:sz w:val="22"/>
        </w:rPr>
      </w:pPr>
      <w:r>
        <w:rPr>
          <w:rFonts w:cs="Gotham" w:ascii="Gotham" w:hAnsi="Gotham"/>
          <w:sz w:val="22"/>
        </w:rPr>
      </w:r>
    </w:p>
    <w:p>
      <w:pPr>
        <w:pStyle w:val="Normal"/>
        <w:jc w:val="both"/>
        <w:rPr>
          <w:rFonts w:ascii="Gotham" w:hAnsi="Gotham" w:cs="Arial"/>
          <w:sz w:val="22"/>
        </w:rPr>
      </w:pPr>
      <w:r>
        <w:rPr>
          <w:rFonts w:cs="Arial" w:ascii="Gotham" w:hAnsi="Gotham"/>
          <w:sz w:val="22"/>
        </w:rPr>
        <w:t>La durée collective du temps de travail effectif est fixée à 35 heures dans le cadre de la semaine.</w:t>
      </w:r>
    </w:p>
    <w:p>
      <w:pPr>
        <w:pStyle w:val="Normal"/>
        <w:jc w:val="both"/>
        <w:rPr>
          <w:rFonts w:ascii="Gotham" w:hAnsi="Gotham" w:cs="Arial"/>
          <w:sz w:val="22"/>
        </w:rPr>
      </w:pPr>
      <w:r>
        <w:rPr>
          <w:rFonts w:cs="Arial" w:ascii="Gotham" w:hAnsi="Gotham"/>
          <w:sz w:val="22"/>
        </w:rPr>
        <w:t>Par ailleurs, pour certaines catégories de salariés, la durée du travail pourra être établie dans le cadre d’un forfait annuel en jours sur la base de 210 jours travaillés par an.</w:t>
      </w:r>
    </w:p>
    <w:p>
      <w:pPr>
        <w:pStyle w:val="Normal"/>
        <w:jc w:val="both"/>
        <w:rPr>
          <w:rFonts w:ascii="Gotham" w:hAnsi="Gotham" w:cs="Arial"/>
          <w:sz w:val="22"/>
        </w:rPr>
      </w:pPr>
      <w:r>
        <w:rPr>
          <w:rFonts w:cs="Arial" w:ascii="Gotham" w:hAnsi="Gotham"/>
          <w:sz w:val="22"/>
        </w:rPr>
      </w:r>
    </w:p>
    <w:p>
      <w:pPr>
        <w:pStyle w:val="Heading1"/>
        <w:numPr>
          <w:ilvl w:val="0"/>
          <w:numId w:val="1"/>
        </w:numPr>
        <w:rPr/>
      </w:pPr>
      <w:bookmarkStart w:id="2" w:name="__RefHeading___Toc85536062"/>
      <w:bookmarkEnd w:id="2"/>
      <w:r>
        <w:rPr/>
        <w:t>Formules de temps de travail</w:t>
      </w:r>
    </w:p>
    <w:p>
      <w:pPr>
        <w:pStyle w:val="Heading1"/>
        <w:numPr>
          <w:ilvl w:val="0"/>
          <w:numId w:val="0"/>
        </w:numPr>
        <w:ind w:left="720" w:hanging="360"/>
        <w:rPr/>
      </w:pPr>
      <w:r>
        <w:rPr/>
      </w:r>
    </w:p>
    <w:p>
      <w:pPr>
        <w:pStyle w:val="Normal"/>
        <w:jc w:val="both"/>
        <w:rPr>
          <w:rFonts w:ascii="Gotham" w:hAnsi="Gotham" w:cs="Gotham"/>
          <w:sz w:val="22"/>
        </w:rPr>
      </w:pPr>
      <w:r>
        <w:rPr>
          <w:rFonts w:cs="Gotham" w:ascii="Gotham" w:hAnsi="Gotham"/>
          <w:sz w:val="22"/>
        </w:rPr>
        <w:t>Les salariés de la CCNI et responsables de site, maîtres/maîtresses/employés de maison de la CCNGCEI pourront opter pour l’une des formules de temps de travail ci-après :</w:t>
      </w:r>
    </w:p>
    <w:p>
      <w:pPr>
        <w:pStyle w:val="Heading1"/>
        <w:numPr>
          <w:ilvl w:val="0"/>
          <w:numId w:val="0"/>
        </w:numPr>
        <w:ind w:left="0" w:hanging="0"/>
        <w:jc w:val="both"/>
        <w:rPr>
          <w:rFonts w:ascii="Gotham" w:hAnsi="Gotham" w:cs="Gotham"/>
          <w:b w:val="false"/>
          <w:b w:val="false"/>
          <w:sz w:val="20"/>
          <w:u w:val="none"/>
        </w:rPr>
      </w:pPr>
      <w:r>
        <w:rPr>
          <w:rFonts w:cs="Gotham"/>
          <w:b w:val="false"/>
          <w:sz w:val="20"/>
          <w:u w:val="none"/>
        </w:rPr>
      </w:r>
    </w:p>
    <w:p>
      <w:pPr>
        <w:pStyle w:val="Normal"/>
        <w:numPr>
          <w:ilvl w:val="0"/>
          <w:numId w:val="5"/>
        </w:numPr>
        <w:rPr>
          <w:rFonts w:ascii="Gotham" w:hAnsi="Gotham" w:cs="Gotham"/>
          <w:sz w:val="22"/>
        </w:rPr>
      </w:pPr>
      <w:r>
        <w:rPr>
          <w:rFonts w:cs="Gotham" w:ascii="Gotham" w:hAnsi="Gotham"/>
          <w:sz w:val="22"/>
        </w:rPr>
        <w:t>35h répartis sur 5 jours, allant du lundi au vendredi</w:t>
      </w:r>
    </w:p>
    <w:p>
      <w:pPr>
        <w:pStyle w:val="Normal"/>
        <w:numPr>
          <w:ilvl w:val="0"/>
          <w:numId w:val="5"/>
        </w:numPr>
        <w:rPr>
          <w:rFonts w:ascii="Gotham" w:hAnsi="Gotham" w:cs="Gotham"/>
          <w:sz w:val="22"/>
        </w:rPr>
      </w:pPr>
      <w:r>
        <w:rPr>
          <w:rFonts w:cs="Gotham" w:ascii="Gotham" w:hAnsi="Gotham"/>
          <w:sz w:val="22"/>
        </w:rPr>
        <w:t>35h répartis sur 4 jours et demi, allant du lundi au vendredi.</w:t>
      </w:r>
    </w:p>
    <w:p>
      <w:pPr>
        <w:pStyle w:val="Normal"/>
        <w:rPr>
          <w:rFonts w:ascii="Gotham" w:hAnsi="Gotham" w:cs="Gotham"/>
          <w:sz w:val="22"/>
        </w:rPr>
      </w:pPr>
      <w:r>
        <w:rPr>
          <w:rFonts w:cs="Gotham" w:ascii="Gotham" w:hAnsi="Gotham"/>
          <w:sz w:val="22"/>
        </w:rPr>
      </w:r>
    </w:p>
    <w:p>
      <w:pPr>
        <w:pStyle w:val="Normal"/>
        <w:rPr>
          <w:rFonts w:ascii="Gotham" w:hAnsi="Gotham" w:cs="Gotham"/>
          <w:sz w:val="22"/>
        </w:rPr>
      </w:pPr>
      <w:r>
        <w:rPr>
          <w:rFonts w:cs="Gotham" w:ascii="Gotham" w:hAnsi="Gotham"/>
          <w:sz w:val="22"/>
        </w:rPr>
        <w:t>Le choix de la demi-journée de repos sera déterminé avec accord du manager.</w:t>
      </w:r>
    </w:p>
    <w:p>
      <w:pPr>
        <w:pStyle w:val="Normal"/>
        <w:jc w:val="both"/>
        <w:rPr>
          <w:rFonts w:ascii="Gotham" w:hAnsi="Gotham" w:cs="Gotham"/>
          <w:sz w:val="22"/>
        </w:rPr>
      </w:pPr>
      <w:r>
        <w:rPr>
          <w:rFonts w:cs="Gotham" w:ascii="Gotham" w:hAnsi="Gotham"/>
          <w:sz w:val="22"/>
        </w:rPr>
        <w:t>Le choix de la formule pourra être révisé une fois par an en septembre, après accord du manager, sur demande écrite auprès de la DRH.</w:t>
      </w:r>
    </w:p>
    <w:p>
      <w:pPr>
        <w:pStyle w:val="Normal"/>
        <w:jc w:val="both"/>
        <w:rPr>
          <w:rFonts w:ascii="Gotham" w:hAnsi="Gotham" w:cs="Arial"/>
          <w:sz w:val="22"/>
        </w:rPr>
      </w:pPr>
      <w:r>
        <w:rPr>
          <w:rFonts w:cs="Arial" w:ascii="Gotham" w:hAnsi="Gotham"/>
          <w:sz w:val="22"/>
        </w:rPr>
      </w:r>
    </w:p>
    <w:p>
      <w:pPr>
        <w:pStyle w:val="Heading1"/>
        <w:numPr>
          <w:ilvl w:val="0"/>
          <w:numId w:val="1"/>
        </w:numPr>
        <w:rPr/>
      </w:pPr>
      <w:bookmarkStart w:id="3" w:name="__RefHeading___Toc85536063"/>
      <w:bookmarkEnd w:id="3"/>
      <w:r>
        <w:rPr/>
        <w:t>Horaires flexibles</w:t>
      </w:r>
    </w:p>
    <w:p>
      <w:pPr>
        <w:pStyle w:val="Normal"/>
        <w:ind w:left="720" w:hanging="0"/>
        <w:jc w:val="both"/>
        <w:rPr>
          <w:rFonts w:ascii="Gotham" w:hAnsi="Gotham" w:cs="Arial"/>
          <w:sz w:val="22"/>
        </w:rPr>
      </w:pPr>
      <w:r>
        <w:rPr>
          <w:rFonts w:cs="Arial" w:ascii="Gotham" w:hAnsi="Gotham"/>
          <w:sz w:val="22"/>
        </w:rPr>
      </w:r>
    </w:p>
    <w:p>
      <w:pPr>
        <w:pStyle w:val="NormalWeb"/>
        <w:shd w:fill="FFFFFF" w:val="clear"/>
        <w:spacing w:before="0" w:after="240"/>
        <w:jc w:val="both"/>
        <w:rPr>
          <w:rFonts w:ascii="Gotham" w:hAnsi="Gotham" w:cs="Arial"/>
          <w:sz w:val="22"/>
          <w:szCs w:val="22"/>
        </w:rPr>
      </w:pPr>
      <w:r>
        <w:rPr>
          <w:rFonts w:cs="Arial" w:ascii="Gotham" w:hAnsi="Gotham"/>
          <w:sz w:val="22"/>
          <w:szCs w:val="22"/>
        </w:rPr>
        <w:t>Les salariés de la CCNI</w:t>
      </w:r>
      <w:r>
        <w:rPr>
          <w:rFonts w:cs="Gotham" w:ascii="Gotham" w:hAnsi="Gotham"/>
          <w:sz w:val="22"/>
        </w:rPr>
        <w:t xml:space="preserve"> et responsables de site, maîtres/maîtresses/employés de maison de la CCNGCEI</w:t>
      </w:r>
      <w:r>
        <w:rPr>
          <w:rFonts w:cs="Arial" w:ascii="Gotham" w:hAnsi="Gotham"/>
          <w:sz w:val="22"/>
          <w:szCs w:val="22"/>
        </w:rPr>
        <w:t xml:space="preserve"> bénéficient d'horaires de travail flexibles. Ils choisissent ainsi leurs heures d'arrivée et de départ.</w:t>
      </w:r>
    </w:p>
    <w:p>
      <w:pPr>
        <w:pStyle w:val="NormalWeb"/>
        <w:shd w:fill="FFFFFF" w:val="clear"/>
        <w:spacing w:before="0" w:after="240"/>
        <w:jc w:val="both"/>
        <w:rPr>
          <w:rFonts w:ascii="Gotham" w:hAnsi="Gotham" w:cs="Arial"/>
          <w:sz w:val="22"/>
          <w:szCs w:val="22"/>
        </w:rPr>
      </w:pPr>
      <w:r>
        <w:rPr>
          <w:rFonts w:cs="Arial" w:ascii="Gotham" w:hAnsi="Gotham"/>
          <w:sz w:val="22"/>
          <w:szCs w:val="22"/>
        </w:rPr>
        <w:t>Ils doivent cependant respecter les plages de présence fixes prévues par l'employeur tels que ci-après :</w:t>
      </w:r>
    </w:p>
    <w:p>
      <w:pPr>
        <w:pStyle w:val="NormalWeb"/>
        <w:numPr>
          <w:ilvl w:val="0"/>
          <w:numId w:val="4"/>
        </w:numPr>
        <w:shd w:fill="FFFFFF" w:val="clear"/>
        <w:spacing w:before="0" w:after="240"/>
        <w:jc w:val="both"/>
        <w:rPr/>
      </w:pPr>
      <w:r>
        <w:rPr>
          <w:rFonts w:cs="Arial" w:ascii="Gotham" w:hAnsi="Gotham"/>
          <w:sz w:val="22"/>
          <w:szCs w:val="22"/>
        </w:rPr>
        <w:t>9H15/11H45 – 14H/16h30</w:t>
      </w:r>
    </w:p>
    <w:p>
      <w:pPr>
        <w:pStyle w:val="NormalWeb"/>
        <w:shd w:fill="FFFFFF" w:val="clear"/>
        <w:spacing w:before="0" w:after="240"/>
        <w:jc w:val="both"/>
        <w:rPr/>
      </w:pPr>
      <w:r>
        <w:rPr>
          <w:rFonts w:cs="Arial" w:ascii="Gotham" w:hAnsi="Gotham"/>
          <w:sz w:val="22"/>
          <w:szCs w:val="22"/>
        </w:rPr>
        <w:t xml:space="preserve">Les salariés pourront effectuer leurs horaires de travail sur la plage 7H-19H. Les salariés à temps plein veilleront à accomplir 35H de travail effectif par semaine. </w:t>
      </w:r>
    </w:p>
    <w:p>
      <w:pPr>
        <w:pStyle w:val="NormalWeb"/>
        <w:shd w:fill="FFFFFF" w:val="clear"/>
        <w:spacing w:before="0" w:after="240"/>
        <w:jc w:val="both"/>
        <w:rPr/>
      </w:pPr>
      <w:r>
        <w:rPr>
          <w:rFonts w:cs="Arial" w:ascii="Gotham" w:hAnsi="Gotham"/>
          <w:sz w:val="22"/>
          <w:szCs w:val="22"/>
        </w:rPr>
        <w:t>Les salariés doivent également respecter les dispositions prévues concernant la durée légale du travail et les temps de pause quotidien et hebdomadaire.</w:t>
      </w:r>
    </w:p>
    <w:p>
      <w:pPr>
        <w:pStyle w:val="NormalWeb"/>
        <w:shd w:fill="FFFFFF" w:val="clear"/>
        <w:spacing w:before="0" w:after="240"/>
        <w:jc w:val="both"/>
        <w:rPr>
          <w:rFonts w:ascii="Gotham" w:hAnsi="Gotham" w:cs="Arial"/>
          <w:szCs w:val="22"/>
        </w:rPr>
      </w:pPr>
      <w:r>
        <w:rPr>
          <w:rFonts w:cs="Gotham" w:ascii="Gotham" w:hAnsi="Gotham"/>
          <w:sz w:val="22"/>
          <w:szCs w:val="21"/>
          <w:shd w:fill="FFFFFF" w:val="clear"/>
        </w:rPr>
        <w:t xml:space="preserve">Ainsi, ils ne pourront pas excéder 10 heures de travail par jour, ni 44 heures de travail hebdomadaire en moyenne appréciée sur une période quelconque de 12 semaines consécutives, ni 48 heures sur une même semaine. </w:t>
      </w:r>
    </w:p>
    <w:p>
      <w:pPr>
        <w:pStyle w:val="NormalWeb"/>
        <w:shd w:fill="FFFFFF" w:val="clear"/>
        <w:spacing w:before="0" w:after="240"/>
        <w:jc w:val="both"/>
        <w:rPr>
          <w:rFonts w:ascii="Gotham" w:hAnsi="Gotham" w:cs="Arial"/>
          <w:sz w:val="22"/>
          <w:szCs w:val="22"/>
        </w:rPr>
      </w:pPr>
      <w:r>
        <w:rPr>
          <w:rFonts w:cs="Arial" w:ascii="Gotham" w:hAnsi="Gotham"/>
          <w:sz w:val="22"/>
          <w:szCs w:val="22"/>
        </w:rPr>
        <w:t>De plus, une pause de 45 minutes minimum est obligatoire sur le temps méridien.</w:t>
      </w:r>
    </w:p>
    <w:p>
      <w:pPr>
        <w:pStyle w:val="NormalWeb"/>
        <w:shd w:fill="FFFFFF" w:val="clear"/>
        <w:spacing w:before="0" w:after="240"/>
        <w:jc w:val="both"/>
        <w:rPr>
          <w:rFonts w:ascii="Gotham" w:hAnsi="Gotham" w:cs="Arial"/>
          <w:sz w:val="22"/>
        </w:rPr>
      </w:pPr>
      <w:r>
        <w:rPr>
          <w:rFonts w:cs="Arial" w:ascii="Gotham" w:hAnsi="Gotham"/>
          <w:sz w:val="22"/>
        </w:rPr>
        <w:t>Un décompte exact du temps de travail accompli chaque jour par chaque salarié est effectué au moyen d'un système fiable de pointage numérique. La mise en œuvre de ce système interviendra dans les 3 mois suivants la date d’entrée en vigueur de l’accord.</w:t>
      </w:r>
    </w:p>
    <w:p>
      <w:pPr>
        <w:pStyle w:val="Heading1"/>
        <w:numPr>
          <w:ilvl w:val="0"/>
          <w:numId w:val="1"/>
        </w:numPr>
        <w:rPr/>
      </w:pPr>
      <w:bookmarkStart w:id="4" w:name="__RefHeading___Toc85536064"/>
      <w:bookmarkEnd w:id="4"/>
      <w:r>
        <w:rPr/>
        <w:t>Réception du public</w:t>
      </w:r>
    </w:p>
    <w:p>
      <w:pPr>
        <w:pStyle w:val="Heading1"/>
        <w:numPr>
          <w:ilvl w:val="0"/>
          <w:numId w:val="0"/>
        </w:numPr>
        <w:ind w:left="0" w:hanging="0"/>
        <w:rPr/>
      </w:pPr>
      <w:r>
        <w:rPr/>
      </w:r>
    </w:p>
    <w:p>
      <w:pPr>
        <w:pStyle w:val="Normal"/>
        <w:jc w:val="both"/>
        <w:rPr>
          <w:rFonts w:ascii="Gotham" w:hAnsi="Gotham" w:cs="Gotham"/>
          <w:sz w:val="22"/>
        </w:rPr>
      </w:pPr>
      <w:r>
        <w:rPr>
          <w:rFonts w:cs="Gotham" w:ascii="Gotham" w:hAnsi="Gotham"/>
          <w:sz w:val="22"/>
        </w:rPr>
        <w:t>Pour tous les postes liés à l’accueil du public, la couverture des horaires d’ouverture devra être assurée. Le cas échéant, le manager arbitrera.</w:t>
      </w:r>
    </w:p>
    <w:p>
      <w:pPr>
        <w:pStyle w:val="Normal"/>
        <w:rPr>
          <w:rFonts w:ascii="Gotham" w:hAnsi="Gotham" w:cs="Gotham"/>
          <w:sz w:val="22"/>
        </w:rPr>
      </w:pPr>
      <w:r>
        <w:rPr>
          <w:rFonts w:cs="Gotham" w:ascii="Gotham" w:hAnsi="Gotham"/>
          <w:sz w:val="22"/>
        </w:rPr>
      </w:r>
    </w:p>
    <w:p>
      <w:pPr>
        <w:pStyle w:val="Heading1"/>
        <w:numPr>
          <w:ilvl w:val="0"/>
          <w:numId w:val="1"/>
        </w:numPr>
        <w:rPr/>
      </w:pPr>
      <w:bookmarkStart w:id="5" w:name="__RefHeading___Toc85536065"/>
      <w:r>
        <w:rPr/>
        <w:t>Report d’heures</w:t>
      </w:r>
      <w:bookmarkEnd w:id="5"/>
      <w:r>
        <w:rPr/>
        <w:t xml:space="preserve"> </w:t>
      </w:r>
    </w:p>
    <w:p>
      <w:pPr>
        <w:pStyle w:val="Heading1"/>
        <w:numPr>
          <w:ilvl w:val="0"/>
          <w:numId w:val="0"/>
        </w:numPr>
        <w:ind w:left="720" w:hanging="0"/>
        <w:rPr/>
      </w:pPr>
      <w:r>
        <w:rPr/>
      </w:r>
    </w:p>
    <w:p>
      <w:pPr>
        <w:pStyle w:val="NormalWeb"/>
        <w:shd w:fill="FFFFFF" w:val="clear"/>
        <w:spacing w:before="0" w:after="0"/>
        <w:jc w:val="both"/>
        <w:rPr>
          <w:rFonts w:ascii="Gotham" w:hAnsi="Gotham" w:cs="Arial"/>
          <w:sz w:val="22"/>
        </w:rPr>
      </w:pPr>
      <w:r>
        <w:rPr>
          <w:rFonts w:cs="Arial" w:ascii="Gotham" w:hAnsi="Gotham"/>
          <w:sz w:val="22"/>
        </w:rPr>
        <w:t>Les horaires flexibles peuvent entraîner des reports d'heures d'une semaine sur l'autre.</w:t>
      </w:r>
    </w:p>
    <w:p>
      <w:pPr>
        <w:pStyle w:val="NormalWeb"/>
        <w:shd w:fill="FFFFFF" w:val="clear"/>
        <w:spacing w:before="0" w:after="0"/>
        <w:jc w:val="both"/>
        <w:rPr>
          <w:rFonts w:ascii="Gotham" w:hAnsi="Gotham" w:cs="Arial"/>
          <w:sz w:val="22"/>
        </w:rPr>
      </w:pPr>
      <w:r>
        <w:rPr>
          <w:rFonts w:cs="Arial" w:ascii="Gotham" w:hAnsi="Gotham"/>
          <w:sz w:val="22"/>
        </w:rPr>
        <w:t>Le nombre d'heures pouvant être reportées d'une semaine à une autre est fixé à 3 heures maximum et ne sont pas cumulables.</w:t>
      </w:r>
    </w:p>
    <w:p>
      <w:pPr>
        <w:pStyle w:val="NormalWeb"/>
        <w:shd w:fill="FFFFFF" w:val="clear"/>
        <w:spacing w:before="0" w:after="0"/>
        <w:jc w:val="both"/>
        <w:rPr>
          <w:rFonts w:ascii="Gotham" w:hAnsi="Gotham" w:cs="Arial"/>
          <w:sz w:val="22"/>
        </w:rPr>
      </w:pPr>
      <w:r>
        <w:rPr>
          <w:rFonts w:cs="Arial" w:ascii="Gotham" w:hAnsi="Gotham"/>
          <w:sz w:val="22"/>
        </w:rPr>
        <w:t>Les 3 heures de flexibilité peuvent être négatives ou positives. Seules les heures excédant 3 heures en fin de semaine seront écrêtées.</w:t>
      </w:r>
    </w:p>
    <w:p>
      <w:pPr>
        <w:pStyle w:val="NormalWeb"/>
        <w:shd w:fill="FFFFFF" w:val="clear"/>
        <w:spacing w:before="0" w:after="0"/>
        <w:jc w:val="both"/>
        <w:rPr/>
      </w:pPr>
      <w:r>
        <w:rPr>
          <w:rFonts w:cs="Arial" w:ascii="Gotham" w:hAnsi="Gotham"/>
          <w:sz w:val="22"/>
          <w:shd w:fill="FFFFFF" w:val="clear"/>
        </w:rPr>
        <w:t xml:space="preserve">Les heures reportées par choix du salarié ne sont ni comptées, ni rémunérées en heures supplémentaires. </w:t>
      </w:r>
    </w:p>
    <w:p>
      <w:pPr>
        <w:pStyle w:val="NormalWeb"/>
        <w:shd w:fill="FFFFFF" w:val="clear"/>
        <w:spacing w:before="0" w:after="0"/>
        <w:jc w:val="both"/>
        <w:rPr>
          <w:rFonts w:ascii="Gotham" w:hAnsi="Gotham" w:cs="Arial"/>
          <w:sz w:val="22"/>
          <w:highlight w:val="white"/>
        </w:rPr>
      </w:pPr>
      <w:r>
        <w:rPr>
          <w:rFonts w:cs="Arial" w:ascii="Gotham" w:hAnsi="Gotham"/>
          <w:sz w:val="22"/>
          <w:shd w:fill="FFFFFF" w:val="clear"/>
        </w:rPr>
        <w:t xml:space="preserve">Ces heures font l’objet d’une récupération au fil de l’eau à l’initiative du salarié, en vue d’apurer le solde au 31 décembre de chaque année. En cas de départ, le solde devra être apuré à la date de sortie. </w:t>
      </w:r>
    </w:p>
    <w:p>
      <w:pPr>
        <w:pStyle w:val="NormalWeb"/>
        <w:shd w:fill="FFFFFF" w:val="clear"/>
        <w:spacing w:before="0" w:after="0"/>
        <w:jc w:val="both"/>
        <w:rPr>
          <w:rFonts w:ascii="Gotham" w:hAnsi="Gotham" w:cs="Arial"/>
          <w:sz w:val="22"/>
          <w:shd w:fill="FFFFFF" w:val="clear"/>
        </w:rPr>
      </w:pPr>
      <w:r>
        <w:rPr>
          <w:rFonts w:cs="Arial" w:ascii="Gotham" w:hAnsi="Gotham"/>
          <w:sz w:val="22"/>
          <w:shd w:fill="FFFFFF" w:val="clear"/>
        </w:rPr>
      </w:r>
    </w:p>
    <w:p>
      <w:pPr>
        <w:pStyle w:val="Heading1"/>
        <w:numPr>
          <w:ilvl w:val="0"/>
          <w:numId w:val="1"/>
        </w:numPr>
        <w:rPr>
          <w:shd w:fill="FFFFFF" w:val="clear"/>
        </w:rPr>
      </w:pPr>
      <w:bookmarkStart w:id="6" w:name="__RefHeading___Toc85536066"/>
      <w:bookmarkEnd w:id="6"/>
      <w:r>
        <w:rPr>
          <w:shd w:fill="FFFFFF" w:val="clear"/>
        </w:rPr>
        <w:t>Heures supplémentaires</w:t>
      </w:r>
    </w:p>
    <w:p>
      <w:pPr>
        <w:pStyle w:val="Normal"/>
        <w:spacing w:lineRule="auto" w:line="276"/>
        <w:ind w:right="96" w:hanging="0"/>
        <w:jc w:val="both"/>
        <w:rPr>
          <w:rFonts w:ascii="Gotham" w:hAnsi="Gotham" w:cs="Gotham"/>
          <w:b/>
          <w:b/>
          <w:bCs/>
          <w:szCs w:val="12"/>
          <w:u w:val="single"/>
          <w:shd w:fill="FFFFFF" w:val="clear"/>
        </w:rPr>
      </w:pPr>
      <w:r>
        <w:rPr>
          <w:rFonts w:cs="Gotham" w:ascii="Gotham" w:hAnsi="Gotham"/>
          <w:b/>
          <w:bCs/>
          <w:szCs w:val="12"/>
          <w:u w:val="single"/>
          <w:shd w:fill="FFFFFF" w:val="clear"/>
        </w:rPr>
      </w:r>
    </w:p>
    <w:p>
      <w:pPr>
        <w:pStyle w:val="Normal"/>
        <w:spacing w:lineRule="auto" w:line="276"/>
        <w:ind w:right="96" w:hanging="0"/>
        <w:jc w:val="both"/>
        <w:rPr/>
      </w:pPr>
      <w:r>
        <w:rPr>
          <w:rFonts w:cs="Segoe UI" w:ascii="Gotham" w:hAnsi="Gotham"/>
          <w:sz w:val="22"/>
          <w:szCs w:val="20"/>
        </w:rPr>
        <w:t>Les heures supplémentaires sont les heures de travail effectif accomplies à la demande de l'employeur au-delà de la durée légale du travail conformément à l’article L.3121-28 du code du travail.</w:t>
      </w:r>
    </w:p>
    <w:p>
      <w:pPr>
        <w:pStyle w:val="Normal"/>
        <w:spacing w:lineRule="auto" w:line="276"/>
        <w:jc w:val="both"/>
        <w:rPr>
          <w:rFonts w:ascii="Gotham" w:hAnsi="Gotham" w:cs="Segoe UI"/>
          <w:sz w:val="22"/>
          <w:szCs w:val="20"/>
        </w:rPr>
      </w:pPr>
      <w:r>
        <w:rPr>
          <w:rFonts w:cs="Segoe UI" w:ascii="Gotham" w:hAnsi="Gotham"/>
          <w:sz w:val="22"/>
          <w:szCs w:val="20"/>
        </w:rPr>
        <w:t>Les heures supplémentaires ne constituent pas le mode normal de gestion de l’entreprise. Elles sont utilisées de manière exceptionnelle. Le décompte des heures supplémentaires sera indépendant du suivi du report d’heures.</w:t>
      </w:r>
    </w:p>
    <w:p>
      <w:pPr>
        <w:pStyle w:val="Normal"/>
        <w:spacing w:lineRule="auto" w:line="276"/>
        <w:jc w:val="both"/>
        <w:rPr>
          <w:rFonts w:ascii="Gotham" w:hAnsi="Gotham" w:cs="Segoe UI"/>
          <w:sz w:val="22"/>
          <w:szCs w:val="20"/>
        </w:rPr>
      </w:pPr>
      <w:r>
        <w:rPr>
          <w:rFonts w:cs="Segoe UI" w:ascii="Gotham" w:hAnsi="Gotham"/>
          <w:sz w:val="22"/>
          <w:szCs w:val="20"/>
        </w:rPr>
        <w:t xml:space="preserve">Toute heure supplémentaire ne peut être effectuée qu’à la demande de la hiérarchie et soumise à validation du COMEX. </w:t>
      </w:r>
    </w:p>
    <w:p>
      <w:pPr>
        <w:pStyle w:val="Normal"/>
        <w:spacing w:lineRule="auto" w:line="276"/>
        <w:jc w:val="both"/>
        <w:rPr>
          <w:rFonts w:ascii="Gotham" w:hAnsi="Gotham" w:cs="Segoe UI"/>
          <w:sz w:val="22"/>
          <w:szCs w:val="20"/>
        </w:rPr>
      </w:pPr>
      <w:r>
        <w:rPr>
          <w:rFonts w:cs="Segoe UI" w:ascii="Gotham" w:hAnsi="Gotham"/>
          <w:sz w:val="22"/>
          <w:szCs w:val="20"/>
        </w:rPr>
      </w:r>
    </w:p>
    <w:p>
      <w:pPr>
        <w:pStyle w:val="Heading1"/>
        <w:numPr>
          <w:ilvl w:val="0"/>
          <w:numId w:val="1"/>
        </w:numPr>
        <w:rPr/>
      </w:pPr>
      <w:bookmarkStart w:id="7" w:name="__RefHeading___Toc85536067"/>
      <w:bookmarkEnd w:id="7"/>
      <w:r>
        <w:rPr/>
        <w:t>Personnel de la CCNGCEI de catégorie A</w:t>
      </w:r>
    </w:p>
    <w:p>
      <w:pPr>
        <w:pStyle w:val="Heading1"/>
        <w:numPr>
          <w:ilvl w:val="0"/>
          <w:numId w:val="0"/>
        </w:numPr>
        <w:spacing w:lineRule="auto" w:line="276"/>
        <w:ind w:left="0" w:hanging="0"/>
        <w:rPr/>
      </w:pPr>
      <w:r>
        <w:rPr/>
      </w:r>
    </w:p>
    <w:p>
      <w:pPr>
        <w:pStyle w:val="Normal"/>
        <w:spacing w:lineRule="auto" w:line="276"/>
        <w:jc w:val="both"/>
        <w:rPr>
          <w:rFonts w:ascii="Gotham" w:hAnsi="Gotham" w:cs="Gotham"/>
          <w:sz w:val="22"/>
        </w:rPr>
      </w:pPr>
      <w:r>
        <w:rPr>
          <w:rFonts w:cs="Gotham" w:ascii="Gotham" w:hAnsi="Gotham"/>
          <w:sz w:val="22"/>
        </w:rPr>
        <w:t>Les salariés de catégorie A relevant de la CCNGCEI (hors responsables de site et maîtres/maîtresses/employés de maison) exercent leur mission en fonction d’un calendrier de travail convenu ainsi que d’un horaire individualisé préétabli, prenant en considération les nécessités et impératifs liés aux différents sites.</w:t>
      </w:r>
    </w:p>
    <w:p>
      <w:pPr>
        <w:pStyle w:val="Normal"/>
        <w:spacing w:lineRule="auto" w:line="276"/>
        <w:jc w:val="both"/>
        <w:rPr>
          <w:rFonts w:ascii="Gotham" w:hAnsi="Gotham" w:cs="Gotham"/>
          <w:sz w:val="22"/>
        </w:rPr>
      </w:pPr>
      <w:r>
        <w:rPr>
          <w:rFonts w:cs="Gotham" w:ascii="Gotham" w:hAnsi="Gotham"/>
          <w:sz w:val="22"/>
        </w:rPr>
      </w:r>
    </w:p>
    <w:p>
      <w:pPr>
        <w:pStyle w:val="Heading1"/>
        <w:numPr>
          <w:ilvl w:val="0"/>
          <w:numId w:val="1"/>
        </w:numPr>
        <w:rPr/>
      </w:pPr>
      <w:bookmarkStart w:id="8" w:name="__RefHeading___Toc85536068"/>
      <w:bookmarkEnd w:id="8"/>
      <w:r>
        <w:rPr/>
        <w:t>Maternité</w:t>
      </w:r>
    </w:p>
    <w:p>
      <w:pPr>
        <w:pStyle w:val="Normal"/>
        <w:spacing w:lineRule="auto" w:line="276"/>
        <w:jc w:val="both"/>
        <w:rPr>
          <w:rFonts w:ascii="Calibri" w:hAnsi="Calibri" w:cs="Calibri"/>
          <w:sz w:val="22"/>
          <w:szCs w:val="22"/>
        </w:rPr>
      </w:pPr>
      <w:r>
        <w:rPr>
          <w:rFonts w:cs="Calibri" w:ascii="Calibri" w:hAnsi="Calibri"/>
          <w:sz w:val="22"/>
          <w:szCs w:val="22"/>
        </w:rPr>
      </w:r>
    </w:p>
    <w:p>
      <w:pPr>
        <w:pStyle w:val="Normal"/>
        <w:spacing w:lineRule="auto" w:line="276"/>
        <w:jc w:val="both"/>
        <w:rPr>
          <w:rFonts w:ascii="Gotham" w:hAnsi="Gotham" w:cs="Calibri"/>
          <w:sz w:val="22"/>
          <w:szCs w:val="22"/>
        </w:rPr>
      </w:pPr>
      <w:r>
        <w:rPr>
          <w:rFonts w:cs="Calibri" w:ascii="Gotham" w:hAnsi="Gotham"/>
          <w:sz w:val="22"/>
          <w:szCs w:val="22"/>
        </w:rPr>
        <w:t>Les femmes enceintes bénéficient d’un temps de pause de 15 minutes le matin et de 15 minutes l’après-midi.</w:t>
      </w:r>
    </w:p>
    <w:p>
      <w:pPr>
        <w:pStyle w:val="Normal"/>
        <w:spacing w:lineRule="auto" w:line="276"/>
        <w:jc w:val="both"/>
        <w:rPr>
          <w:rFonts w:ascii="Gotham" w:hAnsi="Gotham" w:cs="Calibri"/>
          <w:sz w:val="22"/>
          <w:szCs w:val="22"/>
        </w:rPr>
      </w:pPr>
      <w:r>
        <w:rPr>
          <w:rFonts w:cs="Calibri" w:ascii="Gotham" w:hAnsi="Gotham"/>
          <w:sz w:val="22"/>
          <w:szCs w:val="22"/>
        </w:rPr>
        <w:t>Sur demande de la salariée et acceptation préalable de son manager, un cumul des temps de pause peut être mis en place soit en fin de journée, soit en fin de semaine.</w:t>
      </w:r>
    </w:p>
    <w:p>
      <w:pPr>
        <w:pStyle w:val="Heading1"/>
        <w:numPr>
          <w:ilvl w:val="0"/>
          <w:numId w:val="1"/>
        </w:numPr>
        <w:rPr/>
      </w:pPr>
      <w:bookmarkStart w:id="9" w:name="__RefHeading___Toc85536069"/>
      <w:r>
        <w:rPr/>
        <w:t>Droit à la déconnexion</w:t>
      </w:r>
      <w:bookmarkEnd w:id="9"/>
      <w:r>
        <w:rPr/>
        <w:t xml:space="preserve"> </w:t>
      </w:r>
    </w:p>
    <w:p>
      <w:pPr>
        <w:pStyle w:val="Heading1"/>
        <w:numPr>
          <w:ilvl w:val="0"/>
          <w:numId w:val="0"/>
        </w:numPr>
        <w:ind w:left="720" w:hanging="0"/>
        <w:rPr/>
      </w:pPr>
      <w:r>
        <w:rPr/>
      </w:r>
    </w:p>
    <w:p>
      <w:pPr>
        <w:pStyle w:val="Normal"/>
        <w:spacing w:lineRule="auto" w:line="276"/>
        <w:jc w:val="both"/>
        <w:rPr>
          <w:rFonts w:ascii="Gotham" w:hAnsi="Gotham" w:cs="Gotham"/>
          <w:sz w:val="22"/>
        </w:rPr>
      </w:pPr>
      <w:r>
        <w:rPr>
          <w:rFonts w:cs="Gotham" w:ascii="Gotham" w:hAnsi="Gotham"/>
          <w:sz w:val="22"/>
        </w:rPr>
        <w:t>Il n’y a aucune obligation de répondre aux mails reçus sur les smartphones professionnels entre 19h et 7h du matin, et du vendredi 19h au lundi 7h selon une organisation de travail du lundi au vendredi, sauf situation exceptionnelle et impérieuse motivée par le bon fonctionnement du service et dûment justifiée.</w:t>
      </w:r>
    </w:p>
    <w:p>
      <w:pPr>
        <w:pStyle w:val="Normal"/>
        <w:spacing w:lineRule="auto" w:line="276"/>
        <w:jc w:val="both"/>
        <w:rPr>
          <w:rFonts w:ascii="Gotham" w:hAnsi="Gotham" w:cs="Gotham"/>
          <w:sz w:val="22"/>
        </w:rPr>
      </w:pPr>
      <w:r>
        <w:rPr>
          <w:rFonts w:cs="Gotham" w:ascii="Gotham" w:hAnsi="Gotham"/>
          <w:sz w:val="22"/>
        </w:rPr>
        <w:t>Il est également rappelé dans ce cadre, que le fait de n'avoir pu être joint sur son smartphone professionnel pendant les horaires précisés ci-dessus, est dépourvu de caractère fautif.</w:t>
      </w:r>
    </w:p>
    <w:p>
      <w:pPr>
        <w:pStyle w:val="Normal"/>
        <w:spacing w:lineRule="auto" w:line="276"/>
        <w:jc w:val="both"/>
        <w:rPr>
          <w:rFonts w:ascii="Gotham" w:hAnsi="Gotham" w:cs="Gotham"/>
          <w:sz w:val="22"/>
        </w:rPr>
      </w:pPr>
      <w:r>
        <w:rPr>
          <w:rFonts w:cs="Gotham" w:ascii="Gotham" w:hAnsi="Gotham"/>
          <w:sz w:val="22"/>
        </w:rPr>
      </w:r>
    </w:p>
    <w:p>
      <w:pPr>
        <w:pStyle w:val="Normal"/>
        <w:spacing w:lineRule="auto" w:line="276"/>
        <w:jc w:val="both"/>
        <w:rPr>
          <w:rFonts w:ascii="Gotham" w:hAnsi="Gotham" w:cs="Gotham"/>
          <w:sz w:val="22"/>
        </w:rPr>
      </w:pPr>
      <w:r>
        <w:rPr>
          <w:rFonts w:cs="Gotham" w:ascii="Gotham" w:hAnsi="Gotham"/>
          <w:sz w:val="22"/>
        </w:rPr>
        <w:t>D’une manière générale, les managers veilleront également à la déconnexion de leur équipe. Cela passera notamment par une attitude exemplaire dans l'utilisation des outils numériques, en se déplaçant si possible pour parler à ses collaborateurs plutôt que d'envoyer un email, ou en privilégiant, tout du moins, tout moyen de nature à favoriser l’échange direct.</w:t>
      </w:r>
    </w:p>
    <w:p>
      <w:pPr>
        <w:pStyle w:val="Heading"/>
        <w:rPr/>
      </w:pPr>
      <w:bookmarkStart w:id="10" w:name="__RefHeading___Toc85536070"/>
      <w:bookmarkEnd w:id="10"/>
      <w:r>
        <w:rPr/>
        <w:t>ARTICLE 3 – FORFAIT ANNUEL EN JOURS</w:t>
      </w:r>
    </w:p>
    <w:p>
      <w:pPr>
        <w:pStyle w:val="Normal"/>
        <w:rPr/>
      </w:pPr>
      <w:r>
        <w:rPr/>
      </w:r>
    </w:p>
    <w:p>
      <w:pPr>
        <w:pStyle w:val="Heading1"/>
        <w:numPr>
          <w:ilvl w:val="0"/>
          <w:numId w:val="13"/>
        </w:numPr>
        <w:rPr/>
      </w:pPr>
      <w:bookmarkStart w:id="11" w:name="__RefHeading___Toc85536071"/>
      <w:bookmarkEnd w:id="11"/>
      <w:r>
        <w:rPr/>
        <w:t>Cadres et salariés autonomes</w:t>
      </w:r>
    </w:p>
    <w:p>
      <w:pPr>
        <w:pStyle w:val="Normal"/>
        <w:ind w:left="720" w:hanging="0"/>
        <w:rPr/>
      </w:pPr>
      <w:r>
        <w:rPr/>
      </w:r>
    </w:p>
    <w:p>
      <w:pPr>
        <w:pStyle w:val="Normal"/>
        <w:spacing w:lineRule="auto" w:line="276"/>
        <w:jc w:val="both"/>
        <w:rPr>
          <w:rFonts w:ascii="Gotham" w:hAnsi="Gotham" w:eastAsia="August Debouzy;Arial" w:cs="Calibri Light"/>
          <w:sz w:val="22"/>
          <w:szCs w:val="22"/>
        </w:rPr>
      </w:pPr>
      <w:r>
        <w:rPr>
          <w:rFonts w:eastAsia="August Debouzy;Arial" w:cs="Calibri Light" w:ascii="Gotham" w:hAnsi="Gotham"/>
          <w:sz w:val="22"/>
          <w:szCs w:val="22"/>
        </w:rPr>
        <w:t>Sont concernés par le forfait annuel en jours, les salariés dont la durée du travail ne peut être prédéterminée et qui disposent d’une réelle autonomie dans l’organisation de leur emploi du temps pour l’exercice des responsabilités qui leur sont confiées, et les cadres qui disposent d’une autonomie dans l’organisation de leur emploi du temps.</w:t>
      </w:r>
    </w:p>
    <w:p>
      <w:pPr>
        <w:pStyle w:val="Normal"/>
        <w:spacing w:lineRule="auto" w:line="276"/>
        <w:jc w:val="both"/>
        <w:rPr>
          <w:rFonts w:ascii="Gotham" w:hAnsi="Gotham" w:eastAsia="August Debouzy;Arial" w:cs="Calibri Light"/>
          <w:sz w:val="22"/>
          <w:szCs w:val="22"/>
        </w:rPr>
      </w:pPr>
      <w:r>
        <w:rPr>
          <w:rFonts w:eastAsia="August Debouzy;Arial" w:cs="Calibri Light" w:ascii="Gotham" w:hAnsi="Gotham"/>
          <w:sz w:val="22"/>
          <w:szCs w:val="22"/>
        </w:rPr>
      </w:r>
    </w:p>
    <w:p>
      <w:pPr>
        <w:pStyle w:val="Normal"/>
        <w:spacing w:lineRule="auto" w:line="276"/>
        <w:jc w:val="both"/>
        <w:rPr>
          <w:rFonts w:ascii="Gotham" w:hAnsi="Gotham" w:eastAsia="August Debouzy;Arial" w:cs="Calibri Light"/>
          <w:sz w:val="22"/>
          <w:szCs w:val="22"/>
        </w:rPr>
      </w:pPr>
      <w:r>
        <w:rPr>
          <w:rFonts w:eastAsia="August Debouzy;Arial" w:cs="Calibri Light" w:ascii="Gotham" w:hAnsi="Gotham"/>
          <w:sz w:val="22"/>
          <w:szCs w:val="22"/>
        </w:rPr>
        <w:t>Au regard de la spécificité de leurs fonctions et des modes de fonctionnement et d’organisation de ces derniers, les bénéficiaires de ce dispositif sont :</w:t>
      </w:r>
    </w:p>
    <w:p>
      <w:pPr>
        <w:pStyle w:val="Paragraphedeliste"/>
        <w:numPr>
          <w:ilvl w:val="0"/>
          <w:numId w:val="12"/>
        </w:numPr>
        <w:spacing w:lineRule="auto" w:line="276" w:before="0" w:after="0"/>
        <w:contextualSpacing/>
        <w:jc w:val="both"/>
        <w:rPr/>
      </w:pPr>
      <w:r>
        <w:rPr>
          <w:rFonts w:eastAsia="August Debouzy;Arial" w:cs="Calibri Light" w:ascii="Gotham" w:hAnsi="Gotham"/>
          <w:sz w:val="22"/>
        </w:rPr>
        <w:t>les cadres jouissant d’une liberté et d’une autonomie réelle dans l’organisation de leur temps de travail ;</w:t>
      </w:r>
    </w:p>
    <w:p>
      <w:pPr>
        <w:pStyle w:val="Paragraphedeliste"/>
        <w:numPr>
          <w:ilvl w:val="0"/>
          <w:numId w:val="12"/>
        </w:numPr>
        <w:spacing w:lineRule="auto" w:line="276" w:before="0" w:after="0"/>
        <w:contextualSpacing/>
        <w:jc w:val="both"/>
        <w:rPr>
          <w:rFonts w:ascii="Gotham" w:hAnsi="Gotham" w:eastAsia="August Debouzy;Arial" w:cs="August Debouzy;Arial"/>
        </w:rPr>
      </w:pPr>
      <w:r>
        <w:rPr>
          <w:rFonts w:eastAsia="August Debouzy;Arial" w:cs="Calibri Light" w:ascii="Gotham" w:hAnsi="Gotham"/>
          <w:sz w:val="22"/>
        </w:rPr>
        <w:t>les salariés agent de maîtrise dont la durée du travail ne peut être prédéterminée et qui disposent d’une réelle autonomie dans l’organisation de leur emploi du temps pour l’exercice des responsabilités qui leur sont confiées.</w:t>
      </w:r>
    </w:p>
    <w:p>
      <w:pPr>
        <w:pStyle w:val="Paragraphedeliste"/>
        <w:spacing w:lineRule="auto" w:line="256" w:before="0" w:after="0"/>
        <w:ind w:left="0" w:hanging="0"/>
        <w:contextualSpacing/>
        <w:jc w:val="both"/>
        <w:rPr>
          <w:rFonts w:ascii="Gotham" w:hAnsi="Gotham" w:eastAsia="August Debouzy;Arial" w:cs="August Debouzy;Arial"/>
        </w:rPr>
      </w:pPr>
      <w:r>
        <w:rPr>
          <w:rFonts w:eastAsia="August Debouzy;Arial" w:cs="August Debouzy;Arial" w:ascii="Gotham" w:hAnsi="Gotham"/>
        </w:rPr>
      </w:r>
    </w:p>
    <w:p>
      <w:pPr>
        <w:pStyle w:val="Paragraphedeliste"/>
        <w:spacing w:lineRule="auto" w:line="256" w:before="0" w:after="0"/>
        <w:ind w:left="0" w:hanging="0"/>
        <w:contextualSpacing/>
        <w:jc w:val="both"/>
        <w:rPr>
          <w:rFonts w:ascii="Gotham" w:hAnsi="Gotham" w:eastAsia="August Debouzy;Arial" w:cs="August Debouzy;Arial"/>
          <w:sz w:val="22"/>
        </w:rPr>
      </w:pPr>
      <w:r>
        <w:rPr>
          <w:rFonts w:eastAsia="August Debouzy;Arial" w:cs="August Debouzy;Arial" w:ascii="Gotham" w:hAnsi="Gotham"/>
          <w:sz w:val="22"/>
        </w:rPr>
        <w:t>Pour les agents de maîtrise, peuvent être concernés :</w:t>
      </w:r>
    </w:p>
    <w:p>
      <w:pPr>
        <w:pStyle w:val="Paragraphedeliste"/>
        <w:numPr>
          <w:ilvl w:val="0"/>
          <w:numId w:val="11"/>
        </w:numPr>
        <w:spacing w:lineRule="auto" w:line="256" w:before="0" w:after="0"/>
        <w:contextualSpacing/>
        <w:jc w:val="both"/>
        <w:rPr>
          <w:rFonts w:ascii="Gotham" w:hAnsi="Gotham" w:eastAsia="August Debouzy;Arial" w:cs="August Debouzy;Arial"/>
          <w:sz w:val="22"/>
        </w:rPr>
      </w:pPr>
      <w:r>
        <w:rPr>
          <w:rFonts w:eastAsia="August Debouzy;Arial" w:cs="August Debouzy;Arial" w:ascii="Gotham" w:hAnsi="Gotham"/>
          <w:sz w:val="22"/>
        </w:rPr>
        <w:t>Les gestionnaires de copropriétés</w:t>
      </w:r>
    </w:p>
    <w:p>
      <w:pPr>
        <w:pStyle w:val="Paragraphedeliste"/>
        <w:numPr>
          <w:ilvl w:val="0"/>
          <w:numId w:val="11"/>
        </w:numPr>
        <w:spacing w:lineRule="auto" w:line="256" w:before="0" w:after="0"/>
        <w:contextualSpacing/>
        <w:jc w:val="both"/>
        <w:rPr>
          <w:rFonts w:ascii="Gotham" w:hAnsi="Gotham" w:eastAsia="August Debouzy;Arial" w:cs="August Debouzy;Arial"/>
          <w:sz w:val="22"/>
        </w:rPr>
      </w:pPr>
      <w:r>
        <w:rPr>
          <w:rFonts w:eastAsia="August Debouzy;Arial" w:cs="August Debouzy;Arial" w:ascii="Gotham" w:hAnsi="Gotham"/>
          <w:sz w:val="22"/>
        </w:rPr>
        <w:t>Les techniciens patrimoine</w:t>
      </w:r>
    </w:p>
    <w:p>
      <w:pPr>
        <w:pStyle w:val="Paragraphedeliste"/>
        <w:numPr>
          <w:ilvl w:val="0"/>
          <w:numId w:val="11"/>
        </w:numPr>
        <w:spacing w:lineRule="auto" w:line="256" w:before="0" w:after="0"/>
        <w:contextualSpacing/>
        <w:jc w:val="both"/>
        <w:rPr>
          <w:rFonts w:ascii="Gotham" w:hAnsi="Gotham" w:eastAsia="August Debouzy;Arial" w:cs="August Debouzy;Arial"/>
          <w:sz w:val="22"/>
        </w:rPr>
      </w:pPr>
      <w:r>
        <w:rPr>
          <w:rFonts w:eastAsia="August Debouzy;Arial" w:cs="August Debouzy;Arial" w:ascii="Gotham" w:hAnsi="Gotham"/>
          <w:sz w:val="22"/>
        </w:rPr>
        <w:t>Les CESF</w:t>
      </w:r>
    </w:p>
    <w:p>
      <w:pPr>
        <w:pStyle w:val="Paragraphedeliste"/>
        <w:numPr>
          <w:ilvl w:val="0"/>
          <w:numId w:val="11"/>
        </w:numPr>
        <w:spacing w:lineRule="auto" w:line="256" w:before="0" w:after="0"/>
        <w:contextualSpacing/>
        <w:jc w:val="both"/>
        <w:rPr>
          <w:rFonts w:ascii="Gotham" w:hAnsi="Gotham" w:eastAsia="August Debouzy;Arial" w:cs="August Debouzy;Arial"/>
          <w:sz w:val="22"/>
        </w:rPr>
      </w:pPr>
      <w:r>
        <w:rPr>
          <w:rFonts w:eastAsia="August Debouzy;Arial" w:cs="August Debouzy;Arial" w:ascii="Gotham" w:hAnsi="Gotham"/>
          <w:sz w:val="22"/>
        </w:rPr>
        <w:t>Le pôle hotline, exploitation et infrastructure de la DSI</w:t>
      </w:r>
    </w:p>
    <w:p>
      <w:pPr>
        <w:pStyle w:val="Paragraphedeliste"/>
        <w:spacing w:lineRule="auto" w:line="256" w:before="0" w:after="0"/>
        <w:ind w:left="0" w:hanging="0"/>
        <w:contextualSpacing/>
        <w:jc w:val="both"/>
        <w:rPr>
          <w:rFonts w:ascii="Gotham" w:hAnsi="Gotham" w:eastAsia="August Debouzy;Arial" w:cs="August Debouzy;Arial"/>
          <w:sz w:val="22"/>
        </w:rPr>
      </w:pPr>
      <w:r>
        <w:rPr>
          <w:rFonts w:eastAsia="August Debouzy;Arial" w:cs="August Debouzy;Arial" w:ascii="Gotham" w:hAnsi="Gotham"/>
          <w:sz w:val="22"/>
        </w:rPr>
      </w:r>
    </w:p>
    <w:p>
      <w:pPr>
        <w:pStyle w:val="Paragraphedeliste"/>
        <w:spacing w:lineRule="auto" w:line="276" w:before="0" w:after="0"/>
        <w:ind w:left="0" w:hanging="0"/>
        <w:contextualSpacing/>
        <w:jc w:val="both"/>
        <w:rPr/>
      </w:pPr>
      <w:r>
        <w:rPr>
          <w:rFonts w:eastAsia="August Debouzy;Arial" w:cs="August Debouzy;Arial" w:ascii="Gotham" w:hAnsi="Gotham"/>
          <w:sz w:val="22"/>
        </w:rPr>
        <w:t>Cette liste n’est pas exhaustive et est susceptible d’évoluer en fonction des besoins de l’entreprise, après concertation avec le CSE.</w:t>
      </w:r>
    </w:p>
    <w:p>
      <w:pPr>
        <w:pStyle w:val="Paragraphedeliste"/>
        <w:spacing w:lineRule="auto" w:line="256" w:before="0" w:after="0"/>
        <w:ind w:left="0" w:hanging="0"/>
        <w:contextualSpacing/>
        <w:jc w:val="both"/>
        <w:rPr>
          <w:rFonts w:ascii="Gotham" w:hAnsi="Gotham" w:eastAsia="August Debouzy;Arial" w:cs="August Debouzy;Arial"/>
          <w:sz w:val="22"/>
        </w:rPr>
      </w:pPr>
      <w:r>
        <w:rPr>
          <w:rFonts w:eastAsia="August Debouzy;Arial" w:cs="August Debouzy;Arial" w:ascii="Gotham" w:hAnsi="Gotham"/>
          <w:sz w:val="22"/>
        </w:rPr>
      </w:r>
    </w:p>
    <w:p>
      <w:pPr>
        <w:pStyle w:val="Heading1"/>
        <w:numPr>
          <w:ilvl w:val="0"/>
          <w:numId w:val="13"/>
        </w:numPr>
        <w:spacing w:lineRule="auto" w:line="256" w:before="10" w:after="10"/>
        <w:contextualSpacing/>
        <w:jc w:val="both"/>
        <w:rPr>
          <w:rFonts w:eastAsia="August Debouzy;Arial" w:cs="August Debouzy;Arial"/>
        </w:rPr>
      </w:pPr>
      <w:bookmarkStart w:id="12" w:name="__RefHeading___Toc85536072"/>
      <w:bookmarkEnd w:id="12"/>
      <w:r>
        <w:rPr>
          <w:rFonts w:eastAsia="August Debouzy;Arial" w:cs="August Debouzy;Arial"/>
        </w:rPr>
        <w:t>Décompte des jours travaillés</w:t>
      </w:r>
    </w:p>
    <w:p>
      <w:pPr>
        <w:pStyle w:val="Heading1"/>
        <w:numPr>
          <w:ilvl w:val="0"/>
          <w:numId w:val="0"/>
        </w:numPr>
        <w:spacing w:lineRule="auto" w:line="256" w:before="10" w:after="10"/>
        <w:ind w:left="720" w:hanging="360"/>
        <w:contextualSpacing/>
        <w:jc w:val="both"/>
        <w:rPr>
          <w:rFonts w:eastAsia="August Debouzy;Arial" w:cs="August Debouzy;Arial"/>
        </w:rPr>
      </w:pPr>
      <w:r>
        <w:rPr>
          <w:rFonts w:eastAsia="August Debouzy;Arial" w:cs="August Debouzy;Arial"/>
        </w:rPr>
      </w:r>
    </w:p>
    <w:p>
      <w:pPr>
        <w:pStyle w:val="Normal"/>
        <w:spacing w:lineRule="auto" w:line="276"/>
        <w:jc w:val="both"/>
        <w:rPr/>
      </w:pPr>
      <w:r>
        <w:rPr>
          <w:rFonts w:cs="Segoe UI" w:ascii="Gotham" w:hAnsi="Gotham"/>
          <w:sz w:val="22"/>
          <w:szCs w:val="20"/>
        </w:rPr>
        <w:t>La durée du travail des salariés relevant du présent article est déterminée en nombre de jours sur l’année.</w:t>
      </w:r>
    </w:p>
    <w:p>
      <w:pPr>
        <w:pStyle w:val="Normal"/>
        <w:spacing w:lineRule="auto" w:line="276"/>
        <w:jc w:val="both"/>
        <w:rPr>
          <w:rFonts w:ascii="Gotham" w:hAnsi="Gotham" w:cs="Segoe UI"/>
          <w:sz w:val="22"/>
          <w:szCs w:val="20"/>
        </w:rPr>
      </w:pPr>
      <w:r>
        <w:rPr>
          <w:rFonts w:cs="Segoe UI" w:ascii="Gotham" w:hAnsi="Gotham"/>
          <w:sz w:val="22"/>
          <w:szCs w:val="20"/>
        </w:rPr>
        <w:t>Ce nombre de jours ne devra pas dépasser 210 jours par année civile complète.</w:t>
      </w:r>
    </w:p>
    <w:p>
      <w:pPr>
        <w:pStyle w:val="Normal"/>
        <w:spacing w:lineRule="auto" w:line="276"/>
        <w:jc w:val="both"/>
        <w:rPr>
          <w:rFonts w:ascii="Gotham" w:hAnsi="Gotham" w:cs="Segoe UI"/>
          <w:sz w:val="22"/>
          <w:szCs w:val="20"/>
        </w:rPr>
      </w:pPr>
      <w:r>
        <w:rPr>
          <w:rFonts w:cs="Segoe UI" w:ascii="Gotham" w:hAnsi="Gotham"/>
          <w:sz w:val="22"/>
          <w:szCs w:val="20"/>
        </w:rPr>
        <w:t>Les parties signataires conviennent de déterminer un nombre de jours de repos ne variant pas d’une année sur l’autre en fonction du calendrier.</w:t>
      </w:r>
    </w:p>
    <w:p>
      <w:pPr>
        <w:pStyle w:val="Normal"/>
        <w:spacing w:lineRule="auto" w:line="276"/>
        <w:jc w:val="both"/>
        <w:rPr>
          <w:rFonts w:ascii="Gotham" w:hAnsi="Gotham" w:cs="Segoe UI"/>
          <w:sz w:val="22"/>
          <w:szCs w:val="20"/>
        </w:rPr>
      </w:pPr>
      <w:r>
        <w:rPr>
          <w:rFonts w:cs="Segoe UI" w:ascii="Gotham" w:hAnsi="Gotham"/>
          <w:sz w:val="22"/>
          <w:szCs w:val="20"/>
        </w:rPr>
        <w:t>Les parties signataires conviennent d’attribuer 12 jours de repos par an, base temps plein pour une année complète.</w:t>
      </w:r>
    </w:p>
    <w:p>
      <w:pPr>
        <w:pStyle w:val="Normal"/>
        <w:spacing w:lineRule="auto" w:line="276"/>
        <w:jc w:val="both"/>
        <w:rPr>
          <w:rFonts w:ascii="Gotham" w:hAnsi="Gotham" w:cs="Segoe UI"/>
          <w:sz w:val="22"/>
          <w:szCs w:val="20"/>
        </w:rPr>
      </w:pPr>
      <w:r>
        <w:rPr>
          <w:rFonts w:cs="Segoe UI" w:ascii="Gotham" w:hAnsi="Gotham"/>
          <w:sz w:val="22"/>
          <w:szCs w:val="20"/>
        </w:rPr>
        <w:t>La période de référence correspond à celle courant du 1er janvier au 31 décembre d’une même année.</w:t>
      </w:r>
    </w:p>
    <w:p>
      <w:pPr>
        <w:pStyle w:val="Normal"/>
        <w:spacing w:lineRule="auto" w:line="276"/>
        <w:jc w:val="both"/>
        <w:rPr>
          <w:rFonts w:ascii="Gotham" w:hAnsi="Gotham" w:cs="Segoe UI"/>
          <w:sz w:val="22"/>
          <w:szCs w:val="20"/>
        </w:rPr>
      </w:pPr>
      <w:r>
        <w:rPr>
          <w:rFonts w:cs="Segoe UI" w:ascii="Gotham" w:hAnsi="Gotham"/>
          <w:sz w:val="22"/>
          <w:szCs w:val="20"/>
        </w:rPr>
      </w:r>
    </w:p>
    <w:p>
      <w:pPr>
        <w:pStyle w:val="Heading1"/>
        <w:numPr>
          <w:ilvl w:val="0"/>
          <w:numId w:val="13"/>
        </w:numPr>
        <w:rPr/>
      </w:pPr>
      <w:bookmarkStart w:id="13" w:name="__RefHeading___Toc85536073"/>
      <w:bookmarkEnd w:id="13"/>
      <w:r>
        <w:rPr/>
        <w:t>Forfait jours réduit</w:t>
      </w:r>
    </w:p>
    <w:p>
      <w:pPr>
        <w:pStyle w:val="Normal"/>
        <w:spacing w:lineRule="auto" w:line="276"/>
        <w:jc w:val="both"/>
        <w:rPr>
          <w:rFonts w:ascii="Gotham" w:hAnsi="Gotham" w:cs="Segoe UI"/>
          <w:sz w:val="22"/>
          <w:szCs w:val="20"/>
        </w:rPr>
      </w:pPr>
      <w:r>
        <w:rPr>
          <w:rFonts w:cs="Segoe UI" w:ascii="Gotham" w:hAnsi="Gotham"/>
          <w:sz w:val="22"/>
          <w:szCs w:val="20"/>
        </w:rPr>
      </w:r>
    </w:p>
    <w:p>
      <w:pPr>
        <w:pStyle w:val="Normal"/>
        <w:spacing w:lineRule="auto" w:line="276"/>
        <w:jc w:val="both"/>
        <w:rPr>
          <w:rFonts w:ascii="Gotham" w:hAnsi="Gotham" w:cs="Segoe UI"/>
          <w:sz w:val="22"/>
          <w:szCs w:val="20"/>
        </w:rPr>
      </w:pPr>
      <w:r>
        <w:rPr>
          <w:rFonts w:cs="Segoe UI" w:ascii="Gotham" w:hAnsi="Gotham"/>
          <w:sz w:val="22"/>
          <w:szCs w:val="20"/>
        </w:rPr>
        <w:t xml:space="preserve">Des conventions de forfait à temps réduit pourront également être conclues. </w:t>
      </w:r>
    </w:p>
    <w:p>
      <w:pPr>
        <w:pStyle w:val="Al"/>
        <w:spacing w:lineRule="auto" w:line="276" w:before="0" w:after="0"/>
        <w:jc w:val="both"/>
        <w:rPr/>
      </w:pPr>
      <w:r>
        <w:rPr>
          <w:rFonts w:cs="Calibri" w:ascii="Gotham" w:hAnsi="Gotham"/>
          <w:sz w:val="22"/>
          <w:szCs w:val="22"/>
        </w:rPr>
        <w:t>La convention individuelle de forfait en jours peut prévoir un nombre de jours travaillés réduit :</w:t>
      </w:r>
    </w:p>
    <w:p>
      <w:pPr>
        <w:pStyle w:val="Al"/>
        <w:numPr>
          <w:ilvl w:val="0"/>
          <w:numId w:val="10"/>
        </w:numPr>
        <w:spacing w:lineRule="auto" w:line="276" w:before="0" w:after="0"/>
        <w:jc w:val="both"/>
        <w:rPr>
          <w:rFonts w:ascii="Gotham" w:hAnsi="Gotham" w:cs="Calibri"/>
          <w:sz w:val="22"/>
          <w:szCs w:val="22"/>
        </w:rPr>
      </w:pPr>
      <w:r>
        <w:rPr>
          <w:rFonts w:cs="Calibri" w:ascii="Gotham" w:hAnsi="Gotham"/>
          <w:sz w:val="22"/>
          <w:szCs w:val="22"/>
        </w:rPr>
        <w:t>par l'attribution de journées ou demi-journées ouvrées fixes de repos</w:t>
      </w:r>
    </w:p>
    <w:p>
      <w:pPr>
        <w:pStyle w:val="Al"/>
        <w:numPr>
          <w:ilvl w:val="0"/>
          <w:numId w:val="10"/>
        </w:numPr>
        <w:spacing w:lineRule="auto" w:line="276" w:before="0" w:after="0"/>
        <w:jc w:val="both"/>
        <w:rPr>
          <w:rFonts w:ascii="Gotham" w:hAnsi="Gotham" w:cs="Calibri"/>
          <w:sz w:val="22"/>
          <w:szCs w:val="22"/>
        </w:rPr>
      </w:pPr>
      <w:r>
        <w:rPr>
          <w:rFonts w:cs="Calibri" w:ascii="Gotham" w:hAnsi="Gotham"/>
          <w:sz w:val="22"/>
          <w:szCs w:val="22"/>
        </w:rPr>
        <w:t>et par la proratisation des 12 jours de repos par an</w:t>
      </w:r>
    </w:p>
    <w:p>
      <w:pPr>
        <w:pStyle w:val="Al"/>
        <w:spacing w:lineRule="auto" w:line="276" w:before="0" w:after="0"/>
        <w:jc w:val="both"/>
        <w:rPr>
          <w:rFonts w:ascii="Gotham" w:hAnsi="Gotham" w:cs="Calibri"/>
          <w:sz w:val="22"/>
          <w:szCs w:val="22"/>
        </w:rPr>
      </w:pPr>
      <w:r>
        <w:rPr>
          <w:rFonts w:cs="Calibri" w:ascii="Gotham" w:hAnsi="Gotham"/>
          <w:sz w:val="22"/>
          <w:szCs w:val="22"/>
        </w:rPr>
        <w:t>Le salarié est rémunéré au prorata du nombre de jours fixé par sa convention de forfait. La charge de travail doit tenir compte de la réduction convenue.</w:t>
      </w:r>
    </w:p>
    <w:p>
      <w:pPr>
        <w:pStyle w:val="Normal"/>
        <w:rPr>
          <w:rFonts w:ascii="Gotham" w:hAnsi="Gotham" w:cs="Calibri"/>
          <w:sz w:val="22"/>
          <w:szCs w:val="22"/>
        </w:rPr>
      </w:pPr>
      <w:r>
        <w:rPr>
          <w:rFonts w:cs="Calibri" w:ascii="Gotham" w:hAnsi="Gotham"/>
          <w:sz w:val="22"/>
          <w:szCs w:val="22"/>
        </w:rPr>
      </w:r>
    </w:p>
    <w:p>
      <w:pPr>
        <w:pStyle w:val="Heading1"/>
        <w:numPr>
          <w:ilvl w:val="0"/>
          <w:numId w:val="13"/>
        </w:numPr>
        <w:rPr/>
      </w:pPr>
      <w:bookmarkStart w:id="14" w:name="__RefHeading___Toc85536074"/>
      <w:r>
        <w:rPr/>
        <w:t>Acquisition des jours de repos</w:t>
      </w:r>
      <w:bookmarkEnd w:id="14"/>
      <w:r>
        <w:rPr/>
        <w:t xml:space="preserve"> </w:t>
      </w:r>
    </w:p>
    <w:p>
      <w:pPr>
        <w:pStyle w:val="Normal"/>
        <w:jc w:val="both"/>
        <w:rPr>
          <w:rFonts w:ascii="Segoe UI" w:hAnsi="Segoe UI" w:cs="Segoe UI"/>
          <w:sz w:val="20"/>
          <w:szCs w:val="20"/>
        </w:rPr>
      </w:pPr>
      <w:r>
        <w:rPr>
          <w:rFonts w:cs="Segoe UI" w:ascii="Segoe UI" w:hAnsi="Segoe UI"/>
          <w:sz w:val="20"/>
          <w:szCs w:val="20"/>
        </w:rPr>
      </w:r>
    </w:p>
    <w:p>
      <w:pPr>
        <w:pStyle w:val="Normal"/>
        <w:spacing w:lineRule="auto" w:line="276"/>
        <w:jc w:val="both"/>
        <w:rPr/>
      </w:pPr>
      <w:r>
        <w:rPr>
          <w:rFonts w:cs="Segoe UI" w:ascii="Gotham" w:hAnsi="Gotham"/>
          <w:sz w:val="22"/>
          <w:szCs w:val="20"/>
        </w:rPr>
        <w:t>En cas d’entrée ou de départ du salarié en cours d’année, le nombre de jours de repos sera calculé au prorata du nombre de jours de repos dû au titre de l’année concernée et de sa période d’emploi sur la même année.</w:t>
      </w:r>
    </w:p>
    <w:p>
      <w:pPr>
        <w:pStyle w:val="Normal"/>
        <w:spacing w:lineRule="auto" w:line="276"/>
        <w:jc w:val="both"/>
        <w:rPr>
          <w:rFonts w:ascii="Gotham" w:hAnsi="Gotham" w:cs="Segoe UI"/>
          <w:sz w:val="22"/>
          <w:szCs w:val="20"/>
        </w:rPr>
      </w:pPr>
      <w:r>
        <w:rPr>
          <w:rFonts w:cs="Segoe UI" w:ascii="Gotham" w:hAnsi="Gotham"/>
          <w:sz w:val="22"/>
          <w:szCs w:val="20"/>
        </w:rPr>
        <w:t>Le résultat ainsi obtenu sera arrondi à l’unité supérieure (par demi-journée).</w:t>
      </w:r>
    </w:p>
    <w:p>
      <w:pPr>
        <w:pStyle w:val="Normal"/>
        <w:spacing w:lineRule="auto" w:line="276"/>
        <w:jc w:val="both"/>
        <w:rPr>
          <w:rFonts w:ascii="Gotham" w:hAnsi="Gotham" w:cs="Segoe UI"/>
          <w:sz w:val="22"/>
          <w:szCs w:val="20"/>
        </w:rPr>
      </w:pPr>
      <w:r>
        <w:rPr>
          <w:rFonts w:cs="Segoe UI" w:ascii="Gotham" w:hAnsi="Gotham"/>
          <w:sz w:val="22"/>
          <w:szCs w:val="20"/>
        </w:rPr>
        <w:t>Le temps de travail peut être réparti sur tout ou partie des jours ouvrés de la semaine en journées ou demi-journées de travail.</w:t>
      </w:r>
    </w:p>
    <w:p>
      <w:pPr>
        <w:pStyle w:val="Normal"/>
        <w:jc w:val="both"/>
        <w:rPr>
          <w:rFonts w:ascii="Segoe UI" w:hAnsi="Segoe UI" w:cs="Segoe UI"/>
          <w:sz w:val="20"/>
          <w:szCs w:val="20"/>
        </w:rPr>
      </w:pPr>
      <w:r>
        <w:rPr>
          <w:rFonts w:cs="Segoe UI" w:ascii="Segoe UI" w:hAnsi="Segoe UI"/>
          <w:sz w:val="20"/>
          <w:szCs w:val="20"/>
        </w:rPr>
      </w:r>
    </w:p>
    <w:p>
      <w:pPr>
        <w:pStyle w:val="Heading1"/>
        <w:numPr>
          <w:ilvl w:val="0"/>
          <w:numId w:val="13"/>
        </w:numPr>
        <w:rPr>
          <w:b w:val="false"/>
          <w:b w:val="false"/>
          <w:bCs w:val="false"/>
        </w:rPr>
      </w:pPr>
      <w:bookmarkStart w:id="15" w:name="__RefHeading___Toc85536075"/>
      <w:r>
        <w:rPr/>
        <w:t>Modalités de prise des jours de repos</w:t>
      </w:r>
      <w:bookmarkEnd w:id="15"/>
      <w:r>
        <w:rPr/>
        <w:t xml:space="preserve"> </w:t>
      </w:r>
    </w:p>
    <w:p>
      <w:pPr>
        <w:pStyle w:val="Normal"/>
        <w:jc w:val="both"/>
        <w:rPr>
          <w:rFonts w:ascii="Segoe UI" w:hAnsi="Segoe UI" w:cs="Segoe UI"/>
          <w:b/>
          <w:b/>
          <w:bCs/>
          <w:sz w:val="20"/>
          <w:szCs w:val="20"/>
        </w:rPr>
      </w:pPr>
      <w:r>
        <w:rPr>
          <w:rFonts w:cs="Segoe UI" w:ascii="Segoe UI" w:hAnsi="Segoe UI"/>
          <w:b/>
          <w:bCs/>
          <w:sz w:val="20"/>
          <w:szCs w:val="20"/>
        </w:rPr>
      </w:r>
    </w:p>
    <w:p>
      <w:pPr>
        <w:pStyle w:val="Normal"/>
        <w:spacing w:lineRule="auto" w:line="276"/>
        <w:jc w:val="both"/>
        <w:rPr/>
      </w:pPr>
      <w:r>
        <w:rPr>
          <w:rFonts w:cs="Segoe UI" w:ascii="Gotham" w:hAnsi="Gotham"/>
          <w:sz w:val="22"/>
          <w:szCs w:val="20"/>
        </w:rPr>
        <w:t>Les jours de repos à l’initiative du salarié concerné seront pris en journée complète ou demi-journée, après validation de son manager selon les modalités en vigueur dans l’entreprise, en fonction des impératifs de fonctionnement du service et sous réserve de respecter les contraintes de service.</w:t>
      </w:r>
    </w:p>
    <w:p>
      <w:pPr>
        <w:pStyle w:val="Normal"/>
        <w:spacing w:lineRule="auto" w:line="276"/>
        <w:jc w:val="both"/>
        <w:rPr/>
      </w:pPr>
      <w:r>
        <w:rPr>
          <w:rFonts w:cs="Segoe UI" w:ascii="Gotham" w:hAnsi="Gotham"/>
          <w:sz w:val="22"/>
          <w:szCs w:val="20"/>
        </w:rPr>
        <w:t xml:space="preserve">L’entreprise se réserve exceptionnellement la possibilité, pour des raisons liées à des contraintes d’activité majeures, de modifier les dates des jours de repos initialement fixées, sous réserve de respecter un délai de prévenance de 7 jours calendaires. </w:t>
      </w:r>
    </w:p>
    <w:p>
      <w:pPr>
        <w:pStyle w:val="Normal"/>
        <w:spacing w:lineRule="auto" w:line="276"/>
        <w:jc w:val="both"/>
        <w:rPr/>
      </w:pPr>
      <w:bookmarkStart w:id="16" w:name="_Hlk54280417"/>
      <w:r>
        <w:rPr>
          <w:rFonts w:cs="Segoe UI" w:ascii="Gotham" w:hAnsi="Gotham"/>
          <w:sz w:val="22"/>
          <w:szCs w:val="20"/>
        </w:rPr>
        <w:t xml:space="preserve">Par ailleurs, les jours de repos devront être pris par le salarié avant le 31 décembre de chaque année. </w:t>
      </w:r>
    </w:p>
    <w:p>
      <w:pPr>
        <w:pStyle w:val="Normal"/>
        <w:spacing w:lineRule="auto" w:line="276"/>
        <w:jc w:val="both"/>
        <w:rPr>
          <w:rFonts w:ascii="Gotham" w:hAnsi="Gotham" w:cs="Segoe UI"/>
          <w:sz w:val="22"/>
          <w:szCs w:val="20"/>
        </w:rPr>
      </w:pPr>
      <w:bookmarkStart w:id="17" w:name="_Hlk54280417"/>
      <w:bookmarkEnd w:id="17"/>
      <w:r>
        <w:rPr>
          <w:rFonts w:cs="Segoe UI" w:ascii="Gotham" w:hAnsi="Gotham"/>
          <w:sz w:val="22"/>
          <w:szCs w:val="20"/>
        </w:rPr>
        <w:t>Ces jours ne pourront pas être reportés d’une année sur l’autre ni faire l’objet d’une indemnité compensatrice, sauf en cas de rupture du contrat de travail.</w:t>
      </w:r>
    </w:p>
    <w:p>
      <w:pPr>
        <w:pStyle w:val="Normal"/>
        <w:jc w:val="both"/>
        <w:rPr>
          <w:rFonts w:ascii="Segoe UI" w:hAnsi="Segoe UI" w:cs="Segoe UI"/>
          <w:sz w:val="20"/>
          <w:szCs w:val="20"/>
        </w:rPr>
      </w:pPr>
      <w:r>
        <w:rPr>
          <w:rFonts w:cs="Segoe UI" w:ascii="Segoe UI" w:hAnsi="Segoe UI"/>
          <w:sz w:val="20"/>
          <w:szCs w:val="20"/>
        </w:rPr>
      </w:r>
    </w:p>
    <w:p>
      <w:pPr>
        <w:pStyle w:val="Heading1"/>
        <w:numPr>
          <w:ilvl w:val="0"/>
          <w:numId w:val="13"/>
        </w:numPr>
        <w:rPr/>
      </w:pPr>
      <w:bookmarkStart w:id="18" w:name="__RefHeading___Toc85536076"/>
      <w:bookmarkEnd w:id="18"/>
      <w:r>
        <w:rPr/>
        <w:t>Décompte du temps de travail</w:t>
      </w:r>
    </w:p>
    <w:p>
      <w:pPr>
        <w:pStyle w:val="Normal"/>
        <w:jc w:val="both"/>
        <w:rPr>
          <w:rFonts w:ascii="Segoe UI" w:hAnsi="Segoe UI" w:cs="Segoe UI"/>
          <w:sz w:val="20"/>
          <w:szCs w:val="20"/>
        </w:rPr>
      </w:pPr>
      <w:r>
        <w:rPr>
          <w:rFonts w:cs="Segoe UI" w:ascii="Segoe UI" w:hAnsi="Segoe UI"/>
          <w:sz w:val="20"/>
          <w:szCs w:val="20"/>
        </w:rPr>
      </w:r>
    </w:p>
    <w:p>
      <w:pPr>
        <w:pStyle w:val="Normal"/>
        <w:spacing w:lineRule="auto" w:line="276"/>
        <w:jc w:val="both"/>
        <w:rPr>
          <w:rFonts w:ascii="Gotham" w:hAnsi="Gotham" w:cs="Segoe UI"/>
          <w:sz w:val="22"/>
          <w:szCs w:val="20"/>
        </w:rPr>
      </w:pPr>
      <w:r>
        <w:rPr>
          <w:rFonts w:cs="Segoe UI" w:ascii="Gotham" w:hAnsi="Gotham"/>
          <w:sz w:val="22"/>
          <w:szCs w:val="20"/>
        </w:rPr>
        <w:t>Chaque salarié en forfait jours établira par le biais des outils mis à disposition par l’entreprise et sous sa responsabilité, un déclaratif mensuel à la DRH pour contrôle. Ce déclaratif fera apparaître le nombre et la date des journées ou demi-journées travaillées ainsi que le nombre et la date des journées ou demi-journées de repos compensatoires effectivement prises au cours du mois.</w:t>
      </w:r>
    </w:p>
    <w:p>
      <w:pPr>
        <w:pStyle w:val="Normal"/>
        <w:spacing w:lineRule="auto" w:line="276"/>
        <w:jc w:val="both"/>
        <w:rPr>
          <w:rFonts w:ascii="Gotham" w:hAnsi="Gotham" w:cs="Segoe UI"/>
          <w:sz w:val="22"/>
          <w:szCs w:val="20"/>
        </w:rPr>
      </w:pPr>
      <w:r>
        <w:rPr>
          <w:rFonts w:cs="Segoe UI" w:ascii="Gotham" w:hAnsi="Gotham"/>
          <w:sz w:val="22"/>
          <w:szCs w:val="20"/>
        </w:rPr>
      </w:r>
    </w:p>
    <w:p>
      <w:pPr>
        <w:pStyle w:val="Heading1"/>
        <w:numPr>
          <w:ilvl w:val="0"/>
          <w:numId w:val="13"/>
        </w:numPr>
        <w:rPr/>
      </w:pPr>
      <w:bookmarkStart w:id="19" w:name="__RefHeading___Toc85536077"/>
      <w:bookmarkEnd w:id="19"/>
      <w:r>
        <w:rPr/>
        <w:t>Entretiens individuels</w:t>
      </w:r>
    </w:p>
    <w:p>
      <w:pPr>
        <w:pStyle w:val="Normal"/>
        <w:ind w:left="1080" w:hanging="0"/>
        <w:jc w:val="both"/>
        <w:rPr>
          <w:rFonts w:ascii="Segoe UI" w:hAnsi="Segoe UI" w:cs="Segoe UI"/>
          <w:b/>
          <w:b/>
          <w:bCs/>
          <w:sz w:val="20"/>
          <w:szCs w:val="20"/>
          <w:u w:val="single"/>
        </w:rPr>
      </w:pPr>
      <w:r>
        <w:rPr>
          <w:rFonts w:cs="Segoe UI" w:ascii="Segoe UI" w:hAnsi="Segoe UI"/>
          <w:b/>
          <w:bCs/>
          <w:sz w:val="20"/>
          <w:szCs w:val="20"/>
          <w:u w:val="single"/>
        </w:rPr>
      </w:r>
    </w:p>
    <w:p>
      <w:pPr>
        <w:pStyle w:val="Normal"/>
        <w:spacing w:lineRule="auto" w:line="276"/>
        <w:jc w:val="both"/>
        <w:rPr/>
      </w:pPr>
      <w:r>
        <w:rPr>
          <w:rFonts w:cs="Segoe UI" w:ascii="Gotham" w:hAnsi="Gotham"/>
          <w:sz w:val="22"/>
          <w:szCs w:val="20"/>
        </w:rPr>
        <w:t>Un entretien annuel individuel sera organisé par le manager de chaque salarié ayant conclu une convention de forfait en jours sur l’année. Cet entretien a pour objet de faire un bilan de l’organisation de son temps de travail et de sa charge de travail. Il doit aussi permettre, le cas échéant, de partager les éventuelles difficultés rencontrées afin de mettre en place les actions correctives qui seraient nécessaires.</w:t>
      </w:r>
    </w:p>
    <w:p>
      <w:pPr>
        <w:pStyle w:val="Normal"/>
        <w:jc w:val="both"/>
        <w:rPr>
          <w:rFonts w:ascii="Gotham" w:hAnsi="Gotham" w:cs="Segoe UI"/>
          <w:sz w:val="22"/>
          <w:szCs w:val="20"/>
        </w:rPr>
      </w:pPr>
      <w:r>
        <w:rPr>
          <w:rFonts w:cs="Segoe UI" w:ascii="Gotham" w:hAnsi="Gotham"/>
          <w:sz w:val="22"/>
          <w:szCs w:val="20"/>
        </w:rPr>
      </w:r>
    </w:p>
    <w:p>
      <w:pPr>
        <w:pStyle w:val="Normal"/>
        <w:jc w:val="both"/>
        <w:rPr/>
      </w:pPr>
      <w:r>
        <w:rPr>
          <w:rFonts w:cs="Segoe UI" w:ascii="Gotham" w:hAnsi="Gotham"/>
          <w:sz w:val="22"/>
          <w:szCs w:val="20"/>
        </w:rPr>
        <w:t>A l’occasion de cet entretien doivent notamment être abordés avec le salarié :</w:t>
      </w:r>
    </w:p>
    <w:p>
      <w:pPr>
        <w:pStyle w:val="Paragraphedeliste"/>
        <w:numPr>
          <w:ilvl w:val="0"/>
          <w:numId w:val="7"/>
        </w:numPr>
        <w:spacing w:before="0" w:after="0"/>
        <w:contextualSpacing/>
        <w:jc w:val="both"/>
        <w:rPr>
          <w:rFonts w:ascii="Gotham" w:hAnsi="Gotham" w:cs="Segoe UI"/>
          <w:sz w:val="22"/>
          <w:szCs w:val="20"/>
        </w:rPr>
      </w:pPr>
      <w:r>
        <w:rPr>
          <w:rFonts w:cs="Segoe UI" w:ascii="Gotham" w:hAnsi="Gotham"/>
          <w:sz w:val="22"/>
          <w:szCs w:val="20"/>
        </w:rPr>
        <w:t xml:space="preserve">sa charge de travail ; </w:t>
      </w:r>
    </w:p>
    <w:p>
      <w:pPr>
        <w:pStyle w:val="Paragraphedeliste"/>
        <w:numPr>
          <w:ilvl w:val="0"/>
          <w:numId w:val="7"/>
        </w:numPr>
        <w:spacing w:before="0" w:after="0"/>
        <w:contextualSpacing/>
        <w:jc w:val="both"/>
        <w:rPr>
          <w:rFonts w:ascii="Gotham" w:hAnsi="Gotham" w:cs="Segoe UI"/>
          <w:sz w:val="22"/>
          <w:szCs w:val="20"/>
        </w:rPr>
      </w:pPr>
      <w:r>
        <w:rPr>
          <w:rFonts w:cs="Segoe UI" w:ascii="Gotham" w:hAnsi="Gotham"/>
          <w:sz w:val="22"/>
          <w:szCs w:val="20"/>
        </w:rPr>
        <w:t xml:space="preserve">l’amplitude de ses journées travaillées ; </w:t>
      </w:r>
    </w:p>
    <w:p>
      <w:pPr>
        <w:pStyle w:val="Paragraphedeliste"/>
        <w:numPr>
          <w:ilvl w:val="0"/>
          <w:numId w:val="7"/>
        </w:numPr>
        <w:spacing w:before="0" w:after="0"/>
        <w:contextualSpacing/>
        <w:jc w:val="both"/>
        <w:rPr>
          <w:rFonts w:ascii="Gotham" w:hAnsi="Gotham" w:cs="Segoe UI"/>
          <w:sz w:val="22"/>
          <w:szCs w:val="20"/>
        </w:rPr>
      </w:pPr>
      <w:r>
        <w:rPr>
          <w:rFonts w:cs="Segoe UI" w:ascii="Gotham" w:hAnsi="Gotham"/>
          <w:sz w:val="22"/>
          <w:szCs w:val="20"/>
        </w:rPr>
        <w:t>la durée de ses trajets professionnels ;</w:t>
      </w:r>
    </w:p>
    <w:p>
      <w:pPr>
        <w:pStyle w:val="Paragraphedeliste"/>
        <w:numPr>
          <w:ilvl w:val="0"/>
          <w:numId w:val="7"/>
        </w:numPr>
        <w:spacing w:before="0" w:after="0"/>
        <w:contextualSpacing/>
        <w:jc w:val="both"/>
        <w:rPr>
          <w:rFonts w:ascii="Gotham" w:hAnsi="Gotham" w:cs="Segoe UI"/>
          <w:sz w:val="22"/>
          <w:szCs w:val="20"/>
        </w:rPr>
      </w:pPr>
      <w:r>
        <w:rPr>
          <w:rFonts w:cs="Segoe UI" w:ascii="Gotham" w:hAnsi="Gotham"/>
          <w:sz w:val="22"/>
          <w:szCs w:val="20"/>
        </w:rPr>
        <w:t>la répartition dans le temps de son travail ;</w:t>
      </w:r>
    </w:p>
    <w:p>
      <w:pPr>
        <w:pStyle w:val="Paragraphedeliste"/>
        <w:numPr>
          <w:ilvl w:val="0"/>
          <w:numId w:val="7"/>
        </w:numPr>
        <w:spacing w:before="0" w:after="0"/>
        <w:contextualSpacing/>
        <w:jc w:val="both"/>
        <w:rPr>
          <w:rFonts w:ascii="Gotham" w:hAnsi="Gotham" w:cs="Segoe UI"/>
          <w:sz w:val="22"/>
          <w:szCs w:val="20"/>
        </w:rPr>
      </w:pPr>
      <w:r>
        <w:rPr>
          <w:rFonts w:cs="Segoe UI" w:ascii="Gotham" w:hAnsi="Gotham"/>
          <w:sz w:val="22"/>
          <w:szCs w:val="20"/>
        </w:rPr>
        <w:t xml:space="preserve">l’organisation du travail dans l’entreprise ; </w:t>
      </w:r>
    </w:p>
    <w:p>
      <w:pPr>
        <w:pStyle w:val="Paragraphedeliste"/>
        <w:numPr>
          <w:ilvl w:val="0"/>
          <w:numId w:val="7"/>
        </w:numPr>
        <w:spacing w:before="0" w:after="0"/>
        <w:contextualSpacing/>
        <w:jc w:val="both"/>
        <w:rPr/>
      </w:pPr>
      <w:r>
        <w:rPr>
          <w:rFonts w:cs="Segoe UI" w:ascii="Gotham" w:hAnsi="Gotham"/>
          <w:sz w:val="22"/>
          <w:szCs w:val="20"/>
        </w:rPr>
        <w:t xml:space="preserve">l’articulation entre sa vie professionnelle et sa vie personnelle ; </w:t>
      </w:r>
    </w:p>
    <w:p>
      <w:pPr>
        <w:pStyle w:val="Paragraphedeliste"/>
        <w:numPr>
          <w:ilvl w:val="0"/>
          <w:numId w:val="7"/>
        </w:numPr>
        <w:spacing w:before="0" w:after="0"/>
        <w:contextualSpacing/>
        <w:jc w:val="both"/>
        <w:rPr>
          <w:rFonts w:ascii="Gotham" w:hAnsi="Gotham" w:cs="Segoe UI"/>
          <w:sz w:val="22"/>
          <w:szCs w:val="20"/>
        </w:rPr>
      </w:pPr>
      <w:r>
        <w:rPr>
          <w:rFonts w:cs="Segoe UI" w:ascii="Gotham" w:hAnsi="Gotham"/>
          <w:sz w:val="22"/>
          <w:szCs w:val="20"/>
        </w:rPr>
        <w:t xml:space="preserve">la rémunération ; </w:t>
        <w:tab/>
      </w:r>
    </w:p>
    <w:p>
      <w:pPr>
        <w:pStyle w:val="Paragraphedeliste"/>
        <w:numPr>
          <w:ilvl w:val="0"/>
          <w:numId w:val="7"/>
        </w:numPr>
        <w:spacing w:before="0" w:after="0"/>
        <w:contextualSpacing/>
        <w:jc w:val="both"/>
        <w:rPr/>
      </w:pPr>
      <w:r>
        <w:rPr>
          <w:rFonts w:cs="Segoe UI" w:ascii="Gotham" w:hAnsi="Gotham"/>
          <w:sz w:val="22"/>
          <w:szCs w:val="20"/>
        </w:rPr>
        <w:t xml:space="preserve">les incidences des technologies de communication ; </w:t>
      </w:r>
    </w:p>
    <w:p>
      <w:pPr>
        <w:pStyle w:val="Paragraphedeliste"/>
        <w:numPr>
          <w:ilvl w:val="0"/>
          <w:numId w:val="7"/>
        </w:numPr>
        <w:spacing w:before="0" w:after="0"/>
        <w:contextualSpacing/>
        <w:jc w:val="both"/>
        <w:rPr/>
      </w:pPr>
      <w:r>
        <w:rPr>
          <w:rFonts w:cs="Segoe UI" w:ascii="Gotham" w:hAnsi="Gotham"/>
          <w:sz w:val="22"/>
          <w:szCs w:val="20"/>
        </w:rPr>
        <w:t>le suivi de la prise des jours de repos compensatoires et des congés ;</w:t>
      </w:r>
    </w:p>
    <w:p>
      <w:pPr>
        <w:pStyle w:val="Paragraphedeliste"/>
        <w:numPr>
          <w:ilvl w:val="0"/>
          <w:numId w:val="7"/>
        </w:numPr>
        <w:spacing w:before="0" w:after="0"/>
        <w:contextualSpacing/>
        <w:jc w:val="both"/>
        <w:rPr>
          <w:rFonts w:ascii="Gotham" w:hAnsi="Gotham" w:cs="Segoe UI"/>
          <w:sz w:val="22"/>
          <w:szCs w:val="20"/>
        </w:rPr>
      </w:pPr>
      <w:r>
        <w:rPr>
          <w:rFonts w:cs="Segoe UI" w:ascii="Gotham" w:hAnsi="Gotham"/>
          <w:sz w:val="22"/>
          <w:szCs w:val="20"/>
        </w:rPr>
        <w:t>les mesures de prévention et de règlement des éventuelles difficultés constatées.</w:t>
      </w:r>
    </w:p>
    <w:p>
      <w:pPr>
        <w:pStyle w:val="Paragraphedeliste"/>
        <w:spacing w:before="0" w:after="0"/>
        <w:ind w:left="0" w:hanging="0"/>
        <w:contextualSpacing/>
        <w:jc w:val="both"/>
        <w:rPr>
          <w:rFonts w:ascii="Gotham" w:hAnsi="Gotham" w:cs="Segoe UI"/>
          <w:sz w:val="22"/>
          <w:szCs w:val="20"/>
        </w:rPr>
      </w:pPr>
      <w:r>
        <w:rPr>
          <w:rFonts w:cs="Segoe UI" w:ascii="Gotham" w:hAnsi="Gotham"/>
          <w:sz w:val="22"/>
          <w:szCs w:val="20"/>
        </w:rPr>
      </w:r>
    </w:p>
    <w:p>
      <w:pPr>
        <w:pStyle w:val="Paragraphedeliste"/>
        <w:spacing w:before="0" w:after="0"/>
        <w:ind w:left="0" w:hanging="0"/>
        <w:contextualSpacing/>
        <w:jc w:val="both"/>
        <w:rPr/>
      </w:pPr>
      <w:r>
        <w:rPr>
          <w:rFonts w:cs="Segoe UI" w:ascii="Gotham" w:hAnsi="Gotham"/>
          <w:sz w:val="22"/>
          <w:szCs w:val="20"/>
        </w:rPr>
        <w:t xml:space="preserve">Cet entretien annuel doit être conduit par le manager sur la base des déclaratifs mensuels réalisés par le salarié et du formulaire d’entretien de l’année précédente. </w:t>
      </w:r>
    </w:p>
    <w:p>
      <w:pPr>
        <w:pStyle w:val="Normal"/>
        <w:jc w:val="both"/>
        <w:rPr>
          <w:rFonts w:ascii="Gotham" w:hAnsi="Gotham" w:cs="Segoe UI"/>
          <w:sz w:val="22"/>
          <w:szCs w:val="20"/>
        </w:rPr>
      </w:pPr>
      <w:r>
        <w:rPr>
          <w:rFonts w:cs="Segoe UI" w:ascii="Gotham" w:hAnsi="Gotham"/>
          <w:sz w:val="22"/>
          <w:szCs w:val="20"/>
        </w:rPr>
        <w:t>A l’issue de l’entretien, un formulaire d’entretien sera rempli par le manager afin de renseigner chacun des différents thèmes abordés et signé par le salarié.</w:t>
      </w:r>
    </w:p>
    <w:p>
      <w:pPr>
        <w:pStyle w:val="Normal"/>
        <w:jc w:val="both"/>
        <w:rPr/>
      </w:pPr>
      <w:r>
        <w:rPr>
          <w:rFonts w:cs="Segoe UI" w:ascii="Gotham" w:hAnsi="Gotham"/>
          <w:sz w:val="22"/>
          <w:szCs w:val="20"/>
        </w:rPr>
        <w:t>Chaque salarié ayant conclu une convention de forfait en jours sur l’année pourra solliciter un second entretien auprès de son manager s’il l’estime nécessaire.</w:t>
      </w:r>
    </w:p>
    <w:p>
      <w:pPr>
        <w:pStyle w:val="Normal"/>
        <w:jc w:val="both"/>
        <w:rPr>
          <w:rFonts w:ascii="Gotham" w:hAnsi="Gotham" w:cs="Segoe UI"/>
          <w:sz w:val="22"/>
          <w:szCs w:val="20"/>
        </w:rPr>
      </w:pPr>
      <w:r>
        <w:rPr>
          <w:rFonts w:cs="Segoe UI" w:ascii="Gotham" w:hAnsi="Gotham"/>
          <w:sz w:val="22"/>
          <w:szCs w:val="20"/>
        </w:rPr>
      </w:r>
    </w:p>
    <w:p>
      <w:pPr>
        <w:pStyle w:val="Heading1"/>
        <w:numPr>
          <w:ilvl w:val="0"/>
          <w:numId w:val="13"/>
        </w:numPr>
        <w:rPr/>
      </w:pPr>
      <w:bookmarkStart w:id="20" w:name="__RefHeading___Toc85536078"/>
      <w:bookmarkEnd w:id="20"/>
      <w:r>
        <w:rPr/>
        <w:t>Dispositif d’alerte</w:t>
      </w:r>
    </w:p>
    <w:p>
      <w:pPr>
        <w:pStyle w:val="Normal"/>
        <w:jc w:val="both"/>
        <w:rPr>
          <w:rFonts w:ascii="Gotham" w:hAnsi="Gotham" w:cs="Segoe UI"/>
          <w:sz w:val="22"/>
          <w:szCs w:val="20"/>
        </w:rPr>
      </w:pPr>
      <w:r>
        <w:rPr>
          <w:rFonts w:cs="Segoe UI" w:ascii="Gotham" w:hAnsi="Gotham"/>
          <w:sz w:val="22"/>
          <w:szCs w:val="20"/>
        </w:rPr>
      </w:r>
    </w:p>
    <w:p>
      <w:pPr>
        <w:pStyle w:val="Normal"/>
        <w:spacing w:lineRule="auto" w:line="276"/>
        <w:jc w:val="both"/>
        <w:rPr>
          <w:rFonts w:ascii="Gotham" w:hAnsi="Gotham" w:cs="Segoe UI"/>
          <w:sz w:val="22"/>
          <w:szCs w:val="20"/>
        </w:rPr>
      </w:pPr>
      <w:r>
        <w:rPr>
          <w:rFonts w:cs="Segoe UI" w:ascii="Gotham" w:hAnsi="Gotham"/>
          <w:sz w:val="22"/>
          <w:szCs w:val="20"/>
        </w:rPr>
        <w:t>Si le salarié constate une charge de travail excessive, il devra en aviser sans délai sa hiérarchie qui organisera un entretien dans les plus brefs délais afin d’analyser la situation et de mettre en place des actions correctives, le cas échéant.</w:t>
      </w:r>
    </w:p>
    <w:p>
      <w:pPr>
        <w:pStyle w:val="Normal"/>
        <w:jc w:val="both"/>
        <w:rPr>
          <w:rFonts w:ascii="Gotham" w:hAnsi="Gotham" w:cs="Segoe UI"/>
          <w:sz w:val="22"/>
          <w:szCs w:val="20"/>
        </w:rPr>
      </w:pPr>
      <w:r>
        <w:rPr>
          <w:rFonts w:cs="Segoe UI" w:ascii="Gotham" w:hAnsi="Gotham"/>
          <w:sz w:val="22"/>
          <w:szCs w:val="20"/>
        </w:rPr>
      </w:r>
    </w:p>
    <w:p>
      <w:pPr>
        <w:pStyle w:val="Heading1"/>
        <w:numPr>
          <w:ilvl w:val="0"/>
          <w:numId w:val="13"/>
        </w:numPr>
        <w:rPr/>
      </w:pPr>
      <w:bookmarkStart w:id="21" w:name="__RefHeading___Toc85536079"/>
      <w:bookmarkEnd w:id="21"/>
      <w:r>
        <w:rPr/>
        <w:t>Droit à la déconnexion</w:t>
      </w:r>
    </w:p>
    <w:p>
      <w:pPr>
        <w:pStyle w:val="Heading1"/>
        <w:numPr>
          <w:ilvl w:val="0"/>
          <w:numId w:val="0"/>
        </w:numPr>
        <w:ind w:left="0" w:hanging="0"/>
        <w:rPr/>
      </w:pPr>
      <w:r>
        <w:rPr/>
      </w:r>
    </w:p>
    <w:p>
      <w:pPr>
        <w:pStyle w:val="Normal"/>
        <w:spacing w:lineRule="auto" w:line="276"/>
        <w:jc w:val="both"/>
        <w:rPr>
          <w:rFonts w:ascii="Gotham" w:hAnsi="Gotham" w:cs="Gotham"/>
          <w:sz w:val="22"/>
        </w:rPr>
      </w:pPr>
      <w:r>
        <w:rPr>
          <w:rFonts w:cs="Gotham" w:ascii="Gotham" w:hAnsi="Gotham"/>
          <w:sz w:val="22"/>
        </w:rPr>
        <w:t>Il n’y a aucune obligation de répondre aux mails reçus sur les smartphones professionnels entre 19h et 7h du matin, et du vendredi 19h au lundi 7h selon une organisation de travail du lundi au vendredi, sauf situation exceptionnelle et impérieuse motivée par le bon fonctionnement du service et dûment justifiée.</w:t>
      </w:r>
    </w:p>
    <w:p>
      <w:pPr>
        <w:pStyle w:val="Normal"/>
        <w:spacing w:lineRule="auto" w:line="276"/>
        <w:jc w:val="both"/>
        <w:rPr>
          <w:rFonts w:ascii="Gotham" w:hAnsi="Gotham" w:cs="Gotham"/>
          <w:sz w:val="22"/>
        </w:rPr>
      </w:pPr>
      <w:r>
        <w:rPr>
          <w:rFonts w:cs="Gotham" w:ascii="Gotham" w:hAnsi="Gotham"/>
          <w:sz w:val="22"/>
        </w:rPr>
        <w:t>Il est également rappelé dans ce cadre, que le fait de n'avoir pu être joint sur son smartphone professionnel pendant les horaires précisés ci-dessus, est dépourvu de caractère fautif.</w:t>
      </w:r>
    </w:p>
    <w:p>
      <w:pPr>
        <w:pStyle w:val="Normal"/>
        <w:spacing w:lineRule="auto" w:line="276"/>
        <w:jc w:val="both"/>
        <w:rPr>
          <w:rFonts w:ascii="Gotham" w:hAnsi="Gotham" w:cs="Gotham"/>
          <w:sz w:val="22"/>
        </w:rPr>
      </w:pPr>
      <w:r>
        <w:rPr>
          <w:rFonts w:cs="Gotham" w:ascii="Gotham" w:hAnsi="Gotham"/>
          <w:sz w:val="22"/>
        </w:rPr>
        <w:t>D’une manière générale, les managers veilleront également à la déconnexion de leur équipe. Cela passera notamment par une attitude exemplaire dans l'utilisation des outils numériques, en se déplaçant si possible pour parler à ses collaborateurs plutôt que d'envoyer un email, ou en privilégiant, tout du moins, tout moyen de nature à favoriser l’échange direct.</w:t>
      </w:r>
    </w:p>
    <w:p>
      <w:pPr>
        <w:pStyle w:val="Heading"/>
        <w:rPr/>
      </w:pPr>
      <w:bookmarkStart w:id="22" w:name="__RefHeading___Toc85536080"/>
      <w:bookmarkEnd w:id="22"/>
      <w:r>
        <w:rPr/>
        <w:t>ARTICLE 4 - CONGES</w:t>
      </w:r>
    </w:p>
    <w:p>
      <w:pPr>
        <w:pStyle w:val="Art4"/>
        <w:spacing w:before="0" w:after="0"/>
        <w:ind w:left="0" w:right="100" w:hanging="0"/>
        <w:jc w:val="both"/>
        <w:rPr>
          <w:rFonts w:ascii="Gotham" w:hAnsi="Gotham" w:cs="Gotham"/>
          <w:sz w:val="22"/>
        </w:rPr>
      </w:pPr>
      <w:r>
        <w:rPr>
          <w:rFonts w:cs="Gotham" w:ascii="Gotham" w:hAnsi="Gotham"/>
          <w:sz w:val="22"/>
        </w:rPr>
      </w:r>
    </w:p>
    <w:p>
      <w:pPr>
        <w:pStyle w:val="Heading1"/>
        <w:numPr>
          <w:ilvl w:val="0"/>
          <w:numId w:val="14"/>
        </w:numPr>
        <w:rPr/>
      </w:pPr>
      <w:bookmarkStart w:id="23" w:name="__RefHeading___Toc85536081"/>
      <w:bookmarkEnd w:id="23"/>
      <w:r>
        <w:rPr/>
        <w:t>Congés annuels payés</w:t>
      </w:r>
    </w:p>
    <w:p>
      <w:pPr>
        <w:pStyle w:val="Heading1"/>
        <w:numPr>
          <w:ilvl w:val="0"/>
          <w:numId w:val="0"/>
        </w:numPr>
        <w:ind w:left="720" w:hanging="0"/>
        <w:rPr/>
      </w:pPr>
      <w:r>
        <w:rPr/>
      </w:r>
    </w:p>
    <w:p>
      <w:pPr>
        <w:pStyle w:val="Normal"/>
        <w:spacing w:lineRule="auto" w:line="276"/>
        <w:jc w:val="both"/>
        <w:rPr/>
      </w:pPr>
      <w:r>
        <w:rPr>
          <w:rFonts w:cs="Gotham" w:ascii="Gotham" w:hAnsi="Gotham"/>
          <w:sz w:val="22"/>
        </w:rPr>
        <w:t>Les salariés bénéficient chaque année d’un droit à congés payés dont la durée est déterminée à raison de 2,5 jours ouvrés par mois de travail effectif ou période assimilée à du temps de travail effectif, soit 30 jours ouvrés par an.</w:t>
      </w:r>
    </w:p>
    <w:p>
      <w:pPr>
        <w:pStyle w:val="Normal"/>
        <w:spacing w:lineRule="auto" w:line="276"/>
        <w:jc w:val="both"/>
        <w:rPr/>
      </w:pPr>
      <w:r>
        <w:rPr>
          <w:rFonts w:cs="Gotham" w:ascii="Gotham" w:hAnsi="Gotham"/>
          <w:sz w:val="22"/>
        </w:rPr>
        <w:t>La période de référence pour le calcul des droits à congés est fixée du 1</w:t>
      </w:r>
      <w:r>
        <w:rPr>
          <w:rFonts w:cs="Gotham" w:ascii="Gotham" w:hAnsi="Gotham"/>
          <w:sz w:val="22"/>
          <w:vertAlign w:val="superscript"/>
        </w:rPr>
        <w:t>er</w:t>
      </w:r>
      <w:r>
        <w:rPr>
          <w:rFonts w:cs="Gotham" w:ascii="Gotham" w:hAnsi="Gotham"/>
          <w:sz w:val="22"/>
        </w:rPr>
        <w:t xml:space="preserve"> juin de l’année N au 31 mai de l’année N+1. </w:t>
      </w:r>
    </w:p>
    <w:p>
      <w:pPr>
        <w:pStyle w:val="Para"/>
        <w:spacing w:lineRule="auto" w:line="276" w:before="0" w:after="0"/>
        <w:ind w:left="0" w:right="100" w:hanging="0"/>
        <w:jc w:val="both"/>
        <w:rPr>
          <w:rFonts w:ascii="Gotham" w:hAnsi="Gotham" w:cs="Gotham"/>
          <w:sz w:val="22"/>
        </w:rPr>
      </w:pPr>
      <w:r>
        <w:rPr>
          <w:rFonts w:cs="Gotham" w:ascii="Gotham" w:hAnsi="Gotham"/>
          <w:sz w:val="22"/>
        </w:rPr>
        <w:t>La période de prise de ces congés s’étend du 1</w:t>
      </w:r>
      <w:r>
        <w:rPr>
          <w:rFonts w:cs="Gotham" w:ascii="Gotham" w:hAnsi="Gotham"/>
          <w:sz w:val="22"/>
          <w:vertAlign w:val="superscript"/>
        </w:rPr>
        <w:t>er</w:t>
      </w:r>
      <w:r>
        <w:rPr>
          <w:rFonts w:cs="Gotham" w:ascii="Gotham" w:hAnsi="Gotham"/>
          <w:sz w:val="22"/>
        </w:rPr>
        <w:t xml:space="preserve"> juin de l’année N+1 au 31 mai de l’année N+2.  </w:t>
      </w:r>
    </w:p>
    <w:p>
      <w:pPr>
        <w:pStyle w:val="Para"/>
        <w:spacing w:lineRule="auto" w:line="276" w:before="0" w:after="0"/>
        <w:ind w:left="0" w:right="100" w:hanging="0"/>
        <w:jc w:val="both"/>
        <w:rPr>
          <w:rFonts w:ascii="Gotham" w:hAnsi="Gotham" w:cs="Gotham"/>
          <w:sz w:val="22"/>
        </w:rPr>
      </w:pPr>
      <w:r>
        <w:rPr>
          <w:rFonts w:cs="Gotham" w:ascii="Gotham" w:hAnsi="Gotham"/>
          <w:sz w:val="22"/>
          <w:szCs w:val="22"/>
        </w:rPr>
        <w:t>Les salariés n’ayant pas pris la totalité de leurs droits à congés payés sur la période de référence du 1</w:t>
      </w:r>
      <w:r>
        <w:rPr>
          <w:rFonts w:cs="Gotham" w:ascii="Gotham" w:hAnsi="Gotham"/>
          <w:sz w:val="22"/>
          <w:szCs w:val="22"/>
          <w:vertAlign w:val="superscript"/>
        </w:rPr>
        <w:t>er</w:t>
      </w:r>
      <w:r>
        <w:rPr>
          <w:rFonts w:cs="Gotham" w:ascii="Gotham" w:hAnsi="Gotham"/>
          <w:sz w:val="22"/>
          <w:szCs w:val="22"/>
        </w:rPr>
        <w:t xml:space="preserve"> juin de l’année N au 31 mai de l’année N+1 du fait d’un arrêt maladie, accident du travail, maladie professionnelle ou congé parental non rémunéré, pourront par exception reporter les jours non pris à partir du 1</w:t>
      </w:r>
      <w:r>
        <w:rPr>
          <w:rFonts w:cs="Gotham" w:ascii="Gotham" w:hAnsi="Gotham"/>
          <w:sz w:val="22"/>
          <w:szCs w:val="22"/>
          <w:vertAlign w:val="superscript"/>
        </w:rPr>
        <w:t>er</w:t>
      </w:r>
      <w:r>
        <w:rPr>
          <w:rFonts w:cs="Gotham" w:ascii="Gotham" w:hAnsi="Gotham"/>
          <w:sz w:val="22"/>
          <w:szCs w:val="22"/>
        </w:rPr>
        <w:t xml:space="preserve"> juin de l’année N+1 dans la limite des jours non pris pour ce motif sur la période de référence pour leur prise.</w:t>
      </w:r>
    </w:p>
    <w:p>
      <w:pPr>
        <w:pStyle w:val="Para"/>
        <w:spacing w:lineRule="auto" w:line="276" w:before="0" w:after="0"/>
        <w:ind w:left="0" w:right="100" w:hanging="0"/>
        <w:jc w:val="both"/>
        <w:rPr>
          <w:rFonts w:ascii="Gotham" w:hAnsi="Gotham" w:cs="Gotham"/>
          <w:sz w:val="22"/>
        </w:rPr>
      </w:pPr>
      <w:r>
        <w:rPr>
          <w:rFonts w:cs="Gotham" w:ascii="Gotham" w:hAnsi="Gotham"/>
          <w:sz w:val="22"/>
        </w:rPr>
        <w:t>Cette possibilité reste soumise à l’approbation du manager et de la DRH.</w:t>
      </w:r>
    </w:p>
    <w:p>
      <w:pPr>
        <w:pStyle w:val="Para"/>
        <w:spacing w:before="0" w:after="0"/>
        <w:ind w:left="0" w:right="100" w:hanging="0"/>
        <w:jc w:val="both"/>
        <w:rPr>
          <w:rFonts w:ascii="Gotham" w:hAnsi="Gotham" w:cs="Gotham"/>
          <w:sz w:val="22"/>
        </w:rPr>
      </w:pPr>
      <w:r>
        <w:rPr>
          <w:rFonts w:cs="Gotham" w:ascii="Gotham" w:hAnsi="Gotham"/>
          <w:sz w:val="22"/>
        </w:rPr>
      </w:r>
    </w:p>
    <w:p>
      <w:pPr>
        <w:pStyle w:val="Heading1"/>
        <w:numPr>
          <w:ilvl w:val="0"/>
          <w:numId w:val="14"/>
        </w:numPr>
        <w:rPr/>
      </w:pPr>
      <w:bookmarkStart w:id="24" w:name="__RefHeading___Toc85536082"/>
      <w:bookmarkEnd w:id="24"/>
      <w:r>
        <w:rPr/>
        <w:t>Congés d’ancienneté</w:t>
      </w:r>
    </w:p>
    <w:p>
      <w:pPr>
        <w:pStyle w:val="Para"/>
        <w:spacing w:before="0" w:after="0"/>
        <w:ind w:left="0" w:right="100" w:hanging="0"/>
        <w:jc w:val="both"/>
        <w:rPr>
          <w:rFonts w:ascii="Gotham" w:hAnsi="Gotham" w:cs="Gotham"/>
          <w:sz w:val="22"/>
        </w:rPr>
      </w:pPr>
      <w:r>
        <w:rPr>
          <w:rFonts w:cs="Gotham" w:ascii="Gotham" w:hAnsi="Gotham"/>
          <w:sz w:val="22"/>
        </w:rPr>
      </w:r>
    </w:p>
    <w:p>
      <w:pPr>
        <w:pStyle w:val="Normal"/>
        <w:spacing w:lineRule="auto" w:line="276"/>
        <w:jc w:val="both"/>
        <w:rPr>
          <w:rFonts w:ascii="Gotham" w:hAnsi="Gotham" w:cs="Arial"/>
          <w:sz w:val="22"/>
        </w:rPr>
      </w:pPr>
      <w:r>
        <w:rPr>
          <w:rFonts w:cs="Gotham" w:ascii="Gotham" w:hAnsi="Gotham"/>
          <w:sz w:val="22"/>
        </w:rPr>
        <w:t xml:space="preserve">Pour la CCNGCEI, il sera fait application des congés supplémentaires prévus par la </w:t>
      </w:r>
      <w:r>
        <w:rPr>
          <w:rFonts w:cs="Arial" w:ascii="Gotham" w:hAnsi="Gotham"/>
          <w:sz w:val="22"/>
        </w:rPr>
        <w:t>Convention Collective :</w:t>
      </w:r>
    </w:p>
    <w:p>
      <w:pPr>
        <w:pStyle w:val="Normal"/>
        <w:spacing w:lineRule="auto" w:line="276"/>
        <w:jc w:val="both"/>
        <w:rPr>
          <w:rFonts w:ascii="Gotham" w:hAnsi="Gotham" w:cs="Arial"/>
          <w:sz w:val="22"/>
        </w:rPr>
      </w:pPr>
      <w:r>
        <w:rPr>
          <w:rFonts w:cs="Arial" w:ascii="Gotham" w:hAnsi="Gotham"/>
          <w:sz w:val="22"/>
        </w:rPr>
      </w:r>
    </w:p>
    <w:p>
      <w:pPr>
        <w:pStyle w:val="Normal"/>
        <w:numPr>
          <w:ilvl w:val="0"/>
          <w:numId w:val="3"/>
        </w:numPr>
        <w:spacing w:lineRule="auto" w:line="276"/>
        <w:jc w:val="both"/>
        <w:rPr>
          <w:rFonts w:ascii="Gotham" w:hAnsi="Gotham" w:cs="Arial"/>
          <w:sz w:val="22"/>
        </w:rPr>
      </w:pPr>
      <w:r>
        <w:rPr>
          <w:rFonts w:cs="Arial" w:ascii="Gotham" w:hAnsi="Gotham"/>
          <w:sz w:val="22"/>
        </w:rPr>
        <w:t xml:space="preserve">1 jour ouvrable après 10 ans </w:t>
      </w:r>
    </w:p>
    <w:p>
      <w:pPr>
        <w:pStyle w:val="Normal"/>
        <w:numPr>
          <w:ilvl w:val="0"/>
          <w:numId w:val="3"/>
        </w:numPr>
        <w:spacing w:lineRule="auto" w:line="276"/>
        <w:jc w:val="both"/>
        <w:rPr>
          <w:rFonts w:ascii="Gotham" w:hAnsi="Gotham" w:cs="Arial"/>
          <w:sz w:val="22"/>
        </w:rPr>
      </w:pPr>
      <w:r>
        <w:rPr>
          <w:rFonts w:cs="Arial" w:ascii="Gotham" w:hAnsi="Gotham"/>
          <w:sz w:val="22"/>
        </w:rPr>
        <w:t xml:space="preserve">2 jours ouvrables après 15 ans </w:t>
      </w:r>
    </w:p>
    <w:p>
      <w:pPr>
        <w:pStyle w:val="Normal"/>
        <w:numPr>
          <w:ilvl w:val="0"/>
          <w:numId w:val="3"/>
        </w:numPr>
        <w:spacing w:lineRule="auto" w:line="276"/>
        <w:jc w:val="both"/>
        <w:rPr>
          <w:rFonts w:ascii="Gotham" w:hAnsi="Gotham" w:cs="Arial"/>
          <w:sz w:val="22"/>
        </w:rPr>
      </w:pPr>
      <w:r>
        <w:rPr>
          <w:rFonts w:cs="Arial" w:ascii="Gotham" w:hAnsi="Gotham"/>
          <w:sz w:val="22"/>
        </w:rPr>
        <w:t>3 jours ouvrables après 20 ans</w:t>
      </w:r>
    </w:p>
    <w:p>
      <w:pPr>
        <w:pStyle w:val="Normal"/>
        <w:numPr>
          <w:ilvl w:val="0"/>
          <w:numId w:val="3"/>
        </w:numPr>
        <w:spacing w:lineRule="auto" w:line="276"/>
        <w:jc w:val="both"/>
        <w:rPr>
          <w:rFonts w:ascii="Gotham" w:hAnsi="Gotham" w:cs="Arial"/>
          <w:sz w:val="22"/>
        </w:rPr>
      </w:pPr>
      <w:r>
        <w:rPr>
          <w:rFonts w:cs="Arial" w:ascii="Gotham" w:hAnsi="Gotham"/>
          <w:sz w:val="22"/>
        </w:rPr>
        <w:t>4 jours ouvrables après 25 ans</w:t>
      </w:r>
    </w:p>
    <w:p>
      <w:pPr>
        <w:pStyle w:val="Normal"/>
        <w:spacing w:lineRule="auto" w:line="276"/>
        <w:jc w:val="both"/>
        <w:rPr>
          <w:rFonts w:ascii="Gotham" w:hAnsi="Gotham" w:cs="Arial"/>
          <w:sz w:val="22"/>
        </w:rPr>
      </w:pPr>
      <w:r>
        <w:rPr>
          <w:rFonts w:cs="Arial" w:ascii="Gotham" w:hAnsi="Gotham"/>
          <w:sz w:val="22"/>
        </w:rPr>
      </w:r>
    </w:p>
    <w:p>
      <w:pPr>
        <w:pStyle w:val="Normal"/>
        <w:spacing w:lineRule="auto" w:line="276"/>
        <w:jc w:val="both"/>
        <w:rPr/>
      </w:pPr>
      <w:r>
        <w:rPr>
          <w:rFonts w:cs="Arial" w:ascii="Gotham" w:hAnsi="Gotham"/>
          <w:sz w:val="22"/>
        </w:rPr>
        <w:t>Pour la CCNI, la SEMCODA décide d’accorder :</w:t>
      </w:r>
    </w:p>
    <w:p>
      <w:pPr>
        <w:pStyle w:val="Normal"/>
        <w:spacing w:lineRule="auto" w:line="276"/>
        <w:jc w:val="both"/>
        <w:rPr>
          <w:rFonts w:ascii="Gotham" w:hAnsi="Gotham" w:cs="Arial"/>
          <w:sz w:val="22"/>
        </w:rPr>
      </w:pPr>
      <w:r>
        <w:rPr>
          <w:rFonts w:cs="Arial" w:ascii="Gotham" w:hAnsi="Gotham"/>
          <w:sz w:val="22"/>
        </w:rPr>
      </w:r>
    </w:p>
    <w:p>
      <w:pPr>
        <w:pStyle w:val="Normal"/>
        <w:numPr>
          <w:ilvl w:val="0"/>
          <w:numId w:val="2"/>
        </w:numPr>
        <w:spacing w:lineRule="auto" w:line="276"/>
        <w:jc w:val="both"/>
        <w:rPr>
          <w:rFonts w:ascii="Gotham" w:hAnsi="Gotham" w:cs="Arial"/>
          <w:sz w:val="22"/>
        </w:rPr>
      </w:pPr>
      <w:r>
        <w:rPr>
          <w:rFonts w:eastAsia="Gotham" w:cs="Gotham" w:ascii="Gotham" w:hAnsi="Gotham"/>
          <w:sz w:val="22"/>
        </w:rPr>
        <w:t xml:space="preserve"> </w:t>
      </w:r>
      <w:r>
        <w:rPr>
          <w:rFonts w:cs="Arial" w:ascii="Gotham" w:hAnsi="Gotham"/>
          <w:sz w:val="22"/>
        </w:rPr>
        <w:t>1 jour de congé après 5 ans</w:t>
      </w:r>
    </w:p>
    <w:p>
      <w:pPr>
        <w:pStyle w:val="Normal"/>
        <w:numPr>
          <w:ilvl w:val="0"/>
          <w:numId w:val="2"/>
        </w:numPr>
        <w:spacing w:lineRule="auto" w:line="276"/>
        <w:jc w:val="both"/>
        <w:rPr>
          <w:rFonts w:ascii="Gotham" w:hAnsi="Gotham" w:cs="Arial"/>
          <w:sz w:val="22"/>
        </w:rPr>
      </w:pPr>
      <w:r>
        <w:rPr>
          <w:rFonts w:cs="Arial" w:ascii="Gotham" w:hAnsi="Gotham"/>
          <w:sz w:val="22"/>
        </w:rPr>
        <w:t xml:space="preserve">2 jours de congé après 10 ans </w:t>
      </w:r>
    </w:p>
    <w:p>
      <w:pPr>
        <w:pStyle w:val="Normal"/>
        <w:numPr>
          <w:ilvl w:val="0"/>
          <w:numId w:val="2"/>
        </w:numPr>
        <w:spacing w:lineRule="auto" w:line="276"/>
        <w:jc w:val="both"/>
        <w:rPr>
          <w:rFonts w:ascii="Gotham" w:hAnsi="Gotham" w:cs="Arial"/>
          <w:sz w:val="22"/>
        </w:rPr>
      </w:pPr>
      <w:r>
        <w:rPr>
          <w:rFonts w:cs="Arial" w:ascii="Gotham" w:hAnsi="Gotham"/>
          <w:sz w:val="22"/>
        </w:rPr>
        <w:t>3 jours de congé après 15 ans</w:t>
      </w:r>
    </w:p>
    <w:p>
      <w:pPr>
        <w:pStyle w:val="Normal"/>
        <w:spacing w:lineRule="auto" w:line="276"/>
        <w:jc w:val="both"/>
        <w:rPr>
          <w:rFonts w:ascii="Gotham" w:hAnsi="Gotham" w:cs="Arial"/>
          <w:sz w:val="22"/>
        </w:rPr>
      </w:pPr>
      <w:r>
        <w:rPr>
          <w:rFonts w:cs="Arial" w:ascii="Gotham" w:hAnsi="Gotham"/>
          <w:sz w:val="22"/>
        </w:rPr>
      </w:r>
    </w:p>
    <w:p>
      <w:pPr>
        <w:pStyle w:val="Normal"/>
        <w:spacing w:lineRule="auto" w:line="276"/>
        <w:jc w:val="both"/>
        <w:rPr>
          <w:rFonts w:ascii="Gotham" w:hAnsi="Gotham" w:cs="Arial"/>
          <w:sz w:val="22"/>
        </w:rPr>
      </w:pPr>
      <w:r>
        <w:rPr>
          <w:rFonts w:cs="Arial" w:ascii="Gotham" w:hAnsi="Gotham"/>
          <w:sz w:val="22"/>
        </w:rPr>
        <w:t>Les congés d’ancienneté sont plafonnés à 3 jours.</w:t>
      </w:r>
    </w:p>
    <w:p>
      <w:pPr>
        <w:pStyle w:val="Normal"/>
        <w:spacing w:lineRule="auto" w:line="276"/>
        <w:jc w:val="both"/>
        <w:rPr>
          <w:rFonts w:ascii="Gotham" w:hAnsi="Gotham" w:cs="Arial"/>
          <w:sz w:val="22"/>
        </w:rPr>
      </w:pPr>
      <w:r>
        <w:rPr>
          <w:rFonts w:cs="Arial" w:ascii="Gotham" w:hAnsi="Gotham"/>
          <w:sz w:val="22"/>
        </w:rPr>
        <w:t>Les salariés ayant déjà acquis plus de 3 jours d’ancienneté à la date d’entrée en vigueur du présent accord conserveront le nombre de jours acquis avant cette date.</w:t>
      </w:r>
    </w:p>
    <w:p>
      <w:pPr>
        <w:pStyle w:val="Normal"/>
        <w:spacing w:lineRule="auto" w:line="276"/>
        <w:jc w:val="both"/>
        <w:rPr>
          <w:rFonts w:ascii="Gotham" w:hAnsi="Gotham" w:cs="Arial"/>
          <w:sz w:val="22"/>
        </w:rPr>
      </w:pPr>
      <w:r>
        <w:rPr>
          <w:rFonts w:cs="Arial" w:ascii="Gotham" w:hAnsi="Gotham"/>
          <w:sz w:val="22"/>
        </w:rPr>
      </w:r>
    </w:p>
    <w:p>
      <w:pPr>
        <w:pStyle w:val="Heading1"/>
        <w:numPr>
          <w:ilvl w:val="0"/>
          <w:numId w:val="14"/>
        </w:numPr>
        <w:rPr/>
      </w:pPr>
      <w:bookmarkStart w:id="25" w:name="__RefHeading___Toc85536083"/>
      <w:bookmarkEnd w:id="25"/>
      <w:r>
        <w:rPr/>
        <w:t>Congés pour évènements familiaux</w:t>
      </w:r>
    </w:p>
    <w:p>
      <w:pPr>
        <w:pStyle w:val="Heading1"/>
        <w:numPr>
          <w:ilvl w:val="0"/>
          <w:numId w:val="0"/>
        </w:numPr>
        <w:ind w:left="720" w:hanging="0"/>
        <w:rPr/>
      </w:pPr>
      <w:r>
        <w:rPr/>
      </w:r>
    </w:p>
    <w:p>
      <w:pPr>
        <w:pStyle w:val="Textesimple"/>
        <w:spacing w:lineRule="auto" w:line="276"/>
        <w:ind w:right="-286" w:hanging="0"/>
        <w:rPr>
          <w:rFonts w:ascii="Gotham" w:hAnsi="Gotham" w:cs="Arial"/>
          <w:color w:val="000000"/>
          <w:sz w:val="22"/>
          <w:szCs w:val="22"/>
        </w:rPr>
      </w:pPr>
      <w:r>
        <w:rPr>
          <w:rFonts w:cs="Arial" w:ascii="Gotham" w:hAnsi="Gotham"/>
          <w:color w:val="000000"/>
          <w:sz w:val="22"/>
          <w:szCs w:val="22"/>
        </w:rPr>
        <w:t>Les jours de congés pour évènements sont communs à tout salarié sans distinction de statut et convention. Ceux-ci sont les suivants :</w:t>
      </w:r>
    </w:p>
    <w:p>
      <w:pPr>
        <w:pStyle w:val="Textesimple"/>
        <w:spacing w:lineRule="auto" w:line="276"/>
        <w:ind w:right="-286" w:hanging="0"/>
        <w:rPr>
          <w:rFonts w:ascii="Bosch Office Sans;Times New Roman" w:hAnsi="Bosch Office Sans;Times New Roman" w:cs="Arial"/>
          <w:color w:val="000000"/>
          <w:sz w:val="12"/>
          <w:szCs w:val="22"/>
        </w:rPr>
      </w:pPr>
      <w:r>
        <w:rPr>
          <w:rFonts w:cs="Arial" w:ascii="Bosch Office Sans;Times New Roman" w:hAnsi="Bosch Office Sans;Times New Roman"/>
          <w:color w:val="000000"/>
          <w:sz w:val="12"/>
          <w:szCs w:val="22"/>
        </w:rPr>
      </w:r>
    </w:p>
    <w:tbl>
      <w:tblPr>
        <w:tblW w:w="9381" w:type="dxa"/>
        <w:jc w:val="left"/>
        <w:tblInd w:w="-5" w:type="dxa"/>
        <w:tblBorders>
          <w:top w:val="single" w:sz="4" w:space="0" w:color="FFFFFF"/>
          <w:left w:val="single" w:sz="4" w:space="0" w:color="FFFFFF"/>
          <w:bottom w:val="single" w:sz="4" w:space="0" w:color="FFFFFF"/>
          <w:insideH w:val="single" w:sz="4" w:space="0" w:color="FFFFFF"/>
        </w:tblBorders>
        <w:tblCellMar>
          <w:top w:w="15" w:type="dxa"/>
          <w:left w:w="10" w:type="dxa"/>
          <w:bottom w:w="0" w:type="dxa"/>
          <w:right w:w="15" w:type="dxa"/>
        </w:tblCellMar>
      </w:tblPr>
      <w:tblGrid>
        <w:gridCol w:w="1858"/>
        <w:gridCol w:w="5528"/>
        <w:gridCol w:w="50"/>
        <w:gridCol w:w="1945"/>
      </w:tblGrid>
      <w:tr>
        <w:trPr>
          <w:trHeight w:val="252" w:hRule="atLeast"/>
        </w:trPr>
        <w:tc>
          <w:tcPr>
            <w:tcW w:w="1858" w:type="dxa"/>
            <w:vMerge w:val="restart"/>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Mariage</w:t>
            </w:r>
          </w:p>
        </w:tc>
        <w:tc>
          <w:tcPr>
            <w:tcW w:w="5528" w:type="dxa"/>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ind w:right="722" w:hanging="0"/>
              <w:textAlignment w:val="center"/>
              <w:rPr>
                <w:rFonts w:ascii="Gotham" w:hAnsi="Gotham" w:cs="Arial"/>
                <w:sz w:val="22"/>
                <w:szCs w:val="22"/>
                <w:lang w:val="en-US" w:eastAsia="en-US"/>
              </w:rPr>
            </w:pPr>
            <w:r>
              <w:rPr>
                <w:rFonts w:cs="Arial" w:ascii="Gotham" w:hAnsi="Gotham"/>
                <w:sz w:val="22"/>
                <w:szCs w:val="22"/>
                <w:lang w:val="en-US" w:eastAsia="en-US"/>
              </w:rPr>
              <w:t>Mariage du salarié</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5 jours ouvrés</w:t>
            </w:r>
          </w:p>
        </w:tc>
      </w:tr>
      <w:tr>
        <w:trPr>
          <w:trHeight w:val="252" w:hRule="atLeast"/>
        </w:trPr>
        <w:tc>
          <w:tcPr>
            <w:tcW w:w="1858" w:type="dxa"/>
            <w:vMerge w:val="continue"/>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5528" w:type="dxa"/>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textAlignment w:val="center"/>
              <w:rPr>
                <w:rFonts w:ascii="Gotham" w:hAnsi="Gotham" w:cs="Arial"/>
                <w:sz w:val="22"/>
                <w:szCs w:val="22"/>
                <w:lang w:eastAsia="en-US"/>
              </w:rPr>
            </w:pPr>
            <w:r>
              <w:rPr>
                <w:rFonts w:cs="Arial" w:ascii="Gotham" w:hAnsi="Gotham"/>
                <w:sz w:val="22"/>
                <w:szCs w:val="22"/>
                <w:lang w:eastAsia="en-US"/>
              </w:rPr>
              <w:t>Conclusion du PACS par le salarié</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eastAsia="en-US"/>
              </w:rPr>
            </w:pPr>
            <w:r>
              <w:rPr>
                <w:rFonts w:cs="Arial" w:ascii="Gotham" w:hAnsi="Gotham"/>
                <w:sz w:val="22"/>
                <w:szCs w:val="22"/>
                <w:lang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5 jours ouvrés</w:t>
            </w:r>
          </w:p>
        </w:tc>
      </w:tr>
      <w:tr>
        <w:trPr>
          <w:trHeight w:val="252" w:hRule="atLeast"/>
        </w:trPr>
        <w:tc>
          <w:tcPr>
            <w:tcW w:w="1858" w:type="dxa"/>
            <w:vMerge w:val="continue"/>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5528" w:type="dxa"/>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textAlignment w:val="center"/>
              <w:rPr>
                <w:rFonts w:ascii="Gotham" w:hAnsi="Gotham" w:cs="Arial"/>
                <w:sz w:val="22"/>
                <w:szCs w:val="22"/>
                <w:lang w:eastAsia="en-US"/>
              </w:rPr>
            </w:pPr>
            <w:r>
              <w:rPr>
                <w:rFonts w:cs="Arial" w:ascii="Gotham" w:hAnsi="Gotham"/>
                <w:sz w:val="22"/>
                <w:szCs w:val="22"/>
                <w:lang w:eastAsia="en-US"/>
              </w:rPr>
              <w:t>Mariage ascendant, frère, sœur.</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eastAsia="en-US"/>
              </w:rPr>
            </w:pPr>
            <w:r>
              <w:rPr>
                <w:rFonts w:cs="Arial" w:ascii="Gotham" w:hAnsi="Gotham"/>
                <w:sz w:val="22"/>
                <w:szCs w:val="22"/>
                <w:lang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1 jour ouvrable</w:t>
            </w:r>
          </w:p>
        </w:tc>
      </w:tr>
      <w:tr>
        <w:trPr>
          <w:trHeight w:val="176" w:hRule="atLeast"/>
        </w:trPr>
        <w:tc>
          <w:tcPr>
            <w:tcW w:w="1858" w:type="dxa"/>
            <w:vMerge w:val="continue"/>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5528" w:type="dxa"/>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textAlignment w:val="center"/>
              <w:rPr>
                <w:rFonts w:ascii="Gotham" w:hAnsi="Gotham" w:cs="Arial"/>
                <w:sz w:val="22"/>
                <w:szCs w:val="22"/>
                <w:lang w:val="en-US" w:eastAsia="en-US"/>
              </w:rPr>
            </w:pPr>
            <w:r>
              <w:rPr>
                <w:rFonts w:cs="Arial" w:ascii="Gotham" w:hAnsi="Gotham"/>
                <w:sz w:val="22"/>
                <w:szCs w:val="22"/>
                <w:lang w:val="en-US" w:eastAsia="en-US"/>
              </w:rPr>
              <w:t>Mariage d'un enfant</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2 jours ouvrables</w:t>
            </w:r>
          </w:p>
        </w:tc>
      </w:tr>
      <w:tr>
        <w:trPr>
          <w:trHeight w:val="604" w:hRule="atLeast"/>
        </w:trPr>
        <w:tc>
          <w:tcPr>
            <w:tcW w:w="1858" w:type="dxa"/>
            <w:tcBorders>
              <w:top w:val="single" w:sz="4" w:space="0" w:color="FFFFFF"/>
              <w:left w:val="single" w:sz="4" w:space="0" w:color="FFFFFF"/>
              <w:bottom w:val="single" w:sz="4" w:space="0" w:color="FFFFFF"/>
              <w:insideH w:val="single" w:sz="4" w:space="0" w:color="FFFFFF"/>
            </w:tcBorders>
            <w:shd w:fill="BDD6EE" w:val="clear"/>
            <w:tcMar>
              <w:left w:w="1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Naissance</w:t>
            </w:r>
          </w:p>
        </w:tc>
        <w:tc>
          <w:tcPr>
            <w:tcW w:w="5528" w:type="dxa"/>
            <w:tcBorders>
              <w:top w:val="single" w:sz="4" w:space="0" w:color="FFFFFF"/>
              <w:left w:val="single" w:sz="4" w:space="0" w:color="FFFFFF"/>
              <w:bottom w:val="single" w:sz="4" w:space="0" w:color="FFFFFF"/>
              <w:insideH w:val="single" w:sz="4" w:space="0" w:color="FFFFFF"/>
            </w:tcBorders>
            <w:shd w:fill="BDD6EE" w:val="clear"/>
            <w:tcMar>
              <w:top w:w="0" w:type="dxa"/>
              <w:left w:w="-5" w:type="dxa"/>
              <w:right w:w="0" w:type="dxa"/>
            </w:tcMar>
            <w:vAlign w:val="center"/>
          </w:tcPr>
          <w:p>
            <w:pPr>
              <w:pStyle w:val="Normal"/>
              <w:textAlignment w:val="center"/>
              <w:rPr>
                <w:rFonts w:ascii="Gotham" w:hAnsi="Gotham" w:cs="Arial"/>
                <w:sz w:val="22"/>
                <w:szCs w:val="22"/>
                <w:lang w:eastAsia="en-US"/>
              </w:rPr>
            </w:pPr>
            <w:r>
              <w:rPr>
                <w:rFonts w:cs="Arial" w:ascii="Gotham" w:hAnsi="Gotham"/>
                <w:sz w:val="22"/>
                <w:szCs w:val="22"/>
                <w:lang w:eastAsia="en-US"/>
              </w:rPr>
              <w:t>Naissance survenue à son foyer ou arrivée d'un enfant placé en vue de son adoption</w:t>
            </w:r>
          </w:p>
        </w:tc>
        <w:tc>
          <w:tcPr>
            <w:tcW w:w="50" w:type="dxa"/>
            <w:tcBorders>
              <w:left w:val="single" w:sz="4" w:space="0" w:color="FFFFFF"/>
            </w:tcBorders>
            <w:shd w:fill="BDD6EE" w:val="clear"/>
            <w:tcMar>
              <w:top w:w="0" w:type="dxa"/>
              <w:left w:w="-5" w:type="dxa"/>
              <w:right w:w="0" w:type="dxa"/>
            </w:tcMar>
            <w:vAlign w:val="center"/>
          </w:tcPr>
          <w:p>
            <w:pPr>
              <w:pStyle w:val="Normal"/>
              <w:snapToGrid w:val="false"/>
              <w:rPr>
                <w:rFonts w:ascii="Gotham" w:hAnsi="Gotham" w:cs="Arial"/>
                <w:sz w:val="22"/>
                <w:szCs w:val="22"/>
                <w:lang w:eastAsia="en-US"/>
              </w:rPr>
            </w:pPr>
            <w:r>
              <w:rPr>
                <w:rFonts w:cs="Arial" w:ascii="Gotham" w:hAnsi="Gotham"/>
                <w:sz w:val="22"/>
                <w:szCs w:val="22"/>
                <w:lang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BDD6EE"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3 jours ouvrés</w:t>
            </w:r>
          </w:p>
        </w:tc>
      </w:tr>
      <w:tr>
        <w:trPr>
          <w:trHeight w:val="252" w:hRule="atLeast"/>
        </w:trPr>
        <w:tc>
          <w:tcPr>
            <w:tcW w:w="1858" w:type="dxa"/>
            <w:vMerge w:val="restart"/>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Décès</w:t>
            </w:r>
          </w:p>
        </w:tc>
        <w:tc>
          <w:tcPr>
            <w:tcW w:w="5528" w:type="dxa"/>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textAlignment w:val="center"/>
              <w:rPr>
                <w:rFonts w:ascii="Gotham" w:hAnsi="Gotham" w:cs="Arial"/>
                <w:sz w:val="22"/>
                <w:szCs w:val="22"/>
                <w:lang w:val="en-US" w:eastAsia="en-US"/>
              </w:rPr>
            </w:pPr>
            <w:r>
              <w:rPr>
                <w:rFonts w:cs="Arial" w:ascii="Gotham" w:hAnsi="Gotham"/>
                <w:sz w:val="22"/>
                <w:szCs w:val="22"/>
                <w:lang w:val="en-US" w:eastAsia="en-US"/>
              </w:rPr>
              <w:t>Décès d'un enfant</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3 jours ouvrés</w:t>
            </w:r>
          </w:p>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(5 jours ouvrés si l’enfant a moins de 25 ans)</w:t>
            </w:r>
          </w:p>
        </w:tc>
      </w:tr>
      <w:tr>
        <w:trPr>
          <w:trHeight w:val="252" w:hRule="atLeast"/>
        </w:trPr>
        <w:tc>
          <w:tcPr>
            <w:tcW w:w="1858" w:type="dxa"/>
            <w:vMerge w:val="continue"/>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5528" w:type="dxa"/>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textAlignment w:val="center"/>
              <w:rPr>
                <w:rFonts w:ascii="Gotham" w:hAnsi="Gotham" w:cs="Arial"/>
                <w:sz w:val="22"/>
                <w:szCs w:val="22"/>
                <w:lang w:eastAsia="en-US"/>
              </w:rPr>
            </w:pPr>
            <w:r>
              <w:rPr>
                <w:rFonts w:cs="Arial" w:ascii="Gotham" w:hAnsi="Gotham"/>
                <w:sz w:val="22"/>
                <w:szCs w:val="22"/>
                <w:lang w:eastAsia="en-US"/>
              </w:rPr>
              <w:t>Décès du conjoint, partenaire de PACS ou concubin</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eastAsia="en-US"/>
              </w:rPr>
            </w:pPr>
            <w:r>
              <w:rPr>
                <w:rFonts w:cs="Arial" w:ascii="Gotham" w:hAnsi="Gotham"/>
                <w:sz w:val="22"/>
                <w:szCs w:val="22"/>
                <w:lang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3 jours ouvrés</w:t>
            </w:r>
          </w:p>
        </w:tc>
      </w:tr>
      <w:tr>
        <w:trPr>
          <w:trHeight w:val="252" w:hRule="atLeast"/>
        </w:trPr>
        <w:tc>
          <w:tcPr>
            <w:tcW w:w="1858" w:type="dxa"/>
            <w:vMerge w:val="continue"/>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5528" w:type="dxa"/>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textAlignment w:val="center"/>
              <w:rPr>
                <w:rFonts w:ascii="Gotham" w:hAnsi="Gotham" w:cs="Arial"/>
                <w:sz w:val="22"/>
                <w:szCs w:val="22"/>
                <w:lang w:eastAsia="en-US"/>
              </w:rPr>
            </w:pPr>
            <w:r>
              <w:rPr>
                <w:rFonts w:cs="Arial" w:ascii="Gotham" w:hAnsi="Gotham"/>
                <w:sz w:val="22"/>
                <w:szCs w:val="22"/>
                <w:lang w:eastAsia="en-US"/>
              </w:rPr>
              <w:t>Décès du père ou de la mère</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eastAsia="en-US"/>
              </w:rPr>
            </w:pPr>
            <w:r>
              <w:rPr>
                <w:rFonts w:cs="Arial" w:ascii="Gotham" w:hAnsi="Gotham"/>
                <w:sz w:val="22"/>
                <w:szCs w:val="22"/>
                <w:lang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3 jours ouvrés</w:t>
            </w:r>
          </w:p>
        </w:tc>
      </w:tr>
      <w:tr>
        <w:trPr>
          <w:trHeight w:val="252" w:hRule="atLeast"/>
        </w:trPr>
        <w:tc>
          <w:tcPr>
            <w:tcW w:w="1858" w:type="dxa"/>
            <w:vMerge w:val="continue"/>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5528" w:type="dxa"/>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textAlignment w:val="center"/>
              <w:rPr>
                <w:rFonts w:ascii="Gotham" w:hAnsi="Gotham" w:cs="Calibri"/>
                <w:sz w:val="22"/>
                <w:szCs w:val="22"/>
              </w:rPr>
            </w:pPr>
            <w:r>
              <w:rPr>
                <w:rFonts w:cs="Calibri" w:ascii="Gotham" w:hAnsi="Gotham"/>
                <w:sz w:val="22"/>
                <w:szCs w:val="22"/>
              </w:rPr>
              <w:t>Décès ascendant ou descendant autre (grands-parents, arrières grand parents, petits enfants)</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3 jours ouvrables</w:t>
            </w:r>
          </w:p>
        </w:tc>
      </w:tr>
      <w:tr>
        <w:trPr>
          <w:trHeight w:val="252" w:hRule="atLeast"/>
        </w:trPr>
        <w:tc>
          <w:tcPr>
            <w:tcW w:w="1858" w:type="dxa"/>
            <w:vMerge w:val="continue"/>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5528" w:type="dxa"/>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textAlignment w:val="center"/>
              <w:rPr>
                <w:rFonts w:ascii="Gotham" w:hAnsi="Gotham" w:cs="Arial"/>
                <w:sz w:val="22"/>
                <w:szCs w:val="22"/>
                <w:lang w:val="en-US" w:eastAsia="en-US"/>
              </w:rPr>
            </w:pPr>
            <w:r>
              <w:rPr>
                <w:rFonts w:cs="Calibri" w:ascii="Gotham" w:hAnsi="Gotham"/>
                <w:sz w:val="22"/>
                <w:szCs w:val="22"/>
              </w:rPr>
              <w:t>Décès frères, sœurs, beaux-parents</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 xml:space="preserve">3 jours </w:t>
            </w:r>
          </w:p>
        </w:tc>
      </w:tr>
      <w:tr>
        <w:trPr>
          <w:trHeight w:val="252" w:hRule="atLeast"/>
        </w:trPr>
        <w:tc>
          <w:tcPr>
            <w:tcW w:w="1858" w:type="dxa"/>
            <w:vMerge w:val="continue"/>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5528" w:type="dxa"/>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textAlignment w:val="center"/>
              <w:rPr>
                <w:rFonts w:ascii="Gotham" w:hAnsi="Gotham" w:cs="Calibri Light"/>
                <w:sz w:val="22"/>
                <w:szCs w:val="22"/>
              </w:rPr>
            </w:pPr>
            <w:r>
              <w:rPr>
                <w:rFonts w:cs="Calibri Light" w:ascii="Gotham" w:hAnsi="Gotham"/>
                <w:color w:val="000000"/>
                <w:sz w:val="22"/>
                <w:szCs w:val="22"/>
              </w:rPr>
              <w:t>Décès beaux-frères ou belles-sœurs</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val="en-US" w:eastAsia="en-US"/>
              </w:rPr>
            </w:pPr>
            <w:r>
              <w:rPr>
                <w:rFonts w:cs="Arial" w:ascii="Gotham" w:hAnsi="Gotham"/>
                <w:sz w:val="22"/>
                <w:szCs w:val="22"/>
                <w:lang w:val="en-US"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1 jour ouvré</w:t>
            </w:r>
          </w:p>
        </w:tc>
      </w:tr>
      <w:tr>
        <w:trPr>
          <w:trHeight w:val="428" w:hRule="atLeast"/>
        </w:trPr>
        <w:tc>
          <w:tcPr>
            <w:tcW w:w="1858" w:type="dxa"/>
            <w:tcBorders>
              <w:top w:val="single" w:sz="4" w:space="0" w:color="FFFFFF"/>
              <w:left w:val="single" w:sz="4" w:space="0" w:color="FFFFFF"/>
              <w:bottom w:val="single" w:sz="4" w:space="0" w:color="FFFFFF"/>
              <w:insideH w:val="single" w:sz="4" w:space="0" w:color="FFFFFF"/>
            </w:tcBorders>
            <w:shd w:fill="BDD6EE" w:val="clear"/>
            <w:tcMar>
              <w:left w:w="1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Déménagement</w:t>
            </w:r>
          </w:p>
        </w:tc>
        <w:tc>
          <w:tcPr>
            <w:tcW w:w="5528" w:type="dxa"/>
            <w:tcBorders>
              <w:top w:val="single" w:sz="4" w:space="0" w:color="FFFFFF"/>
              <w:left w:val="single" w:sz="4" w:space="0" w:color="FFFFFF"/>
              <w:bottom w:val="single" w:sz="4" w:space="0" w:color="FFFFFF"/>
              <w:insideH w:val="single" w:sz="4" w:space="0" w:color="FFFFFF"/>
            </w:tcBorders>
            <w:shd w:fill="BDD6EE" w:val="clear"/>
            <w:tcMar>
              <w:top w:w="0" w:type="dxa"/>
              <w:left w:w="-5" w:type="dxa"/>
              <w:right w:w="0" w:type="dxa"/>
            </w:tcMar>
            <w:vAlign w:val="center"/>
          </w:tcPr>
          <w:p>
            <w:pPr>
              <w:pStyle w:val="Normal"/>
              <w:textAlignment w:val="center"/>
              <w:rPr>
                <w:rFonts w:ascii="Gotham" w:hAnsi="Gotham" w:cs="Arial"/>
                <w:sz w:val="22"/>
                <w:szCs w:val="22"/>
                <w:lang w:eastAsia="en-US"/>
              </w:rPr>
            </w:pPr>
            <w:r>
              <w:rPr>
                <w:rFonts w:cs="Calibri" w:ascii="Gotham" w:hAnsi="Gotham"/>
                <w:sz w:val="22"/>
                <w:szCs w:val="22"/>
              </w:rPr>
              <w:t>Déménagement du salarié</w:t>
            </w:r>
          </w:p>
        </w:tc>
        <w:tc>
          <w:tcPr>
            <w:tcW w:w="50" w:type="dxa"/>
            <w:tcBorders>
              <w:left w:val="single" w:sz="4" w:space="0" w:color="FFFFFF"/>
            </w:tcBorders>
            <w:shd w:fill="BDD6EE" w:val="clear"/>
            <w:tcMar>
              <w:top w:w="0" w:type="dxa"/>
              <w:left w:w="-5" w:type="dxa"/>
              <w:right w:w="0" w:type="dxa"/>
            </w:tcMar>
            <w:vAlign w:val="center"/>
          </w:tcPr>
          <w:p>
            <w:pPr>
              <w:pStyle w:val="Normal"/>
              <w:snapToGrid w:val="false"/>
              <w:rPr>
                <w:rFonts w:ascii="Gotham" w:hAnsi="Gotham" w:cs="Arial"/>
                <w:sz w:val="22"/>
                <w:szCs w:val="22"/>
                <w:lang w:eastAsia="en-US"/>
              </w:rPr>
            </w:pPr>
            <w:r>
              <w:rPr>
                <w:rFonts w:cs="Arial" w:ascii="Gotham" w:hAnsi="Gotham"/>
                <w:sz w:val="22"/>
                <w:szCs w:val="22"/>
                <w:lang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BDD6EE"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1 jour ouvré</w:t>
            </w:r>
          </w:p>
        </w:tc>
      </w:tr>
      <w:tr>
        <w:trPr>
          <w:trHeight w:val="428" w:hRule="atLeast"/>
        </w:trPr>
        <w:tc>
          <w:tcPr>
            <w:tcW w:w="1858" w:type="dxa"/>
            <w:tcBorders>
              <w:top w:val="single" w:sz="4" w:space="0" w:color="FFFFFF"/>
              <w:left w:val="single" w:sz="4" w:space="0" w:color="FFFFFF"/>
              <w:bottom w:val="single" w:sz="4" w:space="0" w:color="FFFFFF"/>
              <w:insideH w:val="single" w:sz="4" w:space="0" w:color="FFFFFF"/>
            </w:tcBorders>
            <w:shd w:fill="D9D9D9" w:val="clear"/>
            <w:tcMar>
              <w:left w:w="1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Cérémonie</w:t>
            </w:r>
          </w:p>
        </w:tc>
        <w:tc>
          <w:tcPr>
            <w:tcW w:w="5528" w:type="dxa"/>
            <w:tcBorders>
              <w:top w:val="single" w:sz="4" w:space="0" w:color="FFFFFF"/>
              <w:left w:val="single" w:sz="4" w:space="0" w:color="FFFFFF"/>
              <w:bottom w:val="single" w:sz="4" w:space="0" w:color="FFFFFF"/>
              <w:insideH w:val="single" w:sz="4" w:space="0" w:color="FFFFFF"/>
            </w:tcBorders>
            <w:shd w:fill="D9D9D9" w:val="clear"/>
            <w:tcMar>
              <w:top w:w="0" w:type="dxa"/>
              <w:left w:w="-5" w:type="dxa"/>
              <w:right w:w="0" w:type="dxa"/>
            </w:tcMar>
            <w:vAlign w:val="center"/>
          </w:tcPr>
          <w:p>
            <w:pPr>
              <w:pStyle w:val="Normal"/>
              <w:textAlignment w:val="center"/>
              <w:rPr>
                <w:rFonts w:ascii="Gotham" w:hAnsi="Gotham" w:cs="Calibri"/>
                <w:sz w:val="22"/>
                <w:szCs w:val="22"/>
              </w:rPr>
            </w:pPr>
            <w:r>
              <w:rPr>
                <w:rFonts w:cs="Calibri" w:ascii="Gotham" w:hAnsi="Gotham"/>
                <w:sz w:val="22"/>
                <w:szCs w:val="22"/>
              </w:rPr>
              <w:t>Cérémonie religieuse concernant un enfant</w:t>
            </w:r>
          </w:p>
        </w:tc>
        <w:tc>
          <w:tcPr>
            <w:tcW w:w="50" w:type="dxa"/>
            <w:tcBorders>
              <w:left w:val="single" w:sz="4" w:space="0" w:color="FFFFFF"/>
            </w:tcBorders>
            <w:shd w:fill="D9D9D9" w:val="clear"/>
            <w:tcMar>
              <w:top w:w="0" w:type="dxa"/>
              <w:left w:w="-5" w:type="dxa"/>
              <w:right w:w="0" w:type="dxa"/>
            </w:tcMar>
            <w:vAlign w:val="center"/>
          </w:tcPr>
          <w:p>
            <w:pPr>
              <w:pStyle w:val="Normal"/>
              <w:snapToGrid w:val="false"/>
              <w:rPr>
                <w:rFonts w:ascii="Gotham" w:hAnsi="Gotham" w:cs="Arial"/>
                <w:sz w:val="22"/>
                <w:szCs w:val="22"/>
                <w:lang w:eastAsia="en-US"/>
              </w:rPr>
            </w:pPr>
            <w:r>
              <w:rPr>
                <w:rFonts w:cs="Arial" w:ascii="Gotham" w:hAnsi="Gotham"/>
                <w:sz w:val="22"/>
                <w:szCs w:val="22"/>
                <w:lang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D9D9D9"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1 jour ouvrable</w:t>
            </w:r>
          </w:p>
        </w:tc>
      </w:tr>
      <w:tr>
        <w:trPr>
          <w:trHeight w:val="428" w:hRule="atLeast"/>
        </w:trPr>
        <w:tc>
          <w:tcPr>
            <w:tcW w:w="1858" w:type="dxa"/>
            <w:tcBorders>
              <w:top w:val="single" w:sz="4" w:space="0" w:color="FFFFFF"/>
              <w:left w:val="single" w:sz="4" w:space="0" w:color="FFFFFF"/>
              <w:bottom w:val="single" w:sz="4" w:space="0" w:color="FFFFFF"/>
              <w:insideH w:val="single" w:sz="4" w:space="0" w:color="FFFFFF"/>
            </w:tcBorders>
            <w:shd w:fill="BDD6EE" w:val="clear"/>
            <w:tcMar>
              <w:left w:w="1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Handicap</w:t>
            </w:r>
          </w:p>
        </w:tc>
        <w:tc>
          <w:tcPr>
            <w:tcW w:w="5528" w:type="dxa"/>
            <w:tcBorders>
              <w:top w:val="single" w:sz="4" w:space="0" w:color="FFFFFF"/>
              <w:left w:val="single" w:sz="4" w:space="0" w:color="FFFFFF"/>
              <w:bottom w:val="single" w:sz="4" w:space="0" w:color="FFFFFF"/>
              <w:insideH w:val="single" w:sz="4" w:space="0" w:color="FFFFFF"/>
            </w:tcBorders>
            <w:shd w:fill="BDD6EE" w:val="clear"/>
            <w:tcMar>
              <w:top w:w="0" w:type="dxa"/>
              <w:left w:w="-5" w:type="dxa"/>
              <w:right w:w="0" w:type="dxa"/>
            </w:tcMar>
            <w:vAlign w:val="center"/>
          </w:tcPr>
          <w:p>
            <w:pPr>
              <w:pStyle w:val="Normal"/>
              <w:textAlignment w:val="center"/>
              <w:rPr>
                <w:rFonts w:ascii="Gotham" w:hAnsi="Gotham" w:cs="Calibri"/>
                <w:sz w:val="22"/>
                <w:szCs w:val="22"/>
              </w:rPr>
            </w:pPr>
            <w:r>
              <w:rPr>
                <w:rFonts w:cs="Calibri" w:ascii="Gotham" w:hAnsi="Gotham"/>
                <w:sz w:val="22"/>
                <w:szCs w:val="22"/>
              </w:rPr>
              <w:t>Annonce de la survenue d’un handicap chez l’enfant</w:t>
            </w:r>
          </w:p>
        </w:tc>
        <w:tc>
          <w:tcPr>
            <w:tcW w:w="50" w:type="dxa"/>
            <w:tcBorders>
              <w:left w:val="single" w:sz="4" w:space="0" w:color="FFFFFF"/>
            </w:tcBorders>
            <w:shd w:fill="BDD6EE" w:val="clear"/>
            <w:tcMar>
              <w:top w:w="0" w:type="dxa"/>
              <w:left w:w="-5" w:type="dxa"/>
              <w:right w:w="0" w:type="dxa"/>
            </w:tcMar>
            <w:vAlign w:val="center"/>
          </w:tcPr>
          <w:p>
            <w:pPr>
              <w:pStyle w:val="Normal"/>
              <w:snapToGrid w:val="false"/>
              <w:rPr>
                <w:rFonts w:ascii="Gotham" w:hAnsi="Gotham" w:cs="Arial"/>
                <w:sz w:val="22"/>
                <w:szCs w:val="22"/>
                <w:lang w:eastAsia="en-US"/>
              </w:rPr>
            </w:pPr>
            <w:r>
              <w:rPr>
                <w:rFonts w:cs="Arial" w:ascii="Gotham" w:hAnsi="Gotham"/>
                <w:sz w:val="22"/>
                <w:szCs w:val="22"/>
                <w:lang w:eastAsia="en-US"/>
              </w:rPr>
            </w:r>
          </w:p>
        </w:tc>
        <w:tc>
          <w:tcPr>
            <w:tcW w:w="1945"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BDD6EE" w:val="clear"/>
            <w:tcMar>
              <w:top w:w="0" w:type="dxa"/>
              <w:left w:w="-5" w:type="dxa"/>
              <w:right w:w="0" w:type="dxa"/>
            </w:tcMar>
            <w:vAlign w:val="center"/>
          </w:tcPr>
          <w:p>
            <w:pPr>
              <w:pStyle w:val="Normal"/>
              <w:jc w:val="center"/>
              <w:textAlignment w:val="center"/>
              <w:rPr>
                <w:rFonts w:ascii="Gotham" w:hAnsi="Gotham" w:cs="Arial"/>
                <w:sz w:val="22"/>
                <w:szCs w:val="22"/>
                <w:lang w:val="en-US" w:eastAsia="en-US"/>
              </w:rPr>
            </w:pPr>
            <w:r>
              <w:rPr>
                <w:rFonts w:cs="Arial" w:ascii="Gotham" w:hAnsi="Gotham"/>
                <w:sz w:val="22"/>
                <w:szCs w:val="22"/>
                <w:lang w:val="en-US" w:eastAsia="en-US"/>
              </w:rPr>
              <w:t>2 jours</w:t>
            </w:r>
          </w:p>
        </w:tc>
      </w:tr>
    </w:tbl>
    <w:p>
      <w:pPr>
        <w:pStyle w:val="Textesimple"/>
        <w:spacing w:lineRule="auto" w:line="276"/>
        <w:ind w:right="-286" w:hanging="0"/>
        <w:rPr>
          <w:rFonts w:ascii="Bosch Office Sans;Times New Roman" w:hAnsi="Bosch Office Sans;Times New Roman" w:cs="Arial"/>
          <w:color w:val="000000"/>
          <w:sz w:val="22"/>
          <w:szCs w:val="22"/>
        </w:rPr>
      </w:pPr>
      <w:r>
        <w:rPr>
          <w:rFonts w:cs="Arial" w:ascii="Bosch Office Sans;Times New Roman" w:hAnsi="Bosch Office Sans;Times New Roman"/>
          <w:color w:val="000000"/>
          <w:sz w:val="22"/>
          <w:szCs w:val="22"/>
        </w:rPr>
      </w:r>
    </w:p>
    <w:p>
      <w:pPr>
        <w:pStyle w:val="Para"/>
        <w:spacing w:before="0" w:after="0"/>
        <w:ind w:left="0" w:right="100" w:hanging="0"/>
        <w:jc w:val="both"/>
        <w:rPr>
          <w:rFonts w:ascii="Gotham" w:hAnsi="Gotham" w:cs="Arial"/>
          <w:sz w:val="22"/>
          <w:szCs w:val="22"/>
        </w:rPr>
      </w:pPr>
      <w:r>
        <w:rPr>
          <w:rFonts w:cs="Arial" w:ascii="Gotham" w:hAnsi="Gotham"/>
          <w:sz w:val="22"/>
          <w:szCs w:val="22"/>
        </w:rPr>
        <w:t>Ces jours seront à prendre au moment de l’événement et seront rémunérés comme temps de travail effectif.</w:t>
      </w:r>
    </w:p>
    <w:p>
      <w:pPr>
        <w:pStyle w:val="Para"/>
        <w:spacing w:before="0" w:after="0"/>
        <w:ind w:left="0" w:right="100" w:hanging="0"/>
        <w:jc w:val="both"/>
        <w:rPr>
          <w:rFonts w:ascii="Gotham" w:hAnsi="Gotham" w:cs="Gotham"/>
          <w:sz w:val="22"/>
          <w:szCs w:val="22"/>
        </w:rPr>
      </w:pPr>
      <w:r>
        <w:rPr>
          <w:rFonts w:cs="Gotham" w:ascii="Gotham" w:hAnsi="Gotham"/>
          <w:sz w:val="22"/>
          <w:szCs w:val="22"/>
        </w:rPr>
      </w:r>
    </w:p>
    <w:p>
      <w:pPr>
        <w:pStyle w:val="Heading1"/>
        <w:numPr>
          <w:ilvl w:val="0"/>
          <w:numId w:val="14"/>
        </w:numPr>
        <w:rPr/>
      </w:pPr>
      <w:bookmarkStart w:id="26" w:name="__RefHeading___Toc85536084"/>
      <w:bookmarkEnd w:id="26"/>
      <w:r>
        <w:rPr/>
        <w:t>Autorisation d’absence pour rentrée scolaire</w:t>
      </w:r>
    </w:p>
    <w:p>
      <w:pPr>
        <w:pStyle w:val="Heading1"/>
        <w:numPr>
          <w:ilvl w:val="0"/>
          <w:numId w:val="0"/>
        </w:numPr>
        <w:ind w:left="0" w:hanging="0"/>
        <w:rPr/>
      </w:pPr>
      <w:r>
        <w:rPr/>
      </w:r>
    </w:p>
    <w:p>
      <w:pPr>
        <w:pStyle w:val="Normal"/>
        <w:spacing w:lineRule="auto" w:line="276"/>
        <w:jc w:val="both"/>
        <w:rPr>
          <w:rFonts w:ascii="Gotham" w:hAnsi="Gotham" w:cs="Gotham"/>
          <w:sz w:val="22"/>
        </w:rPr>
      </w:pPr>
      <w:r>
        <w:rPr>
          <w:rFonts w:cs="Gotham" w:ascii="Gotham" w:hAnsi="Gotham"/>
          <w:sz w:val="22"/>
        </w:rPr>
        <w:t>Il est rappelé que le jour de la rentrée scolaire, les salariés parents d’enfant(s) scolarisé(s) bénéficient d’un aménagement de leur emploi du temps afin d’accompagner leur(s) enfant(s) à l’école. Cet aménagement s’applique aux parents d’enfants scolarisés de la maternelle à la 6ème inclus, dans la limite de 2 heures, sans récupération. Le salarié ne peut exercer cette faculté qu’une seule fois quel que soit le nombre d’enfants concernés.</w:t>
      </w:r>
    </w:p>
    <w:p>
      <w:pPr>
        <w:pStyle w:val="Normal"/>
        <w:spacing w:lineRule="auto" w:line="276"/>
        <w:jc w:val="both"/>
        <w:rPr>
          <w:rFonts w:ascii="Gotham" w:hAnsi="Gotham" w:cs="Gotham"/>
          <w:sz w:val="22"/>
        </w:rPr>
      </w:pPr>
      <w:r>
        <w:rPr>
          <w:rFonts w:cs="Gotham" w:ascii="Gotham" w:hAnsi="Gotham"/>
          <w:sz w:val="22"/>
        </w:rPr>
        <w:t xml:space="preserve">Cette demande devra être formalisée par écrit au manager et validée par celui-ci. </w:t>
      </w:r>
    </w:p>
    <w:p>
      <w:pPr>
        <w:pStyle w:val="Normal"/>
        <w:spacing w:lineRule="auto" w:line="276"/>
        <w:jc w:val="both"/>
        <w:rPr>
          <w:rFonts w:ascii="Gotham" w:hAnsi="Gotham" w:cs="Gotham"/>
          <w:sz w:val="22"/>
        </w:rPr>
      </w:pPr>
      <w:r>
        <w:rPr>
          <w:rFonts w:cs="Gotham" w:ascii="Gotham" w:hAnsi="Gotham"/>
          <w:sz w:val="22"/>
        </w:rPr>
      </w:r>
    </w:p>
    <w:p>
      <w:pPr>
        <w:pStyle w:val="Heading1"/>
        <w:numPr>
          <w:ilvl w:val="0"/>
          <w:numId w:val="14"/>
        </w:numPr>
        <w:rPr/>
      </w:pPr>
      <w:bookmarkStart w:id="27" w:name="__RefHeading___Toc85536085"/>
      <w:bookmarkEnd w:id="27"/>
      <w:r>
        <w:rPr/>
        <w:t>Journée de solidarité</w:t>
      </w:r>
    </w:p>
    <w:p>
      <w:pPr>
        <w:pStyle w:val="Normal"/>
        <w:spacing w:lineRule="auto" w:line="276"/>
        <w:rPr>
          <w:bCs/>
          <w:sz w:val="22"/>
          <w:szCs w:val="22"/>
        </w:rPr>
      </w:pPr>
      <w:r>
        <w:rPr>
          <w:bCs/>
          <w:sz w:val="22"/>
          <w:szCs w:val="22"/>
        </w:rPr>
      </w:r>
    </w:p>
    <w:p>
      <w:pPr>
        <w:pStyle w:val="Normal"/>
        <w:spacing w:lineRule="auto" w:line="276"/>
        <w:jc w:val="both"/>
        <w:rPr>
          <w:rFonts w:ascii="Gotham" w:hAnsi="Gotham" w:cs="Gotham"/>
          <w:bCs/>
          <w:sz w:val="22"/>
          <w:szCs w:val="22"/>
        </w:rPr>
      </w:pPr>
      <w:r>
        <w:rPr>
          <w:rFonts w:cs="Gotham" w:ascii="Gotham" w:hAnsi="Gotham"/>
          <w:bCs/>
          <w:sz w:val="22"/>
          <w:szCs w:val="22"/>
        </w:rPr>
        <w:t xml:space="preserve">La journée de solidarité est définie le lundi de pentecôte de chaque année et sera donc travaillée pour l’ensemble des salariés. </w:t>
      </w:r>
    </w:p>
    <w:p>
      <w:pPr>
        <w:pStyle w:val="Normal"/>
        <w:spacing w:lineRule="auto" w:line="276"/>
        <w:jc w:val="both"/>
        <w:rPr>
          <w:rFonts w:ascii="Gotham" w:hAnsi="Gotham" w:cs="Gotham"/>
          <w:bCs/>
          <w:sz w:val="22"/>
          <w:szCs w:val="22"/>
        </w:rPr>
      </w:pPr>
      <w:r>
        <w:rPr>
          <w:rFonts w:cs="Gotham" w:ascii="Gotham" w:hAnsi="Gotham"/>
          <w:bCs/>
          <w:sz w:val="22"/>
          <w:szCs w:val="22"/>
        </w:rPr>
        <w:t>Les salariés ont la possibilité de poser une journée de congé ou jour de repos compensatoire selon les règles en vigueur dans l’entreprise.</w:t>
      </w:r>
    </w:p>
    <w:p>
      <w:pPr>
        <w:pStyle w:val="Heading1"/>
        <w:numPr>
          <w:ilvl w:val="0"/>
          <w:numId w:val="0"/>
        </w:numPr>
        <w:ind w:left="0" w:hanging="0"/>
        <w:rPr>
          <w:rFonts w:ascii="Gotham" w:hAnsi="Gotham" w:cs="Gotham"/>
          <w:bCs w:val="false"/>
          <w:sz w:val="22"/>
          <w:szCs w:val="22"/>
        </w:rPr>
      </w:pPr>
      <w:r>
        <w:rPr>
          <w:rFonts w:cs="Gotham"/>
          <w:bCs w:val="false"/>
          <w:sz w:val="22"/>
          <w:szCs w:val="22"/>
        </w:rPr>
      </w:r>
    </w:p>
    <w:p>
      <w:pPr>
        <w:pStyle w:val="Heading1"/>
        <w:numPr>
          <w:ilvl w:val="0"/>
          <w:numId w:val="14"/>
        </w:numPr>
        <w:rPr/>
      </w:pPr>
      <w:bookmarkStart w:id="28" w:name="__RefHeading___Toc85536086"/>
      <w:bookmarkEnd w:id="28"/>
      <w:r>
        <w:rPr/>
        <w:t>Autres congés</w:t>
      </w:r>
    </w:p>
    <w:p>
      <w:pPr>
        <w:pStyle w:val="Heading5"/>
        <w:spacing w:before="0" w:after="0"/>
        <w:jc w:val="both"/>
        <w:rPr>
          <w:rFonts w:ascii="Gotham" w:hAnsi="Gotham" w:cs="Gotham"/>
          <w:sz w:val="22"/>
        </w:rPr>
      </w:pPr>
      <w:r>
        <w:rPr>
          <w:rFonts w:cs="Gotham" w:ascii="Gotham" w:hAnsi="Gotham"/>
          <w:sz w:val="22"/>
        </w:rPr>
      </w:r>
    </w:p>
    <w:p>
      <w:pPr>
        <w:pStyle w:val="Heading5"/>
        <w:spacing w:lineRule="auto" w:line="276" w:before="0" w:after="0"/>
        <w:jc w:val="both"/>
        <w:rPr>
          <w:rFonts w:ascii="Gotham" w:hAnsi="Gotham" w:cs="Arial"/>
          <w:b w:val="false"/>
          <w:b w:val="false"/>
          <w:sz w:val="22"/>
          <w:szCs w:val="24"/>
          <w:highlight w:val="white"/>
        </w:rPr>
      </w:pPr>
      <w:r>
        <w:rPr>
          <w:rFonts w:cs="Arial" w:ascii="Gotham" w:hAnsi="Gotham"/>
          <w:b w:val="false"/>
          <w:sz w:val="22"/>
          <w:szCs w:val="24"/>
          <w:shd w:fill="FFFFFF" w:val="clear"/>
        </w:rPr>
        <w:t xml:space="preserve">Le congé pour enfant malade est ouvert à tout salarié s'occupant d'un enfant de moins de 16 ans qui est malade ou accidenté et dont il assume la charge. </w:t>
      </w:r>
    </w:p>
    <w:p>
      <w:pPr>
        <w:pStyle w:val="Heading5"/>
        <w:spacing w:lineRule="auto" w:line="276" w:before="0" w:after="0"/>
        <w:jc w:val="both"/>
        <w:rPr>
          <w:rFonts w:ascii="Gotham" w:hAnsi="Gotham" w:cs="Arial"/>
          <w:b w:val="false"/>
          <w:b w:val="false"/>
          <w:sz w:val="22"/>
          <w:szCs w:val="24"/>
          <w:shd w:fill="FFFFFF" w:val="clear"/>
        </w:rPr>
      </w:pPr>
      <w:r>
        <w:rPr>
          <w:rFonts w:cs="Arial" w:ascii="Gotham" w:hAnsi="Gotham"/>
          <w:b w:val="false"/>
          <w:sz w:val="22"/>
          <w:szCs w:val="24"/>
          <w:shd w:fill="FFFFFF" w:val="clear"/>
        </w:rPr>
      </w:r>
    </w:p>
    <w:p>
      <w:pPr>
        <w:pStyle w:val="Heading5"/>
        <w:spacing w:lineRule="auto" w:line="276" w:before="0" w:after="0"/>
        <w:jc w:val="both"/>
        <w:rPr>
          <w:rFonts w:ascii="Gotham" w:hAnsi="Gotham" w:cs="Arial"/>
          <w:b w:val="false"/>
          <w:b w:val="false"/>
          <w:sz w:val="22"/>
          <w:szCs w:val="24"/>
          <w:highlight w:val="white"/>
        </w:rPr>
      </w:pPr>
      <w:r>
        <w:rPr>
          <w:rFonts w:cs="Arial" w:ascii="Gotham" w:hAnsi="Gotham"/>
          <w:b w:val="false"/>
          <w:sz w:val="22"/>
          <w:szCs w:val="24"/>
          <w:shd w:fill="FFFFFF" w:val="clear"/>
        </w:rPr>
        <w:t>En deçà d’un an d’ancienneté, le congé pour enfant malade n’est pas rémunéré.</w:t>
      </w:r>
    </w:p>
    <w:p>
      <w:pPr>
        <w:pStyle w:val="NormalWeb"/>
        <w:shd w:fill="FFFFFF" w:val="clear"/>
        <w:spacing w:lineRule="auto" w:line="276" w:before="0" w:after="0"/>
        <w:jc w:val="both"/>
        <w:textAlignment w:val="top"/>
        <w:rPr/>
      </w:pPr>
      <w:r>
        <w:rPr>
          <w:rFonts w:cs="Arial" w:ascii="Gotham" w:hAnsi="Gotham"/>
          <w:sz w:val="22"/>
        </w:rPr>
        <w:t xml:space="preserve">Dès lors que le salarié dispose d’un an d’ancienneté, la </w:t>
      </w:r>
      <w:r>
        <w:rPr>
          <w:rFonts w:cs="Arial" w:ascii="Gotham" w:hAnsi="Gotham"/>
          <w:sz w:val="22"/>
          <w:szCs w:val="22"/>
        </w:rPr>
        <w:t>SEMCODA décide d’accorder au maximum 5 jours par an rémunérés pour un enfant malade de moins de 16 ans.</w:t>
      </w:r>
    </w:p>
    <w:p>
      <w:pPr>
        <w:pStyle w:val="NormalWeb"/>
        <w:shd w:fill="FFFFFF" w:val="clear"/>
        <w:spacing w:lineRule="auto" w:line="276" w:before="0" w:after="0"/>
        <w:jc w:val="both"/>
        <w:textAlignment w:val="top"/>
        <w:rPr>
          <w:rFonts w:ascii="Verdana" w:hAnsi="Verdana" w:cs="Verdana"/>
          <w:sz w:val="21"/>
          <w:szCs w:val="21"/>
        </w:rPr>
      </w:pPr>
      <w:r>
        <w:rPr>
          <w:rFonts w:cs="Gotham" w:ascii="Gotham" w:hAnsi="Gotham"/>
          <w:sz w:val="22"/>
          <w:szCs w:val="22"/>
        </w:rPr>
        <w:t xml:space="preserve">Pour cela, il est nécessaire de fournir à la DRH un certificat médical qui constate la nécessité de la présence d’un parent. </w:t>
      </w:r>
    </w:p>
    <w:p>
      <w:pPr>
        <w:pStyle w:val="NormalWeb"/>
        <w:shd w:fill="FFFFFF" w:val="clear"/>
        <w:spacing w:lineRule="auto" w:line="276" w:before="0" w:after="0"/>
        <w:jc w:val="both"/>
        <w:rPr>
          <w:rFonts w:ascii="Gotham" w:hAnsi="Gotham" w:cs="Arial"/>
          <w:sz w:val="22"/>
          <w:szCs w:val="21"/>
        </w:rPr>
      </w:pPr>
      <w:r>
        <w:rPr>
          <w:rFonts w:cs="Arial" w:ascii="Gotham" w:hAnsi="Gotham"/>
          <w:sz w:val="22"/>
          <w:szCs w:val="21"/>
        </w:rPr>
      </w:r>
    </w:p>
    <w:p>
      <w:pPr>
        <w:pStyle w:val="NormalWeb"/>
        <w:shd w:fill="FFFFFF" w:val="clear"/>
        <w:spacing w:lineRule="auto" w:line="276" w:before="0" w:after="0"/>
        <w:jc w:val="both"/>
        <w:rPr>
          <w:rFonts w:ascii="Gotham" w:hAnsi="Gotham" w:cs="Arial"/>
          <w:sz w:val="22"/>
        </w:rPr>
      </w:pPr>
      <w:r>
        <w:rPr>
          <w:rFonts w:cs="Arial" w:ascii="Gotham" w:hAnsi="Gotham"/>
          <w:sz w:val="22"/>
        </w:rPr>
        <w:t>Il sera également accordé pour chaque salarié un jour exceptionnel de congé supplémentaire à l’occasion des fêtes de fin d’année.</w:t>
      </w:r>
    </w:p>
    <w:p>
      <w:pPr>
        <w:pStyle w:val="NormalWeb"/>
        <w:shd w:fill="FFFFFF" w:val="clear"/>
        <w:spacing w:before="0" w:after="0"/>
        <w:jc w:val="both"/>
        <w:rPr>
          <w:rFonts w:ascii="Gotham" w:hAnsi="Gotham" w:cs="Arial"/>
          <w:sz w:val="22"/>
        </w:rPr>
      </w:pPr>
      <w:r>
        <w:rPr>
          <w:rFonts w:cs="Arial" w:ascii="Gotham" w:hAnsi="Gotham"/>
          <w:sz w:val="22"/>
        </w:rPr>
      </w:r>
    </w:p>
    <w:p>
      <w:pPr>
        <w:pStyle w:val="Heading1"/>
        <w:numPr>
          <w:ilvl w:val="0"/>
          <w:numId w:val="14"/>
        </w:numPr>
        <w:rPr/>
      </w:pPr>
      <w:bookmarkStart w:id="29" w:name="__RefHeading___Toc85536087"/>
      <w:bookmarkEnd w:id="29"/>
      <w:r>
        <w:rPr/>
        <w:t>Dons de jours de congés payés et de repos</w:t>
      </w:r>
    </w:p>
    <w:p>
      <w:pPr>
        <w:pStyle w:val="Normal"/>
        <w:jc w:val="both"/>
        <w:rPr>
          <w:rFonts w:ascii="Campton Rounded Light;Courier New" w:hAnsi="Campton Rounded Light;Courier New" w:cs="Campton Rounded Light;Courier New"/>
        </w:rPr>
      </w:pPr>
      <w:r>
        <w:rPr>
          <w:rFonts w:cs="Campton Rounded Light;Courier New" w:ascii="Campton Rounded Light;Courier New" w:hAnsi="Campton Rounded Light;Courier New"/>
        </w:rPr>
      </w:r>
    </w:p>
    <w:p>
      <w:pPr>
        <w:pStyle w:val="Normal"/>
        <w:spacing w:lineRule="auto" w:line="276"/>
        <w:jc w:val="both"/>
        <w:rPr/>
      </w:pPr>
      <w:r>
        <w:rPr>
          <w:rFonts w:cs="Gotham" w:ascii="Gotham" w:hAnsi="Gotham"/>
          <w:sz w:val="22"/>
        </w:rPr>
        <w:t>Un salarié peut, sur sa demande et en accord avec l’employeur, renoncer anonymement et sans contrepartie à tout ou partie de ses jours de congés payés acquis et non pris, au bénéfice</w:t>
      </w:r>
      <w:r>
        <w:rPr>
          <w:rFonts w:cs="Calibri" w:ascii="Gotham" w:hAnsi="Gotham"/>
          <w:sz w:val="22"/>
        </w:rPr>
        <w:t> </w:t>
      </w:r>
      <w:r>
        <w:rPr>
          <w:rFonts w:cs="Gotham" w:ascii="Gotham" w:hAnsi="Gotham"/>
          <w:sz w:val="22"/>
        </w:rPr>
        <w:t xml:space="preserve">: </w:t>
      </w:r>
    </w:p>
    <w:p>
      <w:pPr>
        <w:pStyle w:val="Normal"/>
        <w:spacing w:lineRule="auto" w:line="276"/>
        <w:jc w:val="both"/>
        <w:rPr>
          <w:rFonts w:ascii="Gotham" w:hAnsi="Gotham" w:cs="Gotham"/>
          <w:sz w:val="22"/>
        </w:rPr>
      </w:pPr>
      <w:r>
        <w:rPr>
          <w:rFonts w:cs="Gotham" w:ascii="Gotham" w:hAnsi="Gotham"/>
          <w:sz w:val="22"/>
        </w:rPr>
      </w:r>
    </w:p>
    <w:p>
      <w:pPr>
        <w:pStyle w:val="Paragraphedeliste"/>
        <w:numPr>
          <w:ilvl w:val="0"/>
          <w:numId w:val="6"/>
        </w:numPr>
        <w:spacing w:lineRule="auto" w:line="276" w:before="0" w:after="160"/>
        <w:contextualSpacing/>
        <w:jc w:val="both"/>
        <w:rPr/>
      </w:pPr>
      <w:r>
        <w:rPr>
          <w:rFonts w:cs="Gotham" w:ascii="Gotham" w:hAnsi="Gotham"/>
          <w:sz w:val="22"/>
        </w:rPr>
        <w:t>d'un autre salarié de la société, qui assume la charge d'un enfant atteint d'une maladie, d'un handicap ou victime d'un accident d'une particulière gravité rendant indispensable une présence soutenue et des soins contraignants</w:t>
      </w:r>
      <w:r>
        <w:rPr>
          <w:rFonts w:cs="Calibri" w:ascii="Gotham" w:hAnsi="Gotham"/>
          <w:sz w:val="22"/>
        </w:rPr>
        <w:t> </w:t>
      </w:r>
      <w:r>
        <w:rPr>
          <w:rFonts w:cs="Gotham" w:ascii="Gotham" w:hAnsi="Gotham"/>
          <w:sz w:val="22"/>
        </w:rPr>
        <w:t xml:space="preserve">; </w:t>
      </w:r>
    </w:p>
    <w:p>
      <w:pPr>
        <w:pStyle w:val="Paragraphedeliste"/>
        <w:numPr>
          <w:ilvl w:val="0"/>
          <w:numId w:val="6"/>
        </w:numPr>
        <w:spacing w:lineRule="auto" w:line="276" w:before="0" w:after="160"/>
        <w:contextualSpacing/>
        <w:jc w:val="both"/>
        <w:rPr/>
      </w:pPr>
      <w:r>
        <w:rPr>
          <w:rFonts w:cs="Gotham" w:ascii="Gotham" w:hAnsi="Gotham"/>
          <w:sz w:val="22"/>
        </w:rPr>
        <w:t>d’un autre salarié de la société qui vient en aide à une personne atteinte d’une perte d’autonomie d’une particulière gravité ou présentant un handicap lorsque cette personne est, pour cet autre salarié</w:t>
      </w:r>
      <w:r>
        <w:rPr>
          <w:rFonts w:cs="Gotham" w:ascii="Gotham" w:hAnsi="Gotham"/>
          <w:strike/>
          <w:sz w:val="22"/>
        </w:rPr>
        <w:t>e</w:t>
      </w:r>
      <w:r>
        <w:rPr>
          <w:rFonts w:cs="Gotham" w:ascii="Gotham" w:hAnsi="Gotham"/>
          <w:sz w:val="22"/>
        </w:rPr>
        <w:t>, l’une de celles mentionnées aux 1° à 9° de l’article L. 3142-16 du code du travail</w:t>
      </w:r>
      <w:r>
        <w:rPr>
          <w:rFonts w:cs="Calibri" w:ascii="Gotham" w:hAnsi="Gotham"/>
          <w:sz w:val="22"/>
        </w:rPr>
        <w:t> </w:t>
      </w:r>
      <w:r>
        <w:rPr>
          <w:rFonts w:cs="Gotham" w:ascii="Gotham" w:hAnsi="Gotham"/>
          <w:sz w:val="22"/>
        </w:rPr>
        <w:t xml:space="preserve">; </w:t>
      </w:r>
    </w:p>
    <w:p>
      <w:pPr>
        <w:pStyle w:val="Paragraphedeliste"/>
        <w:numPr>
          <w:ilvl w:val="0"/>
          <w:numId w:val="6"/>
        </w:numPr>
        <w:spacing w:lineRule="auto" w:line="276" w:before="0" w:after="160"/>
        <w:contextualSpacing/>
        <w:jc w:val="both"/>
        <w:rPr>
          <w:rFonts w:ascii="Gotham" w:hAnsi="Gotham" w:cs="Gotham"/>
          <w:sz w:val="22"/>
        </w:rPr>
      </w:pPr>
      <w:r>
        <w:rPr>
          <w:rFonts w:cs="Gotham" w:ascii="Gotham" w:hAnsi="Gotham"/>
          <w:sz w:val="22"/>
        </w:rPr>
        <w:t>d’un autre salarié de la société dont l’enfant est décédé</w:t>
      </w:r>
      <w:r>
        <w:rPr>
          <w:rFonts w:cs="Calibri" w:ascii="Gotham" w:hAnsi="Gotham"/>
          <w:sz w:val="22"/>
        </w:rPr>
        <w:t> </w:t>
      </w:r>
      <w:r>
        <w:rPr>
          <w:rFonts w:cs="Gotham" w:ascii="Gotham" w:hAnsi="Gotham"/>
          <w:sz w:val="22"/>
        </w:rPr>
        <w:t xml:space="preserve">; </w:t>
      </w:r>
    </w:p>
    <w:p>
      <w:pPr>
        <w:pStyle w:val="Paragraphedeliste"/>
        <w:numPr>
          <w:ilvl w:val="0"/>
          <w:numId w:val="6"/>
        </w:numPr>
        <w:spacing w:lineRule="auto" w:line="276" w:before="0" w:after="160"/>
        <w:contextualSpacing/>
        <w:jc w:val="both"/>
        <w:rPr>
          <w:rFonts w:ascii="Gotham" w:hAnsi="Gotham" w:cs="Gotham"/>
          <w:sz w:val="22"/>
        </w:rPr>
      </w:pPr>
      <w:r>
        <w:rPr>
          <w:rFonts w:cs="Gotham" w:ascii="Gotham" w:hAnsi="Gotham"/>
          <w:sz w:val="22"/>
        </w:rPr>
        <w:t>d’un autre salarié ayant eu une activité réduite en raison d’un cas de force majeure.</w:t>
      </w:r>
    </w:p>
    <w:p>
      <w:pPr>
        <w:pStyle w:val="Normal"/>
        <w:spacing w:lineRule="auto" w:line="276"/>
        <w:jc w:val="both"/>
        <w:rPr>
          <w:rFonts w:ascii="Gotham" w:hAnsi="Gotham" w:cs="Gotham"/>
          <w:strike/>
          <w:sz w:val="22"/>
        </w:rPr>
      </w:pPr>
      <w:r>
        <w:rPr>
          <w:rFonts w:cs="Gotham" w:ascii="Gotham" w:hAnsi="Gotham"/>
          <w:sz w:val="22"/>
        </w:rPr>
        <w:t>Conformément aux dispositions légales, la particulière gravité de la maladie, du handicap ou de l'accident ainsi que le caractère indispensable d'une présence soutenue et de soins contraignants sont attestés par un certificat médical établi par un médecin qui suit l’enfant, le conjoint/PACS ou ascendant au titre de la maladie, du handicap ou de l'accident.</w:t>
      </w:r>
    </w:p>
    <w:p>
      <w:pPr>
        <w:pStyle w:val="Normal"/>
        <w:spacing w:lineRule="auto" w:line="276"/>
        <w:jc w:val="both"/>
        <w:rPr>
          <w:rFonts w:ascii="Gotham" w:hAnsi="Gotham" w:cs="Gotham"/>
          <w:strike/>
          <w:sz w:val="22"/>
        </w:rPr>
      </w:pPr>
      <w:r>
        <w:rPr>
          <w:rFonts w:cs="Gotham" w:ascii="Gotham" w:hAnsi="Gotham"/>
          <w:strike/>
          <w:sz w:val="22"/>
        </w:rPr>
      </w:r>
    </w:p>
    <w:p>
      <w:pPr>
        <w:pStyle w:val="Normal"/>
        <w:spacing w:lineRule="auto" w:line="276"/>
        <w:jc w:val="both"/>
        <w:rPr>
          <w:rFonts w:ascii="Gotham" w:hAnsi="Gotham" w:cs="Gotham"/>
          <w:sz w:val="22"/>
        </w:rPr>
      </w:pPr>
      <w:r>
        <w:rPr>
          <w:rFonts w:cs="Gotham" w:ascii="Gotham" w:hAnsi="Gotham"/>
          <w:sz w:val="22"/>
        </w:rPr>
        <w:t>Dans le cas du décès d’un enfant, la renonciation à congés peut intervenir au cours des 6 mois suivant la date du décès.</w:t>
      </w:r>
    </w:p>
    <w:p>
      <w:pPr>
        <w:pStyle w:val="Normal"/>
        <w:spacing w:lineRule="auto" w:line="276"/>
        <w:jc w:val="both"/>
        <w:rPr>
          <w:rFonts w:ascii="Gotham" w:hAnsi="Gotham" w:cs="Gotham"/>
          <w:sz w:val="22"/>
        </w:rPr>
      </w:pPr>
      <w:r>
        <w:rPr>
          <w:rFonts w:cs="Gotham" w:ascii="Gotham" w:hAnsi="Gotham"/>
          <w:sz w:val="22"/>
        </w:rPr>
      </w:r>
    </w:p>
    <w:p>
      <w:pPr>
        <w:pStyle w:val="Normal"/>
        <w:spacing w:lineRule="auto" w:line="276"/>
        <w:jc w:val="both"/>
        <w:rPr>
          <w:rFonts w:ascii="Gotham" w:hAnsi="Gotham" w:cs="Gotham"/>
          <w:sz w:val="22"/>
        </w:rPr>
      </w:pPr>
      <w:r>
        <w:rPr>
          <w:rFonts w:cs="Gotham" w:ascii="Gotham" w:hAnsi="Gotham"/>
          <w:sz w:val="22"/>
        </w:rPr>
        <w:t>Le congé annuel ne peut être cédé que pour sa durée excédant 25 jours ouvrés. Peuvent également être cédés</w:t>
      </w:r>
      <w:r>
        <w:rPr>
          <w:rFonts w:cs="Calibri" w:ascii="Gotham" w:hAnsi="Gotham"/>
          <w:sz w:val="22"/>
        </w:rPr>
        <w:t> </w:t>
      </w:r>
      <w:r>
        <w:rPr>
          <w:rFonts w:cs="Gotham" w:ascii="Gotham" w:hAnsi="Gotham"/>
          <w:sz w:val="22"/>
        </w:rPr>
        <w:t>les jours de repos compensatoires (forfait jours) dans la limite de 6 jours ouvrés par an ainsi que les jours provenant du CET.</w:t>
      </w:r>
    </w:p>
    <w:p>
      <w:pPr>
        <w:pStyle w:val="Normal"/>
        <w:spacing w:lineRule="auto" w:line="276"/>
        <w:jc w:val="both"/>
        <w:rPr>
          <w:rFonts w:ascii="Gotham" w:hAnsi="Gotham" w:cs="Gotham"/>
          <w:sz w:val="22"/>
        </w:rPr>
      </w:pPr>
      <w:r>
        <w:rPr>
          <w:rFonts w:cs="Gotham" w:ascii="Gotham" w:hAnsi="Gotham"/>
          <w:sz w:val="22"/>
        </w:rPr>
      </w:r>
    </w:p>
    <w:p>
      <w:pPr>
        <w:pStyle w:val="Normal"/>
        <w:spacing w:lineRule="auto" w:line="276"/>
        <w:jc w:val="both"/>
        <w:rPr/>
      </w:pPr>
      <w:r>
        <w:rPr>
          <w:rFonts w:cs="Gotham" w:ascii="Gotham" w:hAnsi="Gotham"/>
          <w:sz w:val="22"/>
        </w:rPr>
        <w:t>Le salarié bénéficiaire d'un ou plusieurs jours cédés profite du maintien de sa rémunération pendant sa période d'absence. Cette période d'absence est assimilée à une période de travail effectif pour la détermination des droits que le salarié tient de son ancienneté. Le salarié conserve le bénéfice de tous les avantages qu'il avait acquis avant le début de sa période d'absence.</w:t>
      </w:r>
    </w:p>
    <w:p>
      <w:pPr>
        <w:pStyle w:val="Normal"/>
        <w:spacing w:lineRule="auto" w:line="276"/>
        <w:jc w:val="both"/>
        <w:rPr>
          <w:rFonts w:ascii="Gotham" w:hAnsi="Gotham" w:cs="Gotham"/>
          <w:sz w:val="22"/>
        </w:rPr>
      </w:pPr>
      <w:r>
        <w:rPr>
          <w:rFonts w:cs="Gotham" w:ascii="Gotham" w:hAnsi="Gotham"/>
          <w:sz w:val="22"/>
        </w:rPr>
      </w:r>
    </w:p>
    <w:p>
      <w:pPr>
        <w:pStyle w:val="Normal"/>
        <w:spacing w:lineRule="auto" w:line="276"/>
        <w:jc w:val="both"/>
        <w:rPr/>
      </w:pPr>
      <w:r>
        <w:rPr>
          <w:rFonts w:cs="Gotham" w:ascii="Gotham" w:hAnsi="Gotham"/>
          <w:sz w:val="22"/>
        </w:rPr>
        <w:t>Le don de jour(s) doit être fait auprès de la DRH par courrier avec accusé de réception ou courrier remis en main propre contre décharge. La DRH s’engage à répondre au salarié donateur sous un délai maximal de 7 jours calendaires, à compter du lendemain de la réception de la demande.</w:t>
      </w:r>
    </w:p>
    <w:p>
      <w:pPr>
        <w:pStyle w:val="Normal"/>
        <w:spacing w:lineRule="auto" w:line="276"/>
        <w:jc w:val="both"/>
        <w:rPr/>
      </w:pPr>
      <w:r>
        <w:rPr>
          <w:rFonts w:cs="Gotham" w:ascii="Gotham" w:hAnsi="Gotham"/>
          <w:sz w:val="22"/>
        </w:rPr>
        <w:t>Le salarié bénéficiaire est informé du don dans un délai maximal de 7 jours calendaires à compter du lendemain de l’acceptation de la demande de don. Il devra alors informer son manager du nombre et de la/des date(s) du/des jour(s) de repos qu’il entend prendre dans un délai minimum de 15 jours avant la date du premier jour de repos souhaité.</w:t>
      </w:r>
    </w:p>
    <w:p>
      <w:pPr>
        <w:pStyle w:val="Normal"/>
        <w:spacing w:lineRule="auto" w:line="276"/>
        <w:jc w:val="both"/>
        <w:rPr>
          <w:rFonts w:ascii="Gotham" w:hAnsi="Gotham" w:cs="Gotham"/>
          <w:sz w:val="22"/>
        </w:rPr>
      </w:pPr>
      <w:r>
        <w:rPr>
          <w:rFonts w:cs="Gotham" w:ascii="Gotham" w:hAnsi="Gotham"/>
          <w:sz w:val="22"/>
        </w:rPr>
      </w:r>
    </w:p>
    <w:p>
      <w:pPr>
        <w:pStyle w:val="Normal"/>
        <w:spacing w:lineRule="auto" w:line="276"/>
        <w:jc w:val="both"/>
        <w:rPr/>
      </w:pPr>
      <w:r>
        <w:rPr>
          <w:rFonts w:cs="Gotham" w:ascii="Gotham" w:hAnsi="Gotham"/>
          <w:sz w:val="22"/>
        </w:rPr>
        <w:t xml:space="preserve">Le premier jour donné devra être posé sous un délai maximal de 2 mois à compter de la notification du salarié bénéficiaire, à une date fixée d’un commun accord entre le salarié bénéficiaire et son supérieur hiérarchique. </w:t>
      </w:r>
    </w:p>
    <w:p>
      <w:pPr>
        <w:pStyle w:val="Normal"/>
        <w:spacing w:lineRule="auto" w:line="276"/>
        <w:jc w:val="both"/>
        <w:rPr>
          <w:rFonts w:ascii="Gotham" w:hAnsi="Gotham" w:cs="Gotham"/>
          <w:sz w:val="22"/>
        </w:rPr>
      </w:pPr>
      <w:r>
        <w:rPr>
          <w:rFonts w:cs="Gotham" w:ascii="Gotham" w:hAnsi="Gotham"/>
          <w:sz w:val="22"/>
        </w:rPr>
      </w:r>
    </w:p>
    <w:p>
      <w:pPr>
        <w:pStyle w:val="Normal"/>
        <w:spacing w:lineRule="auto" w:line="276"/>
        <w:jc w:val="both"/>
        <w:rPr>
          <w:rFonts w:ascii="Gotham" w:hAnsi="Gotham" w:cs="Gotham"/>
          <w:sz w:val="22"/>
        </w:rPr>
      </w:pPr>
      <w:r>
        <w:rPr>
          <w:rFonts w:cs="Gotham" w:ascii="Gotham" w:hAnsi="Gotham"/>
          <w:sz w:val="22"/>
        </w:rPr>
        <w:t>Il est convenu qu’un jour de repos donné est valorisé à hauteur d’une journée de travail pour le salarié bénéficiaire quelle que soit la rémunération perçue par le salarié donateur.</w:t>
      </w:r>
    </w:p>
    <w:p>
      <w:pPr>
        <w:pStyle w:val="Heading"/>
        <w:rPr/>
      </w:pPr>
      <w:bookmarkStart w:id="30" w:name="__RefHeading___Toc85536088"/>
      <w:bookmarkEnd w:id="30"/>
      <w:r>
        <w:rPr/>
        <w:t>ARTICLE 5 – AMENAGEMENT DE FIN DE CARRIERE</w:t>
      </w:r>
    </w:p>
    <w:p>
      <w:pPr>
        <w:pStyle w:val="Normal"/>
        <w:rPr/>
      </w:pPr>
      <w:r>
        <w:rPr/>
      </w:r>
    </w:p>
    <w:p>
      <w:pPr>
        <w:pStyle w:val="Normal"/>
        <w:spacing w:lineRule="auto" w:line="276"/>
        <w:jc w:val="both"/>
        <w:rPr/>
      </w:pPr>
      <w:r>
        <w:rPr>
          <w:rFonts w:cs="Gotham" w:ascii="Gotham" w:hAnsi="Gotham"/>
          <w:sz w:val="22"/>
          <w:shd w:fill="FDFDFD" w:val="clear"/>
        </w:rPr>
        <w:t>Compte tenu de la pyramide des âges et du nombre de salariés âgés de 57 ans et plus, il est apparu nécessaire de mettre en œuvre un accompagnement actif des seniors dans leur projet de départ à la retraite.</w:t>
      </w:r>
    </w:p>
    <w:p>
      <w:pPr>
        <w:pStyle w:val="Normal"/>
        <w:spacing w:lineRule="auto" w:line="276"/>
        <w:jc w:val="both"/>
        <w:rPr>
          <w:rFonts w:ascii="Gotham" w:hAnsi="Gotham" w:cs="Gotham"/>
          <w:sz w:val="22"/>
          <w:shd w:fill="FDFDFD" w:val="clear"/>
        </w:rPr>
      </w:pPr>
      <w:r>
        <w:rPr>
          <w:rFonts w:cs="Gotham" w:ascii="Gotham" w:hAnsi="Gotham"/>
          <w:sz w:val="22"/>
          <w:shd w:fill="FDFDFD" w:val="clear"/>
        </w:rPr>
      </w:r>
    </w:p>
    <w:p>
      <w:pPr>
        <w:pStyle w:val="NormalWeb"/>
        <w:spacing w:lineRule="auto" w:line="276" w:before="0" w:after="0"/>
        <w:jc w:val="both"/>
        <w:rPr>
          <w:rFonts w:ascii="Gotham" w:hAnsi="Gotham" w:cs="Segoe UI"/>
          <w:sz w:val="22"/>
        </w:rPr>
      </w:pPr>
      <w:r>
        <w:rPr>
          <w:rFonts w:cs="Segoe UI" w:ascii="Gotham" w:hAnsi="Gotham"/>
          <w:sz w:val="22"/>
        </w:rPr>
        <w:t>A partir de la 3ème année précédant la date prévue de départ en retraite à taux plein (après reconstitution validée de la carrière), le salarié peut choisir de solliciter une réduction de son temps de travail afin d’exercer son activité entre 80% et 100%.</w:t>
      </w:r>
    </w:p>
    <w:p>
      <w:pPr>
        <w:pStyle w:val="NormalWeb"/>
        <w:spacing w:before="0" w:after="0"/>
        <w:jc w:val="both"/>
        <w:rPr>
          <w:rFonts w:ascii="Gotham" w:hAnsi="Gotham" w:cs="Segoe UI"/>
          <w:sz w:val="22"/>
        </w:rPr>
      </w:pPr>
      <w:r>
        <w:rPr>
          <w:rFonts w:cs="Segoe UI" w:ascii="Gotham" w:hAnsi="Gotham"/>
          <w:sz w:val="22"/>
        </w:rPr>
        <w:t>Ce temps partiel est subordonné à l’accord de la DRH et sous réserve d’un délai de prévenance de trois mois et de la faisabilité au sein du service.</w:t>
      </w:r>
    </w:p>
    <w:p>
      <w:pPr>
        <w:pStyle w:val="NormalWeb"/>
        <w:spacing w:before="0" w:after="0"/>
        <w:jc w:val="both"/>
        <w:rPr>
          <w:rFonts w:ascii="Gotham" w:hAnsi="Gotham" w:cs="Segoe UI"/>
          <w:sz w:val="14"/>
        </w:rPr>
      </w:pPr>
      <w:r>
        <w:rPr>
          <w:rFonts w:cs="Segoe UI" w:ascii="Gotham" w:hAnsi="Gotham"/>
          <w:sz w:val="14"/>
        </w:rPr>
      </w:r>
    </w:p>
    <w:p>
      <w:pPr>
        <w:pStyle w:val="NormalWeb"/>
        <w:spacing w:lineRule="auto" w:line="276" w:before="0" w:after="0"/>
        <w:jc w:val="both"/>
        <w:rPr>
          <w:sz w:val="22"/>
        </w:rPr>
      </w:pPr>
      <w:r>
        <w:rPr>
          <w:rFonts w:cs="Segoe UI" w:ascii="Gotham" w:hAnsi="Gotham"/>
          <w:sz w:val="22"/>
        </w:rPr>
        <w:t xml:space="preserve">Cette réduction du temps de travail est formalisée dans le cadre d’un avenant au contrat de travail du salarié </w:t>
      </w:r>
      <w:r>
        <w:rPr>
          <w:rFonts w:cs="Segoe UI" w:ascii="Gotham" w:hAnsi="Gotham"/>
          <w:sz w:val="22"/>
          <w:szCs w:val="22"/>
        </w:rPr>
        <w:t xml:space="preserve">concerné, </w:t>
      </w:r>
      <w:r>
        <w:rPr>
          <w:rFonts w:cs="Gotham" w:ascii="Gotham" w:hAnsi="Gotham"/>
          <w:sz w:val="22"/>
          <w:szCs w:val="22"/>
        </w:rPr>
        <w:t>précisant notamment l'engagement du salarié de faire valoir ses droits à la retraite au terme du dispositif, les modalités d'organisation du travail à temps partiel et la rémunération octroyée au salarié.</w:t>
      </w:r>
      <w:r>
        <w:rPr>
          <w:sz w:val="22"/>
        </w:rPr>
        <w:t xml:space="preserve"> </w:t>
      </w:r>
    </w:p>
    <w:p>
      <w:pPr>
        <w:pStyle w:val="NormalWeb"/>
        <w:spacing w:lineRule="auto" w:line="276" w:before="0" w:after="0"/>
        <w:jc w:val="both"/>
        <w:rPr>
          <w:sz w:val="10"/>
        </w:rPr>
      </w:pPr>
      <w:r>
        <w:rPr>
          <w:sz w:val="10"/>
        </w:rPr>
      </w:r>
    </w:p>
    <w:p>
      <w:pPr>
        <w:pStyle w:val="NormalWeb"/>
        <w:spacing w:lineRule="auto" w:line="276" w:before="0" w:after="0"/>
        <w:jc w:val="both"/>
        <w:rPr/>
      </w:pPr>
      <w:r>
        <w:rPr>
          <w:rFonts w:cs="Segoe UI" w:ascii="Gotham" w:hAnsi="Gotham"/>
          <w:sz w:val="22"/>
        </w:rPr>
        <w:t>Les objectifs et la charge de travail devront être proportionnés au temps de travail.</w:t>
      </w:r>
    </w:p>
    <w:p>
      <w:pPr>
        <w:pStyle w:val="NormalWeb"/>
        <w:spacing w:lineRule="auto" w:line="276" w:before="0" w:after="0"/>
        <w:jc w:val="both"/>
        <w:rPr/>
      </w:pPr>
      <w:r>
        <w:rPr>
          <w:rFonts w:cs="Segoe UI" w:ascii="Gotham" w:hAnsi="Gotham"/>
          <w:sz w:val="22"/>
        </w:rPr>
        <w:t>Le bénéficiaire potentiel devra joindre à sa demande, le relevé de carrière attestant de la date à laquelle il pourra faire liquider ses droits à la retraite à taux plein.</w:t>
      </w:r>
    </w:p>
    <w:p>
      <w:pPr>
        <w:pStyle w:val="NormalWeb"/>
        <w:spacing w:lineRule="auto" w:line="276" w:before="0" w:after="100"/>
        <w:jc w:val="both"/>
        <w:rPr/>
      </w:pPr>
      <w:r>
        <w:rPr>
          <w:rFonts w:cs="Segoe UI" w:ascii="Gotham" w:hAnsi="Gotham"/>
          <w:sz w:val="22"/>
        </w:rPr>
        <w:t>Le salarié qui n’a pas opté pour l’entrée dans le dispositif de réduction d’activité trois ans avant la possibilité de liquidation de sa retraite à taux plein pourra le faire à tout</w:t>
      </w:r>
      <w:r>
        <w:rPr>
          <w:rFonts w:cs="Segoe UI" w:ascii="Segoe UI" w:hAnsi="Segoe UI"/>
          <w:sz w:val="22"/>
        </w:rPr>
        <w:t xml:space="preserve"> </w:t>
      </w:r>
      <w:r>
        <w:rPr>
          <w:rFonts w:cs="Segoe UI" w:ascii="Gotham" w:hAnsi="Gotham"/>
          <w:sz w:val="22"/>
        </w:rPr>
        <w:t>moment sous réserve d’un délai de prévenance de trois mois.</w:t>
      </w:r>
    </w:p>
    <w:p>
      <w:pPr>
        <w:pStyle w:val="NormalWeb"/>
        <w:spacing w:lineRule="auto" w:line="276" w:before="0" w:after="100"/>
        <w:jc w:val="both"/>
        <w:rPr>
          <w:rFonts w:ascii="Gotham" w:hAnsi="Gotham" w:cs="Segoe UI"/>
          <w:sz w:val="22"/>
        </w:rPr>
      </w:pPr>
      <w:r>
        <w:rPr>
          <w:rFonts w:cs="Segoe UI" w:ascii="Gotham" w:hAnsi="Gotham"/>
          <w:sz w:val="22"/>
        </w:rPr>
        <w:t xml:space="preserve">Pendant la période du temps partiel et dans la limite de 3 ans, les salariés concernés bénéficieront du maintien à 100% des cotisations retraite aux régimes obligatoires et complémentaires. Elle sera prise en charge intégralement par l’entreprise jusqu’à la date d’acquisition des trimestres permettant la liquidation à taux plein de la retraite de la sécurité sociale. </w:t>
      </w:r>
    </w:p>
    <w:p>
      <w:pPr>
        <w:pStyle w:val="NormalWeb"/>
        <w:spacing w:lineRule="auto" w:line="276" w:before="0" w:after="100"/>
        <w:jc w:val="both"/>
        <w:rPr>
          <w:rFonts w:ascii="Gotham" w:hAnsi="Gotham" w:cs="Segoe UI"/>
          <w:sz w:val="22"/>
        </w:rPr>
      </w:pPr>
      <w:r>
        <w:rPr>
          <w:rFonts w:cs="Gotham" w:ascii="Gotham" w:hAnsi="Gotham"/>
          <w:sz w:val="22"/>
        </w:rPr>
        <w:t>Pour ce qui concerne le régime de prévoyance, l’entreprise supportera le différentiel de coût correspondant au maintien des droits des salariés en temps partiel comme s'ils avaient poursuivi leur activité à temps plein.</w:t>
      </w:r>
    </w:p>
    <w:p>
      <w:pPr>
        <w:pStyle w:val="NormalWeb"/>
        <w:spacing w:lineRule="auto" w:line="276" w:before="0" w:after="100"/>
        <w:jc w:val="both"/>
        <w:rPr>
          <w:rFonts w:ascii="Gotham" w:hAnsi="Gotham" w:cs="Gotham"/>
          <w:sz w:val="20"/>
        </w:rPr>
      </w:pPr>
      <w:r>
        <w:rPr>
          <w:rFonts w:cs="Gotham" w:ascii="Gotham" w:hAnsi="Gotham"/>
          <w:sz w:val="22"/>
        </w:rPr>
        <w:t>A l'issue de la période de temps partiel, soit au moment de la liquidation de la retraite, les salariés bénéficieront d'une indemnité de retraite équivalente à celle qu'ils auraient acquises s'ils avaient continué à exercer leur activité à temps plein.</w:t>
      </w:r>
    </w:p>
    <w:p>
      <w:pPr>
        <w:pStyle w:val="Heading"/>
        <w:rPr/>
      </w:pPr>
      <w:bookmarkStart w:id="31" w:name="__RefHeading___Toc85536089"/>
      <w:bookmarkEnd w:id="31"/>
      <w:r>
        <w:rPr/>
        <w:t>ARTICLE 6 – DISPOSITIONS FINALES</w:t>
      </w:r>
    </w:p>
    <w:p>
      <w:pPr>
        <w:pStyle w:val="Normal"/>
        <w:ind w:right="-567" w:hanging="0"/>
        <w:jc w:val="both"/>
        <w:rPr>
          <w:rFonts w:ascii="Gotham" w:hAnsi="Gotham" w:cs="Gotham"/>
        </w:rPr>
      </w:pPr>
      <w:r>
        <w:rPr>
          <w:rFonts w:cs="Gotham" w:ascii="Gotham" w:hAnsi="Gotham"/>
        </w:rPr>
      </w:r>
    </w:p>
    <w:p>
      <w:pPr>
        <w:pStyle w:val="Heading1"/>
        <w:numPr>
          <w:ilvl w:val="0"/>
          <w:numId w:val="15"/>
        </w:numPr>
        <w:rPr/>
      </w:pPr>
      <w:bookmarkStart w:id="32" w:name="__RefHeading___Toc85536090"/>
      <w:bookmarkEnd w:id="32"/>
      <w:r>
        <w:rPr/>
        <w:t>Durée de l’accord</w:t>
      </w:r>
    </w:p>
    <w:p>
      <w:pPr>
        <w:pStyle w:val="Art4"/>
        <w:spacing w:before="0" w:after="0"/>
        <w:jc w:val="both"/>
        <w:rPr>
          <w:rFonts w:ascii="Gotham" w:hAnsi="Gotham" w:cs="Gotham"/>
          <w:sz w:val="22"/>
        </w:rPr>
      </w:pPr>
      <w:r>
        <w:rPr>
          <w:rFonts w:cs="Gotham" w:ascii="Gotham" w:hAnsi="Gotham"/>
          <w:sz w:val="22"/>
        </w:rPr>
      </w:r>
    </w:p>
    <w:p>
      <w:pPr>
        <w:pStyle w:val="Para"/>
        <w:spacing w:lineRule="auto" w:line="276" w:before="0" w:after="0"/>
        <w:ind w:left="0" w:right="102" w:hanging="0"/>
        <w:jc w:val="both"/>
        <w:rPr/>
      </w:pPr>
      <w:r>
        <w:rPr>
          <w:rFonts w:cs="Gotham" w:ascii="Gotham" w:hAnsi="Gotham"/>
          <w:sz w:val="22"/>
        </w:rPr>
        <w:t>Le présent avenant à l’accord est conclu pour une durée indéterminée. Sa date d’effet est le 1</w:t>
      </w:r>
      <w:r>
        <w:rPr>
          <w:rFonts w:cs="Gotham" w:ascii="Gotham" w:hAnsi="Gotham"/>
          <w:sz w:val="22"/>
          <w:vertAlign w:val="superscript"/>
        </w:rPr>
        <w:t>er</w:t>
      </w:r>
      <w:r>
        <w:rPr>
          <w:rFonts w:cs="Gotham" w:ascii="Gotham" w:hAnsi="Gotham"/>
          <w:sz w:val="22"/>
        </w:rPr>
        <w:t xml:space="preserve"> janvier 2022. </w:t>
      </w:r>
    </w:p>
    <w:p>
      <w:pPr>
        <w:pStyle w:val="Art4"/>
        <w:spacing w:before="0" w:after="0"/>
        <w:ind w:left="360" w:right="100" w:hanging="0"/>
        <w:jc w:val="both"/>
        <w:rPr>
          <w:rFonts w:ascii="Gotham" w:hAnsi="Gotham" w:cs="Gotham"/>
          <w:sz w:val="22"/>
        </w:rPr>
      </w:pPr>
      <w:r>
        <w:rPr>
          <w:rFonts w:cs="Gotham" w:ascii="Gotham" w:hAnsi="Gotham"/>
          <w:sz w:val="22"/>
        </w:rPr>
      </w:r>
    </w:p>
    <w:p>
      <w:pPr>
        <w:pStyle w:val="Heading1"/>
        <w:numPr>
          <w:ilvl w:val="0"/>
          <w:numId w:val="15"/>
        </w:numPr>
        <w:rPr/>
      </w:pPr>
      <w:bookmarkStart w:id="33" w:name="__RefHeading___Toc85536091"/>
      <w:r>
        <w:rPr/>
        <w:t>Dénonciation</w:t>
      </w:r>
      <w:bookmarkEnd w:id="33"/>
      <w:r>
        <w:rPr/>
        <w:t xml:space="preserve"> </w:t>
      </w:r>
    </w:p>
    <w:p>
      <w:pPr>
        <w:pStyle w:val="Alvar"/>
        <w:spacing w:before="0" w:after="0"/>
        <w:ind w:left="360" w:right="100" w:hanging="0"/>
        <w:jc w:val="both"/>
        <w:rPr>
          <w:rFonts w:ascii="Gotham" w:hAnsi="Gotham" w:cs="Gotham"/>
          <w:b/>
          <w:b/>
          <w:sz w:val="22"/>
        </w:rPr>
      </w:pPr>
      <w:r>
        <w:rPr>
          <w:rFonts w:cs="Gotham" w:ascii="Gotham" w:hAnsi="Gotham"/>
          <w:b/>
          <w:sz w:val="22"/>
        </w:rPr>
      </w:r>
    </w:p>
    <w:p>
      <w:pPr>
        <w:pStyle w:val="Alvar"/>
        <w:spacing w:lineRule="auto" w:line="276" w:before="0" w:after="0"/>
        <w:ind w:right="102" w:hanging="0"/>
        <w:jc w:val="both"/>
        <w:rPr>
          <w:rFonts w:ascii="Gotham" w:hAnsi="Gotham" w:cs="Gotham"/>
          <w:sz w:val="22"/>
        </w:rPr>
      </w:pPr>
      <w:r>
        <w:rPr>
          <w:rFonts w:cs="Gotham" w:ascii="Gotham" w:hAnsi="Gotham"/>
          <w:sz w:val="22"/>
        </w:rPr>
        <w:t xml:space="preserve">Le présent accord, conclu sans limitation de durée, pourra être dénoncé par LRAR à tout moment par l'une ou l'autre des parties signataires sous réserve de respecter un préavis de 3 mois. </w:t>
      </w:r>
    </w:p>
    <w:p>
      <w:pPr>
        <w:pStyle w:val="Alvar"/>
        <w:spacing w:lineRule="auto" w:line="276" w:before="0" w:after="0"/>
        <w:ind w:right="102" w:hanging="0"/>
        <w:jc w:val="both"/>
        <w:rPr/>
      </w:pPr>
      <w:r>
        <w:rPr>
          <w:rFonts w:cs="Gotham" w:ascii="Gotham" w:hAnsi="Gotham"/>
          <w:sz w:val="22"/>
        </w:rPr>
        <w:t>Pendant ce préavis, les dispositions de l’accord restent en vigueur et la direction et les partenaires sociaux signataires se réunissent pour discuter les possibilités d'un nouvel accord.</w:t>
      </w:r>
    </w:p>
    <w:p>
      <w:pPr>
        <w:pStyle w:val="Alvar"/>
        <w:spacing w:before="0" w:after="0"/>
        <w:ind w:right="102" w:hanging="0"/>
        <w:jc w:val="both"/>
        <w:rPr>
          <w:rFonts w:ascii="Gotham" w:hAnsi="Gotham" w:cs="Gotham"/>
          <w:sz w:val="22"/>
        </w:rPr>
      </w:pPr>
      <w:r>
        <w:rPr>
          <w:rFonts w:cs="Gotham" w:ascii="Gotham" w:hAnsi="Gotham"/>
          <w:sz w:val="22"/>
        </w:rPr>
      </w:r>
    </w:p>
    <w:p>
      <w:pPr>
        <w:pStyle w:val="Heading1"/>
        <w:numPr>
          <w:ilvl w:val="0"/>
          <w:numId w:val="15"/>
        </w:numPr>
        <w:rPr/>
      </w:pPr>
      <w:bookmarkStart w:id="34" w:name="__RefHeading___Toc85536092"/>
      <w:bookmarkEnd w:id="34"/>
      <w:r>
        <w:rPr/>
        <w:t>Révision</w:t>
      </w:r>
    </w:p>
    <w:p>
      <w:pPr>
        <w:pStyle w:val="Normal"/>
        <w:spacing w:lineRule="auto" w:line="276"/>
        <w:jc w:val="both"/>
        <w:rPr>
          <w:rFonts w:ascii="Gotham" w:hAnsi="Gotham" w:cs="Gotham"/>
          <w:b/>
          <w:b/>
          <w:sz w:val="22"/>
        </w:rPr>
      </w:pPr>
      <w:r>
        <w:rPr>
          <w:rFonts w:cs="Gotham" w:ascii="Gotham" w:hAnsi="Gotham"/>
          <w:b/>
          <w:sz w:val="22"/>
        </w:rPr>
      </w:r>
    </w:p>
    <w:p>
      <w:pPr>
        <w:pStyle w:val="Normal"/>
        <w:spacing w:lineRule="auto" w:line="276"/>
        <w:jc w:val="both"/>
        <w:rPr>
          <w:rFonts w:ascii="Gotham" w:hAnsi="Gotham" w:cs="Gotham"/>
          <w:sz w:val="22"/>
        </w:rPr>
      </w:pPr>
      <w:r>
        <w:rPr>
          <w:rFonts w:cs="Gotham" w:ascii="Gotham" w:hAnsi="Gotham"/>
          <w:sz w:val="22"/>
        </w:rPr>
        <w:t>Le présent accord pourra être révisé à la demande d’un signataire. Le signataire qui en fera la demande la portera à connaissance des autres signataires, par lettre recommandée avec AR.</w:t>
      </w:r>
    </w:p>
    <w:p>
      <w:pPr>
        <w:pStyle w:val="Normal"/>
        <w:spacing w:lineRule="auto" w:line="276"/>
        <w:jc w:val="both"/>
        <w:rPr>
          <w:rFonts w:ascii="Gotham" w:hAnsi="Gotham" w:cs="Gotham"/>
          <w:sz w:val="22"/>
        </w:rPr>
      </w:pPr>
      <w:r>
        <w:rPr>
          <w:rFonts w:cs="Gotham" w:ascii="Gotham" w:hAnsi="Gotham"/>
          <w:sz w:val="22"/>
        </w:rPr>
        <w:t>Une négociation devra s’engager dans un délai de 15 jours, à réception de la demande.</w:t>
      </w:r>
    </w:p>
    <w:p>
      <w:pPr>
        <w:pStyle w:val="Normal"/>
        <w:spacing w:lineRule="auto" w:line="276"/>
        <w:jc w:val="both"/>
        <w:rPr>
          <w:rFonts w:ascii="Gotham" w:hAnsi="Gotham" w:cs="Gotham"/>
          <w:sz w:val="22"/>
        </w:rPr>
      </w:pPr>
      <w:r>
        <w:rPr>
          <w:rFonts w:cs="Gotham" w:ascii="Gotham" w:hAnsi="Gotham"/>
          <w:sz w:val="22"/>
        </w:rPr>
      </w:r>
    </w:p>
    <w:p>
      <w:pPr>
        <w:pStyle w:val="Heading1"/>
        <w:numPr>
          <w:ilvl w:val="0"/>
          <w:numId w:val="15"/>
        </w:numPr>
        <w:rPr/>
      </w:pPr>
      <w:bookmarkStart w:id="35" w:name="__RefHeading___Toc85536093"/>
      <w:bookmarkEnd w:id="35"/>
      <w:r>
        <w:rPr/>
        <w:t>Suivi</w:t>
      </w:r>
    </w:p>
    <w:p>
      <w:pPr>
        <w:pStyle w:val="Heading1"/>
        <w:numPr>
          <w:ilvl w:val="0"/>
          <w:numId w:val="0"/>
        </w:numPr>
        <w:ind w:left="0" w:hanging="0"/>
        <w:rPr/>
      </w:pPr>
      <w:r>
        <w:rPr/>
      </w:r>
    </w:p>
    <w:p>
      <w:pPr>
        <w:pStyle w:val="TextBodyIndent"/>
        <w:spacing w:lineRule="auto" w:line="276" w:before="0" w:after="0"/>
        <w:ind w:left="0" w:right="-567" w:hanging="0"/>
        <w:rPr>
          <w:rFonts w:ascii="Gotham" w:hAnsi="Gotham" w:cs="Gotham"/>
          <w:sz w:val="22"/>
          <w:szCs w:val="22"/>
        </w:rPr>
      </w:pPr>
      <w:r>
        <w:rPr>
          <w:rFonts w:cs="Gotham" w:ascii="Gotham" w:hAnsi="Gotham"/>
          <w:sz w:val="22"/>
          <w:szCs w:val="22"/>
        </w:rPr>
        <w:t>Le CSE est chargé de suivre l'application des dispositions du présent accord.</w:t>
      </w:r>
    </w:p>
    <w:p>
      <w:pPr>
        <w:pStyle w:val="Normal"/>
        <w:spacing w:lineRule="auto" w:line="276"/>
        <w:jc w:val="both"/>
        <w:rPr>
          <w:rFonts w:ascii="Gotham" w:hAnsi="Gotham" w:cs="Gotham"/>
          <w:sz w:val="22"/>
          <w:szCs w:val="22"/>
        </w:rPr>
      </w:pPr>
      <w:r>
        <w:rPr>
          <w:rFonts w:cs="Gotham" w:ascii="Gotham" w:hAnsi="Gotham"/>
          <w:sz w:val="22"/>
          <w:szCs w:val="22"/>
        </w:rPr>
        <w:t>Une commission de suivi se réunira six mois après la mise en œuvre effective du dispositif de badgeage numérique afin d’établir un bilan des dispositions et effectuer des éventuels ajustements.</w:t>
      </w:r>
    </w:p>
    <w:p>
      <w:pPr>
        <w:pStyle w:val="NormalWeb"/>
        <w:shd w:fill="FFFFFF" w:val="clear"/>
        <w:jc w:val="both"/>
        <w:rPr>
          <w:rFonts w:ascii="Gotham" w:hAnsi="Gotham" w:cs="Gotham"/>
          <w:sz w:val="22"/>
          <w:szCs w:val="23"/>
        </w:rPr>
      </w:pPr>
      <w:r>
        <w:rPr>
          <w:rFonts w:cs="Gotham" w:ascii="Gotham" w:hAnsi="Gotham"/>
          <w:sz w:val="22"/>
          <w:szCs w:val="23"/>
        </w:rPr>
        <w:t>Les représentants de chacune des parties signataires conviennent de se rencontrer à la requête de la partie la plus diligente, dans le mois suivant la demande, pour étudier et tenter de régler tout différend d’ordre collectif né de l’application du présent accord.</w:t>
      </w:r>
    </w:p>
    <w:p>
      <w:pPr>
        <w:pStyle w:val="NormalWeb"/>
        <w:shd w:fill="FFFFFF" w:val="clear"/>
        <w:jc w:val="both"/>
        <w:rPr>
          <w:rFonts w:ascii="Gotham" w:hAnsi="Gotham" w:cs="Gotham"/>
          <w:sz w:val="22"/>
          <w:szCs w:val="23"/>
        </w:rPr>
      </w:pPr>
      <w:r>
        <w:rPr>
          <w:rFonts w:cs="Gotham" w:ascii="Gotham" w:hAnsi="Gotham"/>
          <w:sz w:val="22"/>
          <w:szCs w:val="23"/>
        </w:rPr>
        <w:t>La demande de réunion consigne l’exposé précis du différend. La position retenue en fin de réunion fait l’objet d’un procès-verbal rédigé par la Direction. Le document est remis à chacune des parties signataires.</w:t>
      </w:r>
    </w:p>
    <w:p>
      <w:pPr>
        <w:pStyle w:val="NormalWeb"/>
        <w:shd w:fill="FFFFFF" w:val="clear"/>
        <w:jc w:val="both"/>
        <w:rPr>
          <w:rFonts w:ascii="Gotham" w:hAnsi="Gotham" w:cs="Gotham"/>
          <w:sz w:val="22"/>
          <w:szCs w:val="23"/>
        </w:rPr>
      </w:pPr>
      <w:r>
        <w:rPr>
          <w:rFonts w:cs="Gotham" w:ascii="Gotham" w:hAnsi="Gotham"/>
          <w:sz w:val="22"/>
          <w:szCs w:val="23"/>
        </w:rPr>
        <w:t>Si cela est nécessaire, une seconde réunion pourra être organisée dans le mois suivant la première réunion.</w:t>
      </w:r>
    </w:p>
    <w:p>
      <w:pPr>
        <w:pStyle w:val="NormalWeb"/>
        <w:shd w:fill="FFFFFF" w:val="clear"/>
        <w:jc w:val="both"/>
        <w:rPr>
          <w:rFonts w:ascii="Gotham" w:hAnsi="Gotham" w:cs="Gotham"/>
          <w:sz w:val="22"/>
          <w:szCs w:val="23"/>
        </w:rPr>
      </w:pPr>
      <w:r>
        <w:rPr>
          <w:rFonts w:cs="Gotham" w:ascii="Gotham" w:hAnsi="Gotham"/>
          <w:sz w:val="22"/>
          <w:szCs w:val="23"/>
        </w:rPr>
        <w:t>Jusqu'à l’expiration de ces délais, les parties contractantes s’engagent à ne susciter aucune forme d’action contentieuse liée au différend faisant l’objet de cette procédure.</w:t>
      </w:r>
    </w:p>
    <w:p>
      <w:pPr>
        <w:pStyle w:val="Normal"/>
        <w:spacing w:lineRule="auto" w:line="276"/>
        <w:rPr>
          <w:rFonts w:ascii="Gotham" w:hAnsi="Gotham" w:cs="Gotham"/>
          <w:sz w:val="22"/>
          <w:szCs w:val="22"/>
        </w:rPr>
      </w:pPr>
      <w:r>
        <w:rPr>
          <w:rFonts w:cs="Gotham" w:ascii="Gotham" w:hAnsi="Gotham"/>
          <w:sz w:val="22"/>
          <w:szCs w:val="22"/>
        </w:rPr>
      </w:r>
    </w:p>
    <w:p>
      <w:pPr>
        <w:pStyle w:val="Heading1"/>
        <w:numPr>
          <w:ilvl w:val="0"/>
          <w:numId w:val="15"/>
        </w:numPr>
        <w:rPr/>
      </w:pPr>
      <w:bookmarkStart w:id="36" w:name="__RefHeading___Toc85536094"/>
      <w:bookmarkEnd w:id="36"/>
      <w:r>
        <w:rPr/>
        <w:t>Dépôt légal</w:t>
      </w:r>
    </w:p>
    <w:p>
      <w:pPr>
        <w:pStyle w:val="Heading1"/>
        <w:numPr>
          <w:ilvl w:val="0"/>
          <w:numId w:val="0"/>
        </w:numPr>
        <w:ind w:left="720" w:hanging="0"/>
        <w:rPr/>
      </w:pPr>
      <w:r>
        <w:rPr/>
      </w:r>
    </w:p>
    <w:p>
      <w:pPr>
        <w:pStyle w:val="TextBodyIndent"/>
        <w:spacing w:lineRule="auto" w:line="276"/>
        <w:ind w:left="0" w:right="-2" w:hanging="0"/>
        <w:jc w:val="both"/>
        <w:rPr/>
      </w:pPr>
      <w:r>
        <w:rPr>
          <w:rFonts w:cs="Gotham" w:ascii="Gotham" w:hAnsi="Gotham"/>
          <w:sz w:val="22"/>
        </w:rPr>
        <w:t xml:space="preserve">Le présent accord ainsi que les pièces accompagnant le dépôt sont déposés sur la plateforme de téléprocédure de la DREETS, conformément aux articles D.2231-4, D.2231-6 et D.2231-7 du Code du travail. </w:t>
      </w:r>
    </w:p>
    <w:p>
      <w:pPr>
        <w:pStyle w:val="Normal"/>
        <w:ind w:right="-567" w:hanging="0"/>
        <w:jc w:val="both"/>
        <w:rPr>
          <w:rFonts w:ascii="Gotham" w:hAnsi="Gotham" w:cs="Gotham"/>
          <w:sz w:val="22"/>
        </w:rPr>
      </w:pPr>
      <w:r>
        <w:rPr>
          <w:rFonts w:cs="Gotham" w:ascii="Gotham" w:hAnsi="Gotham"/>
          <w:sz w:val="22"/>
        </w:rPr>
        <w:t>Le présent accord sera affiché sur les panneaux d’affichage prévus à cet effet.</w:t>
      </w:r>
    </w:p>
    <w:p>
      <w:pPr>
        <w:pStyle w:val="Normal"/>
        <w:jc w:val="both"/>
        <w:rPr>
          <w:rFonts w:ascii="Gotham" w:hAnsi="Gotham" w:cs="Gotham"/>
          <w:sz w:val="22"/>
        </w:rPr>
      </w:pPr>
      <w:r>
        <w:rPr>
          <w:rFonts w:cs="Gotham" w:ascii="Gotham" w:hAnsi="Gotham"/>
          <w:sz w:val="22"/>
        </w:rPr>
      </w:r>
    </w:p>
    <w:p>
      <w:pPr>
        <w:pStyle w:val="Normal"/>
        <w:autoSpaceDE w:val="false"/>
        <w:spacing w:lineRule="auto" w:line="276"/>
        <w:rPr>
          <w:rFonts w:ascii="Gotham" w:hAnsi="Gotham" w:cs="Verdana"/>
          <w:b/>
          <w:b/>
          <w:sz w:val="22"/>
        </w:rPr>
      </w:pPr>
      <w:r>
        <w:rPr>
          <w:rFonts w:cs="Verdana" w:ascii="Gotham" w:hAnsi="Gotham"/>
          <w:b/>
          <w:sz w:val="22"/>
        </w:rPr>
      </w:r>
    </w:p>
    <w:p>
      <w:pPr>
        <w:pStyle w:val="Normal"/>
        <w:autoSpaceDE w:val="false"/>
        <w:spacing w:lineRule="auto" w:line="276"/>
        <w:rPr>
          <w:rFonts w:ascii="Gotham" w:hAnsi="Gotham" w:cs="Verdana"/>
          <w:b/>
          <w:b/>
          <w:sz w:val="22"/>
        </w:rPr>
      </w:pPr>
      <w:r>
        <w:rPr>
          <w:rFonts w:cs="Verdana" w:ascii="Gotham" w:hAnsi="Gotham"/>
          <w:b/>
          <w:sz w:val="22"/>
        </w:rPr>
      </w:r>
    </w:p>
    <w:p>
      <w:pPr>
        <w:pStyle w:val="Normal"/>
        <w:autoSpaceDE w:val="false"/>
        <w:spacing w:lineRule="auto" w:line="276"/>
        <w:rPr/>
      </w:pPr>
      <w:r>
        <w:rPr>
          <w:rFonts w:cs="Verdana" w:ascii="Gotham" w:hAnsi="Gotham"/>
          <w:b/>
          <w:sz w:val="22"/>
        </w:rPr>
        <w:t>Fait à Bourg-en-Bresse, le 4 novembre 2021</w:t>
      </w:r>
    </w:p>
    <w:p>
      <w:pPr>
        <w:pStyle w:val="Normal"/>
        <w:tabs>
          <w:tab w:val="center" w:pos="1985" w:leader="none"/>
          <w:tab w:val="center" w:pos="7938" w:leader="none"/>
        </w:tabs>
        <w:autoSpaceDE w:val="false"/>
        <w:spacing w:lineRule="auto" w:line="276"/>
        <w:jc w:val="both"/>
        <w:rPr>
          <w:rFonts w:ascii="Gotham" w:hAnsi="Gotham" w:cs="Verdana"/>
          <w:sz w:val="22"/>
        </w:rPr>
      </w:pPr>
      <w:r>
        <w:rPr>
          <w:rFonts w:cs="Verdana" w:ascii="Gotham" w:hAnsi="Gotham"/>
          <w:sz w:val="22"/>
        </w:rPr>
        <w:tab/>
        <w:t xml:space="preserve"> </w:t>
      </w:r>
    </w:p>
    <w:p>
      <w:pPr>
        <w:pStyle w:val="Normal"/>
        <w:tabs>
          <w:tab w:val="center" w:pos="1985" w:leader="none"/>
          <w:tab w:val="center" w:pos="7938" w:leader="none"/>
        </w:tabs>
        <w:autoSpaceDE w:val="false"/>
        <w:spacing w:lineRule="auto" w:line="276"/>
        <w:jc w:val="both"/>
        <w:rPr>
          <w:rFonts w:ascii="Gotham" w:hAnsi="Gotham" w:cs="Verdana"/>
          <w:b/>
          <w:b/>
          <w:bCs/>
          <w:sz w:val="22"/>
        </w:rPr>
      </w:pPr>
      <w:r>
        <w:rPr>
          <w:rFonts w:cs="Verdana" w:ascii="Gotham" w:hAnsi="Gotham"/>
          <w:b/>
          <w:bCs/>
          <w:sz w:val="22"/>
        </w:rPr>
      </w:r>
    </w:p>
    <w:p>
      <w:pPr>
        <w:pStyle w:val="Normal"/>
        <w:tabs>
          <w:tab w:val="center" w:pos="1985" w:leader="none"/>
          <w:tab w:val="center" w:pos="7938" w:leader="none"/>
        </w:tabs>
        <w:autoSpaceDE w:val="false"/>
        <w:spacing w:lineRule="auto" w:line="276"/>
        <w:jc w:val="both"/>
        <w:rPr>
          <w:rFonts w:ascii="Gotham" w:hAnsi="Gotham" w:cs="Verdana"/>
          <w:b/>
          <w:b/>
          <w:bCs/>
          <w:sz w:val="22"/>
        </w:rPr>
      </w:pPr>
      <w:r>
        <w:rPr>
          <w:rFonts w:cs="Verdana" w:ascii="Gotham" w:hAnsi="Gotham"/>
          <w:b/>
          <w:bCs/>
          <w:sz w:val="22"/>
        </w:rPr>
        <w:t>Pour la déléguée syndicale                                      Pour l'entreprise</w:t>
      </w:r>
    </w:p>
    <w:p>
      <w:pPr>
        <w:pStyle w:val="Normal"/>
        <w:tabs>
          <w:tab w:val="center" w:pos="1985" w:leader="none"/>
          <w:tab w:val="center" w:pos="7938" w:leader="none"/>
        </w:tabs>
        <w:autoSpaceDE w:val="false"/>
        <w:spacing w:lineRule="auto" w:line="276"/>
        <w:jc w:val="both"/>
        <w:rPr>
          <w:rFonts w:ascii="Gotham" w:hAnsi="Gotham" w:cs="Verdana"/>
          <w:sz w:val="22"/>
        </w:rPr>
      </w:pPr>
      <w:r>
        <w:rPr>
          <w:rFonts w:cs="Verdana" w:ascii="Gotham" w:hAnsi="Gotham"/>
          <w:b/>
          <w:bCs/>
          <w:sz w:val="22"/>
        </w:rPr>
        <w:tab/>
        <w:tab/>
        <w:tab/>
        <w:tab/>
        <w:tab/>
        <w:t xml:space="preserve">                   </w:t>
      </w:r>
    </w:p>
    <w:p>
      <w:pPr>
        <w:pStyle w:val="Normal"/>
        <w:tabs>
          <w:tab w:val="center" w:pos="1985" w:leader="none"/>
          <w:tab w:val="center" w:pos="7938" w:leader="none"/>
        </w:tabs>
        <w:autoSpaceDE w:val="false"/>
        <w:spacing w:lineRule="auto" w:line="276"/>
        <w:jc w:val="both"/>
        <w:rPr>
          <w:rFonts w:ascii="Gotham" w:hAnsi="Gotham" w:cs="Verdana"/>
          <w:sz w:val="22"/>
        </w:rPr>
      </w:pPr>
      <w:r>
        <w:rPr>
          <w:rFonts w:cs="Verdana" w:ascii="Gotham" w:hAnsi="Gotham"/>
          <w:b/>
          <w:sz w:val="22"/>
        </w:rPr>
        <w:t>xxx                                                                            xxx</w:t>
      </w:r>
    </w:p>
    <w:p>
      <w:pPr>
        <w:pStyle w:val="Normal"/>
        <w:tabs>
          <w:tab w:val="center" w:pos="1985" w:leader="none"/>
          <w:tab w:val="center" w:pos="7938" w:leader="none"/>
        </w:tabs>
        <w:autoSpaceDE w:val="false"/>
        <w:spacing w:lineRule="auto" w:line="276"/>
        <w:jc w:val="both"/>
        <w:rPr>
          <w:rFonts w:ascii="Gotham" w:hAnsi="Gotham" w:cs="Gotham"/>
          <w:sz w:val="22"/>
        </w:rPr>
      </w:pPr>
      <w:r>
        <w:rPr>
          <w:rFonts w:cs="Verdana" w:ascii="Gotham" w:hAnsi="Gotham"/>
          <w:b/>
          <w:sz w:val="22"/>
        </w:rPr>
        <w:tab/>
      </w:r>
      <w:r>
        <w:rPr>
          <w:rFonts w:cs="Verdana" w:ascii="Gotham" w:hAnsi="Gotham"/>
          <w:sz w:val="22"/>
        </w:rPr>
        <w:t>Déléguée syndicale CFDT                                        Directeur Général</w:t>
      </w:r>
    </w:p>
    <w:p>
      <w:pPr>
        <w:pStyle w:val="Normal"/>
        <w:tabs>
          <w:tab w:val="left" w:pos="180" w:leader="none"/>
          <w:tab w:val="left" w:pos="8860" w:leader="none"/>
        </w:tabs>
        <w:jc w:val="both"/>
        <w:rPr>
          <w:rFonts w:ascii="Gotham" w:hAnsi="Gotham" w:cs="Gotham"/>
          <w:sz w:val="22"/>
        </w:rPr>
      </w:pPr>
      <w:r>
        <w:rPr>
          <w:rFonts w:cs="Gotham" w:ascii="Gotham" w:hAnsi="Gotham"/>
          <w:sz w:val="22"/>
        </w:rPr>
      </w:r>
    </w:p>
    <w:p>
      <w:pPr>
        <w:pStyle w:val="Normal"/>
        <w:tabs>
          <w:tab w:val="left" w:pos="180" w:leader="none"/>
          <w:tab w:val="left" w:pos="8860" w:leader="none"/>
        </w:tabs>
        <w:jc w:val="both"/>
        <w:rPr>
          <w:rFonts w:ascii="Gotham" w:hAnsi="Gotham" w:cs="Gotham"/>
          <w:sz w:val="22"/>
        </w:rPr>
      </w:pPr>
      <w:r>
        <w:rPr>
          <w:rFonts w:cs="Gotham" w:ascii="Gotham" w:hAnsi="Gotham"/>
          <w:sz w:val="22"/>
        </w:rPr>
      </w:r>
    </w:p>
    <w:p>
      <w:pPr>
        <w:pStyle w:val="Normal"/>
        <w:tabs>
          <w:tab w:val="left" w:pos="180" w:leader="none"/>
          <w:tab w:val="left" w:pos="8860" w:leader="none"/>
        </w:tabs>
        <w:jc w:val="both"/>
        <w:rPr>
          <w:rFonts w:ascii="Gotham" w:hAnsi="Gotham" w:cs="Gotham"/>
          <w:sz w:val="22"/>
        </w:rPr>
      </w:pPr>
      <w:r>
        <w:rPr>
          <w:rFonts w:cs="Gotham" w:ascii="Gotham" w:hAnsi="Gotham"/>
          <w:sz w:val="22"/>
        </w:rPr>
      </w:r>
    </w:p>
    <w:p>
      <w:pPr>
        <w:pStyle w:val="Normal"/>
        <w:tabs>
          <w:tab w:val="left" w:pos="180" w:leader="none"/>
          <w:tab w:val="left" w:pos="8860" w:leader="none"/>
        </w:tabs>
        <w:jc w:val="both"/>
        <w:rPr>
          <w:rFonts w:ascii="Gotham" w:hAnsi="Gotham" w:cs="Gotham"/>
          <w:sz w:val="22"/>
        </w:rPr>
      </w:pPr>
      <w:r>
        <w:rPr>
          <w:rFonts w:cs="Gotham" w:ascii="Gotham" w:hAnsi="Gotham"/>
          <w:sz w:val="22"/>
        </w:rPr>
      </w:r>
    </w:p>
    <w:p>
      <w:pPr>
        <w:pStyle w:val="Normal"/>
        <w:tabs>
          <w:tab w:val="left" w:pos="180" w:leader="none"/>
          <w:tab w:val="left" w:pos="8860" w:leader="none"/>
        </w:tabs>
        <w:jc w:val="both"/>
        <w:rPr>
          <w:rFonts w:ascii="Gotham" w:hAnsi="Gotham" w:cs="Gotham"/>
          <w:sz w:val="22"/>
        </w:rPr>
      </w:pPr>
      <w:r>
        <w:rPr>
          <w:rFonts w:cs="Gotham" w:ascii="Gotham" w:hAnsi="Gotham"/>
          <w:sz w:val="22"/>
        </w:rPr>
      </w:r>
    </w:p>
    <w:sectPr>
      <w:footerReference w:type="default" r:id="rId3"/>
      <w:type w:val="nextPage"/>
      <w:pgSz w:w="11906" w:h="16838"/>
      <w:pgMar w:left="1418" w:right="1418" w:header="0" w:top="1418" w:footer="720"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otham">
    <w:charset w:val="00"/>
    <w:family w:val="auto"/>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Bosch Office Sans">
    <w:altName w:val="Times New Roman"/>
    <w:charset w:val="00"/>
    <w:family w:val="auto"/>
    <w:pitch w:val="variable"/>
  </w:font>
  <w:font w:name="Segoe UI">
    <w:charset w:val="00"/>
    <w:family w:val="swiss"/>
    <w:pitch w:val="variable"/>
  </w:font>
  <w:font w:name="Tms Rmn">
    <w:altName w:val="Times New Roman"/>
    <w:charset w:val="00"/>
    <w:family w:val="roman"/>
    <w:pitch w:val="variable"/>
  </w:font>
  <w:font w:name="Calibri Light">
    <w:charset w:val="00"/>
    <w:family w:val="swiss"/>
    <w:pitch w:val="variable"/>
  </w:font>
  <w:font w:name="Verdana">
    <w:charset w:val="00"/>
    <w:family w:val="swiss"/>
    <w:pitch w:val="variable"/>
  </w:font>
  <w:font w:name="Campton Rounded Light">
    <w:altName w:val="Courier New"/>
    <w:charset w:val="00"/>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u w:val="single"/>
      </w:rPr>
    </w:pPr>
    <w:r>
      <w:rPr>
        <w:u w:val="single"/>
      </w:rPr>
      <w:tab/>
      <w:tab/>
    </w:r>
    <w:r>
      <mc:AlternateContent>
        <mc:Choice Requires="wps">
          <w:drawing>
            <wp:anchor behindDoc="0" distT="0" distB="0" distL="0" distR="0" simplePos="0" locked="0" layoutInCell="1" allowOverlap="1" relativeHeight="15">
              <wp:simplePos x="0" y="0"/>
              <wp:positionH relativeFrom="margin">
                <wp:align>center</wp:align>
              </wp:positionH>
              <wp:positionV relativeFrom="paragraph">
                <wp:posOffset>635</wp:posOffset>
              </wp:positionV>
              <wp:extent cx="153035" cy="175260"/>
              <wp:effectExtent l="0" t="0" r="0" b="0"/>
              <wp:wrapSquare wrapText="largest"/>
              <wp:docPr id="2"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instrText> PAGE </w:instrText>
                          </w:r>
                          <w:r>
                            <w:fldChar w:fldCharType="separate"/>
                          </w:r>
                          <w:r>
                            <w:t>14</w:t>
                          </w:r>
                          <w:r>
                            <w:fldChar w:fldCharType="end"/>
                          </w:r>
                        </w:p>
                      </w:txbxContent>
                    </wps:txbx>
                    <wps:bodyPr anchor="t">
                      <a:noAutofit/>
                    </wps:bodyPr>
                  </wps:wsp>
                </a:graphicData>
              </a:graphic>
            </wp:anchor>
          </w:drawing>
        </mc:Choice>
        <mc:Fallback>
          <w:pict>
            <v:rect fillcolor="#FFFFFF" style="position:absolute;rotation:0;width:12.05pt;height:13.8pt;margin-top:0.05pt;mso-position-vertical-relative:text;margin-left:220.75pt;mso-position-horizontal:center;mso-position-horizontal-relative:margin">
              <v:fill opacity="0f"/>
              <v:textbox>
                <w:txbxContent>
                  <w:p>
                    <w:pPr>
                      <w:pStyle w:val="Footer"/>
                      <w:rPr>
                        <w:rStyle w:val="PageNumber"/>
                      </w:rPr>
                    </w:pPr>
                    <w:r>
                      <w:rPr>
                        <w:rStyle w:val="PageNumber"/>
                      </w:rPr>
                      <w:fldChar w:fldCharType="begin"/>
                    </w:r>
                    <w:r>
                      <w:instrText> PAGE </w:instrText>
                    </w:r>
                    <w:r>
                      <w:fldChar w:fldCharType="separate"/>
                    </w:r>
                    <w:r>
                      <w:t>14</w:t>
                    </w:r>
                    <w:r>
                      <w:fldChar w:fldCharType="end"/>
                    </w:r>
                  </w:p>
                </w:txbxContent>
              </v:textbox>
              <w10:wrap type="square" side="largest"/>
            </v:rect>
          </w:pict>
        </mc:Fallback>
      </mc:AlternateContent>
    </w:r>
  </w:p>
  <w:p>
    <w:pPr>
      <w:pStyle w:val="Footer"/>
      <w:rPr>
        <w:u w:val="single"/>
      </w:rPr>
    </w:pPr>
    <w:r>
      <w:rPr>
        <w:u w:val="singl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ind w:left="720" w:hanging="360"/>
      </w:pPr>
      <w:rPr>
        <w:b/>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sz w:val="22"/>
        <w:rFonts w:cs="Symbol"/>
      </w:rPr>
    </w:lvl>
  </w:abstractNum>
  <w:abstractNum w:abstractNumId="3">
    <w:lvl w:ilvl="0">
      <w:start w:val="1"/>
      <w:numFmt w:val="bullet"/>
      <w:lvlText w:val=""/>
      <w:lvlJc w:val="left"/>
      <w:pPr>
        <w:ind w:left="720" w:hanging="360"/>
      </w:pPr>
      <w:rPr>
        <w:rFonts w:ascii="Symbol" w:hAnsi="Symbol" w:cs="Symbol" w:hint="default"/>
        <w:sz w:val="22"/>
        <w:rFonts w:cs="Symbol"/>
      </w:rPr>
    </w:lvl>
  </w:abstractNum>
  <w:abstractNum w:abstractNumId="4">
    <w:lvl w:ilvl="0">
      <w:start w:val="1"/>
      <w:numFmt w:val="bullet"/>
      <w:lvlText w:val=""/>
      <w:lvlJc w:val="left"/>
      <w:pPr>
        <w:ind w:left="720" w:hanging="360"/>
      </w:pPr>
      <w:rPr>
        <w:rFonts w:ascii="Symbol" w:hAnsi="Symbol" w:cs="Symbol" w:hint="default"/>
        <w:sz w:val="22"/>
        <w:szCs w:val="22"/>
        <w:rFonts w:cs="Symbol"/>
      </w:rPr>
    </w:lvl>
  </w:abstractNum>
  <w:abstractNum w:abstractNumId="5">
    <w:lvl w:ilvl="0">
      <w:start w:val="1"/>
      <w:numFmt w:val="bullet"/>
      <w:lvlText w:val=""/>
      <w:lvlJc w:val="left"/>
      <w:pPr>
        <w:ind w:left="720" w:hanging="360"/>
      </w:pPr>
      <w:rPr>
        <w:rFonts w:ascii="Symbol" w:hAnsi="Symbol" w:cs="Symbol" w:hint="default"/>
        <w:sz w:val="22"/>
        <w:rFonts w:cs="Symbol"/>
      </w:rPr>
    </w:lvl>
  </w:abstractNum>
  <w:abstractNum w:abstractNumId="6">
    <w:lvl w:ilvl="0">
      <w:start w:val="1"/>
      <w:numFmt w:val="bullet"/>
      <w:lvlText w:val=""/>
      <w:lvlJc w:val="left"/>
      <w:pPr>
        <w:ind w:left="720" w:hanging="360"/>
      </w:pPr>
      <w:rPr>
        <w:rFonts w:ascii="Symbol" w:hAnsi="Symbol" w:cs="Symbol" w:hint="default"/>
        <w:sz w:val="22"/>
        <w:rFonts w:cs="Symbol"/>
      </w:rPr>
    </w:lvl>
  </w:abstractNum>
  <w:abstractNum w:abstractNumId="7">
    <w:lvl w:ilvl="0">
      <w:start w:val="1"/>
      <w:numFmt w:val="bullet"/>
      <w:lvlText w:val=""/>
      <w:lvlJc w:val="left"/>
      <w:pPr>
        <w:ind w:left="720" w:hanging="360"/>
      </w:pPr>
      <w:rPr>
        <w:rFonts w:ascii="Symbol" w:hAnsi="Symbol" w:cs="Symbol" w:hint="default"/>
        <w:sz w:val="22"/>
        <w:szCs w:val="20"/>
        <w:rFonts w:cs="Symbol"/>
      </w:rPr>
    </w:lvl>
  </w:abstractNum>
  <w:abstractNum w:abstractNumId="8">
    <w:lvl w:ilvl="0">
      <w:start w:val="1"/>
      <w:numFmt w:val="decimal"/>
      <w:lvlText w:val="%1."/>
      <w:lvlJc w:val="left"/>
      <w:pPr>
        <w:ind w:left="720" w:hanging="360"/>
      </w:pPr>
      <w:rPr>
        <w:color w:val="000000"/>
      </w:rPr>
    </w:lvl>
    <w:lvl w:ilvl="1">
      <w:start w:val="1"/>
      <w:numFmt w:val="decimal"/>
      <w:lvlText w:val="%1.%2"/>
      <w:lvlJc w:val="left"/>
      <w:pPr>
        <w:ind w:left="720" w:hanging="360"/>
      </w:pPr>
      <w:rPr>
        <w:sz w:val="22"/>
        <w:i w:val="false"/>
        <w:szCs w:val="22"/>
        <w:rFonts w:ascii="Bosch Office Sans;Times New Roman" w:hAnsi="Bosch Office Sans;Times New Roman" w:cs="Bosch Office Sans;Times New Roman"/>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9">
    <w:lvl w:ilvl="0">
      <w:start w:val="1"/>
      <w:numFmt w:val="lowerLetter"/>
      <w:lvlText w:val="%1)"/>
      <w:lvlJc w:val="left"/>
      <w:pPr>
        <w:ind w:left="720" w:hanging="360"/>
      </w:pPr>
      <w:rPr/>
    </w:lvl>
  </w:abstractNum>
  <w:abstractNum w:abstractNumId="10">
    <w:lvl w:ilvl="0">
      <w:start w:val="1"/>
      <w:numFmt w:val="bullet"/>
      <w:lvlText w:val=""/>
      <w:lvlJc w:val="left"/>
      <w:pPr>
        <w:ind w:left="720" w:hanging="360"/>
      </w:pPr>
      <w:rPr>
        <w:rFonts w:ascii="Symbol" w:hAnsi="Symbol" w:cs="Symbol" w:hint="default"/>
        <w:rFonts w:cs="Symbol"/>
      </w:rPr>
    </w:lvl>
  </w:abstractNum>
  <w:abstractNum w:abstractNumId="11">
    <w:lvl w:ilvl="0">
      <w:start w:val="1"/>
      <w:numFmt w:val="bullet"/>
      <w:lvlText w:val=""/>
      <w:lvlJc w:val="left"/>
      <w:pPr>
        <w:ind w:left="720" w:hanging="360"/>
      </w:pPr>
      <w:rPr>
        <w:rFonts w:ascii="Symbol" w:hAnsi="Symbol" w:cs="Symbol" w:hint="default"/>
        <w:rFonts w:cs="Symbol"/>
      </w:rPr>
    </w:lvl>
  </w:abstractNum>
  <w:abstractNum w:abstractNumId="12">
    <w:lvl w:ilvl="0">
      <w:start w:val="1"/>
      <w:numFmt w:val="bullet"/>
      <w:lvlText w:val=""/>
      <w:lvlJc w:val="left"/>
      <w:pPr>
        <w:ind w:left="1080" w:hanging="360"/>
      </w:pPr>
      <w:rPr>
        <w:rFonts w:ascii="Symbol" w:hAnsi="Symbol" w:cs="Symbol" w:hint="default"/>
        <w:sz w:val="22"/>
        <w:rFonts w:cs="Symbol"/>
      </w:rPr>
    </w:lvl>
  </w:abstractNum>
  <w:abstractNum w:abstractNumId="13">
    <w:lvl w:ilvl="0">
      <w:start w:val="1"/>
      <w:numFmt w:val="decimal"/>
      <w:lvlText w:val="%1."/>
      <w:lvlJc w:val="left"/>
      <w:pPr>
        <w:ind w:left="720" w:hanging="360"/>
      </w:pPr>
      <w:rPr>
        <w:b/>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14">
    <w:lvl w:ilvl="0">
      <w:start w:val="1"/>
      <w:numFmt w:val="decimal"/>
      <w:lvlText w:val="%1."/>
      <w:lvlJc w:val="left"/>
      <w:pPr>
        <w:ind w:left="720" w:hanging="360"/>
      </w:pPr>
      <w:rPr>
        <w:b/>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15">
    <w:lvl w:ilvl="0">
      <w:start w:val="1"/>
      <w:numFmt w:val="decimal"/>
      <w:lvlText w:val="%1."/>
      <w:lvlJc w:val="left"/>
      <w:pPr>
        <w:ind w:left="720" w:hanging="360"/>
      </w:pPr>
      <w:rPr>
        <w:b/>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TextBody"/>
    <w:qFormat/>
    <w:pPr>
      <w:numPr>
        <w:ilvl w:val="0"/>
        <w:numId w:val="1"/>
      </w:numPr>
      <w:spacing w:before="10" w:after="10"/>
      <w:outlineLvl w:val="0"/>
    </w:pPr>
    <w:rPr>
      <w:rFonts w:ascii="Gotham" w:hAnsi="Gotham" w:cs="Gotham"/>
      <w:b/>
      <w:bCs/>
      <w:szCs w:val="12"/>
      <w:u w:val="single"/>
    </w:rPr>
  </w:style>
  <w:style w:type="paragraph" w:styleId="Heading4">
    <w:name w:val="Heading 4"/>
    <w:basedOn w:val="Normal"/>
    <w:next w:val="Normal"/>
    <w:qFormat/>
    <w:pPr>
      <w:keepNext w:val="true"/>
      <w:spacing w:before="240" w:after="60"/>
      <w:outlineLvl w:val="3"/>
    </w:pPr>
    <w:rPr>
      <w:rFonts w:ascii="Calibri" w:hAnsi="Calibri" w:eastAsia="Times New Roman" w:cs="Times New Roman"/>
      <w:b/>
      <w:bCs/>
      <w:sz w:val="28"/>
      <w:szCs w:val="28"/>
    </w:rPr>
  </w:style>
  <w:style w:type="paragraph" w:styleId="Heading5">
    <w:name w:val="Heading 5"/>
    <w:basedOn w:val="Normal"/>
    <w:next w:val="TextBody"/>
    <w:qFormat/>
    <w:pPr>
      <w:spacing w:before="100" w:after="100"/>
      <w:outlineLvl w:val="4"/>
    </w:pPr>
    <w:rPr>
      <w:b/>
      <w:bCs/>
      <w:sz w:val="20"/>
      <w:szCs w:val="20"/>
    </w:rPr>
  </w:style>
  <w:style w:type="paragraph" w:styleId="Heading6">
    <w:name w:val="Heading 6"/>
    <w:basedOn w:val="Normal"/>
    <w:next w:val="TextBody"/>
    <w:qFormat/>
    <w:pPr>
      <w:spacing w:before="100" w:after="100"/>
      <w:outlineLvl w:val="5"/>
    </w:pPr>
    <w:rPr>
      <w:b/>
      <w:bCs/>
      <w:sz w:val="15"/>
      <w:szCs w:val="15"/>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rFonts w:ascii="Gotham" w:hAnsi="Gotham" w:eastAsia="Times New Roman"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Bosch Office Sans;Times New Roman" w:hAnsi="Bosch Office Sans;Times New Roman" w:eastAsia="MS Mincho;ＭＳ 明朝"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sz w:val="22"/>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sz w:val="2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Gotham" w:hAnsi="Gotham"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sz w:val="22"/>
      <w:szCs w:val="22"/>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sz w:val="22"/>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Calibri" w:hAnsi="Calibri" w:eastAsia="Calibri" w:cs="Calibri"/>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sz w:val="22"/>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sz w:val="22"/>
      <w:szCs w:val="2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Arial" w:hAnsi="Arial" w:eastAsia="Calibri" w:cs="Ari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color w:val="000000"/>
    </w:rPr>
  </w:style>
  <w:style w:type="character" w:styleId="WW8Num21z1">
    <w:name w:val="WW8Num21z1"/>
    <w:qFormat/>
    <w:rPr>
      <w:rFonts w:ascii="Bosch Office Sans;Times New Roman" w:hAnsi="Bosch Office Sans;Times New Roman" w:cs="Bosch Office Sans;Times New Roman"/>
      <w:i w:val="false"/>
      <w:sz w:val="22"/>
      <w:szCs w:val="22"/>
    </w:rPr>
  </w:style>
  <w:style w:type="character" w:styleId="WW8Num21z2">
    <w:name w:val="WW8Num21z2"/>
    <w:qFormat/>
    <w:rPr/>
  </w:style>
  <w:style w:type="character" w:styleId="WW8Num22z0">
    <w:name w:val="WW8Num22z0"/>
    <w:qFormat/>
    <w:rPr>
      <w:b/>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0">
    <w:name w:val="WW8Num23z0"/>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eastAsia="August Debouzy;Arial" w:cs="Symbol"/>
      <w:sz w:val="22"/>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Policepardfaut">
    <w:name w:val="Police par défaut"/>
    <w:qFormat/>
    <w:rPr/>
  </w:style>
  <w:style w:type="character" w:styleId="InternetLink">
    <w:name w:val="Internet Link"/>
    <w:rPr>
      <w:b/>
      <w:bCs/>
      <w:strike w:val="false"/>
      <w:dstrike w:val="false"/>
      <w:color w:val="FF0000"/>
      <w:sz w:val="18"/>
      <w:szCs w:val="18"/>
      <w:u w:val="none"/>
    </w:rPr>
  </w:style>
  <w:style w:type="character" w:styleId="FootnoteCharacters">
    <w:name w:val="Footnote Characters"/>
    <w:qFormat/>
    <w:rPr>
      <w:position w:val="6"/>
      <w:sz w:val="16"/>
      <w:szCs w:val="16"/>
    </w:rPr>
  </w:style>
  <w:style w:type="character" w:styleId="PageNumber">
    <w:name w:val="Page Number"/>
    <w:basedOn w:val="Policepardfaut"/>
    <w:rPr/>
  </w:style>
  <w:style w:type="character" w:styleId="RetraitcorpsdetexteCar">
    <w:name w:val="Retrait corps de texte Car"/>
    <w:qFormat/>
    <w:rPr>
      <w:sz w:val="24"/>
      <w:szCs w:val="24"/>
    </w:rPr>
  </w:style>
  <w:style w:type="character" w:styleId="TitreCar">
    <w:name w:val="Titre Car"/>
    <w:qFormat/>
    <w:rPr>
      <w:rFonts w:ascii="Gotham" w:hAnsi="Gotham" w:cs="Gotham"/>
      <w:b/>
      <w:bCs/>
      <w:sz w:val="26"/>
      <w:szCs w:val="32"/>
      <w:u w:val="single"/>
    </w:rPr>
  </w:style>
  <w:style w:type="character" w:styleId="Titre1Car">
    <w:name w:val="Titre 1 Car"/>
    <w:qFormat/>
    <w:rPr>
      <w:rFonts w:ascii="Gotham" w:hAnsi="Gotham" w:cs="Gotham"/>
      <w:b/>
      <w:bCs/>
      <w:sz w:val="24"/>
      <w:szCs w:val="12"/>
      <w:u w:val="single"/>
    </w:rPr>
  </w:style>
  <w:style w:type="character" w:styleId="SoustitreCar">
    <w:name w:val="Sous-titre Car"/>
    <w:qFormat/>
    <w:rPr>
      <w:rFonts w:ascii="Gotham" w:hAnsi="Gotham" w:cs="Gotham"/>
      <w:i/>
      <w:sz w:val="24"/>
      <w:szCs w:val="24"/>
      <w:u w:val="single"/>
    </w:rPr>
  </w:style>
  <w:style w:type="character" w:styleId="Titre4Car">
    <w:name w:val="Titre 4 Car"/>
    <w:qFormat/>
    <w:rPr>
      <w:rFonts w:ascii="Calibri" w:hAnsi="Calibri" w:eastAsia="Times New Roman" w:cs="Times New Roman"/>
      <w:b/>
      <w:bCs/>
      <w:sz w:val="28"/>
      <w:szCs w:val="28"/>
    </w:rPr>
  </w:style>
  <w:style w:type="character" w:styleId="Exempletitle">
    <w:name w:val="exemple-title"/>
    <w:qFormat/>
    <w:rPr/>
  </w:style>
  <w:style w:type="character" w:styleId="ParagraphedelisteCar">
    <w:name w:val="Paragraphe de liste Car"/>
    <w:qFormat/>
    <w:rPr>
      <w:sz w:val="24"/>
      <w:szCs w:val="24"/>
    </w:rPr>
  </w:style>
  <w:style w:type="character" w:styleId="TextedebullesCar">
    <w:name w:val="Texte de bulles Car"/>
    <w:qFormat/>
    <w:rPr>
      <w:rFonts w:ascii="Segoe UI" w:hAnsi="Segoe UI" w:cs="Segoe UI"/>
      <w:sz w:val="18"/>
      <w:szCs w:val="18"/>
    </w:rPr>
  </w:style>
  <w:style w:type="character" w:styleId="StrongEmphasis">
    <w:name w:val="Strong Emphasis"/>
    <w:qFormat/>
    <w:rPr>
      <w:b/>
      <w:bCs/>
    </w:rPr>
  </w:style>
  <w:style w:type="character" w:styleId="Underline">
    <w:name w:val="underline"/>
    <w:qFormat/>
    <w:rPr/>
  </w:style>
  <w:style w:type="character" w:styleId="Marquedecommentaire">
    <w:name w:val="Marque de commentaire"/>
    <w:qFormat/>
    <w:rPr>
      <w:sz w:val="16"/>
      <w:szCs w:val="16"/>
    </w:rPr>
  </w:style>
  <w:style w:type="character" w:styleId="CommentaireCar">
    <w:name w:val="Commentaire Car"/>
    <w:basedOn w:val="Policepardfaut"/>
    <w:qFormat/>
    <w:rPr/>
  </w:style>
  <w:style w:type="character" w:styleId="ObjetducommentaireCar">
    <w:name w:val="Objet du commentaire Car"/>
    <w:qFormat/>
    <w:rPr>
      <w:b/>
      <w:bCs/>
    </w:rPr>
  </w:style>
  <w:style w:type="character" w:styleId="IndexLink">
    <w:name w:val="Index Link"/>
    <w:qFormat/>
    <w:rPr/>
  </w:style>
  <w:style w:type="paragraph" w:styleId="Heading">
    <w:name w:val="Heading"/>
    <w:basedOn w:val="Normal"/>
    <w:next w:val="Normal"/>
    <w:qFormat/>
    <w:pPr>
      <w:spacing w:before="240" w:after="60"/>
      <w:outlineLvl w:val="0"/>
    </w:pPr>
    <w:rPr>
      <w:rFonts w:ascii="Gotham" w:hAnsi="Gotham" w:cs="Gotham"/>
      <w:b/>
      <w:bCs/>
      <w:sz w:val="26"/>
      <w:szCs w:val="32"/>
      <w:u w:val="single"/>
    </w:rPr>
  </w:style>
  <w:style w:type="paragraph" w:styleId="TextBody">
    <w:name w:val="Body Text"/>
    <w:basedOn w:val="Normal"/>
    <w:pPr>
      <w:tabs>
        <w:tab w:val="left" w:pos="567" w:leader="none"/>
        <w:tab w:val="left" w:pos="1985" w:leader="none"/>
      </w:tabs>
      <w:jc w:val="both"/>
    </w:pPr>
    <w:rPr>
      <w:rFonts w:ascii="Arial" w:hAnsi="Arial" w:cs="Arial"/>
      <w:sz w:val="22"/>
      <w:szCs w:val="22"/>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ouss">
    <w:name w:val="souss"/>
    <w:basedOn w:val="Normal"/>
    <w:qFormat/>
    <w:pPr>
      <w:spacing w:before="100" w:after="100"/>
      <w:ind w:left="1000" w:right="1000" w:hanging="0"/>
    </w:pPr>
    <w:rPr/>
  </w:style>
  <w:style w:type="paragraph" w:styleId="Denom">
    <w:name w:val="denom"/>
    <w:basedOn w:val="Normal"/>
    <w:qFormat/>
    <w:pPr>
      <w:spacing w:before="100" w:after="100"/>
      <w:ind w:left="6000" w:right="1000" w:hanging="0"/>
    </w:pPr>
    <w:rPr/>
  </w:style>
  <w:style w:type="paragraph" w:styleId="Para">
    <w:name w:val="para"/>
    <w:basedOn w:val="Normal"/>
    <w:qFormat/>
    <w:pPr>
      <w:spacing w:before="100" w:after="100"/>
      <w:ind w:left="100" w:right="100" w:hanging="0"/>
    </w:pPr>
    <w:rPr/>
  </w:style>
  <w:style w:type="paragraph" w:styleId="Art4">
    <w:name w:val="art4"/>
    <w:basedOn w:val="Normal"/>
    <w:qFormat/>
    <w:pPr>
      <w:spacing w:before="100" w:after="100"/>
      <w:ind w:left="100" w:right="100" w:hanging="0"/>
    </w:pPr>
    <w:rPr/>
  </w:style>
  <w:style w:type="paragraph" w:styleId="Alvar">
    <w:name w:val="al_var"/>
    <w:basedOn w:val="Normal"/>
    <w:qFormat/>
    <w:pPr>
      <w:spacing w:before="100" w:after="100"/>
      <w:ind w:right="100" w:hanging="0"/>
    </w:pPr>
    <w:rPr/>
  </w:style>
  <w:style w:type="paragraph" w:styleId="Annot">
    <w:name w:val="annot"/>
    <w:basedOn w:val="Normal"/>
    <w:qFormat/>
    <w:pPr>
      <w:pBdr>
        <w:top w:val="single" w:sz="4" w:space="5" w:color="336699"/>
        <w:left w:val="single" w:sz="4" w:space="5" w:color="336699"/>
        <w:bottom w:val="single" w:sz="4" w:space="5" w:color="336699"/>
        <w:right w:val="single" w:sz="4" w:space="5" w:color="336699"/>
      </w:pBdr>
      <w:shd w:fill="E0E5F0" w:val="clear"/>
      <w:spacing w:before="100" w:after="100"/>
      <w:ind w:left="100" w:right="100" w:hanging="0"/>
    </w:pPr>
    <w:rPr>
      <w:i/>
      <w:iCs/>
      <w:sz w:val="22"/>
      <w:szCs w:val="22"/>
    </w:rPr>
  </w:style>
  <w:style w:type="paragraph" w:styleId="ZHautduformulaire">
    <w:name w:val="z-Haut du formulaire"/>
    <w:basedOn w:val="Normal"/>
    <w:next w:val="Normal"/>
    <w:qFormat/>
    <w:pPr>
      <w:pBdr>
        <w:bottom w:val="single" w:sz="6" w:space="1" w:color="000000"/>
      </w:pBdr>
      <w:jc w:val="center"/>
    </w:pPr>
    <w:rPr>
      <w:rFonts w:ascii="Arial" w:hAnsi="Arial" w:cs="Arial"/>
      <w:vanish/>
      <w:sz w:val="16"/>
      <w:szCs w:val="16"/>
    </w:rPr>
  </w:style>
  <w:style w:type="paragraph" w:styleId="ZBasduformulaire">
    <w:name w:val="z-Bas du formulaire"/>
    <w:basedOn w:val="Normal"/>
    <w:next w:val="Normal"/>
    <w:qFormat/>
    <w:pPr>
      <w:pBdr>
        <w:top w:val="single" w:sz="6" w:space="1" w:color="000000"/>
      </w:pBdr>
      <w:jc w:val="center"/>
    </w:pPr>
    <w:rPr>
      <w:rFonts w:ascii="Arial" w:hAnsi="Arial" w:cs="Arial"/>
      <w:vanish/>
      <w:sz w:val="16"/>
      <w:szCs w:val="16"/>
    </w:rPr>
  </w:style>
  <w:style w:type="paragraph" w:styleId="Footnote">
    <w:name w:val="Footnote Text"/>
    <w:basedOn w:val="Normal"/>
    <w:pPr/>
    <w:rPr>
      <w:rFonts w:ascii="Tms Rmn" w:hAnsi="Tms Rmn" w:cs="Tms Rmn"/>
      <w:sz w:val="20"/>
      <w:szCs w:val="20"/>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BodyIndent">
    <w:name w:val="Body Text Indent"/>
    <w:basedOn w:val="Normal"/>
    <w:pPr>
      <w:spacing w:before="0" w:after="120"/>
      <w:ind w:left="283" w:hanging="0"/>
    </w:pPr>
    <w:rPr/>
  </w:style>
  <w:style w:type="paragraph" w:styleId="Enttedetabledesmatires">
    <w:name w:val="En-tête de table des matières"/>
    <w:basedOn w:val="Heading1"/>
    <w:next w:val="Normal"/>
    <w:qFormat/>
    <w:pPr>
      <w:keepNext w:val="true"/>
      <w:keepLines/>
      <w:numPr>
        <w:ilvl w:val="0"/>
        <w:numId w:val="0"/>
      </w:numPr>
      <w:spacing w:lineRule="auto" w:line="256" w:before="240" w:after="0"/>
      <w:ind w:hanging="0"/>
    </w:pPr>
    <w:rPr>
      <w:rFonts w:ascii="Calibri Light" w:hAnsi="Calibri Light" w:eastAsia="Times New Roman" w:cs="Times New Roman"/>
      <w:b w:val="false"/>
      <w:bCs w:val="false"/>
      <w:color w:val="2F5496"/>
      <w:sz w:val="32"/>
      <w:szCs w:val="32"/>
      <w:u w:val="none"/>
    </w:rPr>
  </w:style>
  <w:style w:type="paragraph" w:styleId="Contents1">
    <w:name w:val="TOC 1"/>
    <w:basedOn w:val="Normal"/>
    <w:next w:val="Normal"/>
    <w:pPr/>
    <w:rPr/>
  </w:style>
  <w:style w:type="paragraph" w:styleId="Paragraphedeliste">
    <w:name w:val="Paragraphe de liste"/>
    <w:basedOn w:val="Normal"/>
    <w:qFormat/>
    <w:pPr>
      <w:ind w:left="708" w:hanging="0"/>
    </w:pPr>
    <w:rPr/>
  </w:style>
  <w:style w:type="paragraph" w:styleId="Subtitle">
    <w:name w:val="Subtitle"/>
    <w:basedOn w:val="Normal"/>
    <w:next w:val="Normal"/>
    <w:qFormat/>
    <w:pPr>
      <w:numPr>
        <w:ilvl w:val="0"/>
        <w:numId w:val="9"/>
      </w:numPr>
      <w:spacing w:before="0" w:after="60"/>
      <w:outlineLvl w:val="1"/>
    </w:pPr>
    <w:rPr>
      <w:rFonts w:ascii="Gotham" w:hAnsi="Gotham" w:eastAsia="Times New Roman" w:cs="Times New Roman"/>
      <w:i/>
      <w:u w:val="single"/>
    </w:rPr>
  </w:style>
  <w:style w:type="paragraph" w:styleId="Contents2">
    <w:name w:val="TOC 2"/>
    <w:basedOn w:val="Normal"/>
    <w:next w:val="Normal"/>
    <w:pPr>
      <w:ind w:left="240" w:hanging="0"/>
    </w:pPr>
    <w:rPr/>
  </w:style>
  <w:style w:type="paragraph" w:styleId="NormalWeb">
    <w:name w:val="Normal (Web)"/>
    <w:basedOn w:val="Normal"/>
    <w:qFormat/>
    <w:pPr>
      <w:spacing w:before="100" w:after="100"/>
    </w:pPr>
    <w:rPr/>
  </w:style>
  <w:style w:type="paragraph" w:styleId="Exemplecontent">
    <w:name w:val="exemple-content"/>
    <w:basedOn w:val="Normal"/>
    <w:qFormat/>
    <w:pPr>
      <w:spacing w:before="100" w:after="100"/>
    </w:pPr>
    <w:rPr/>
  </w:style>
  <w:style w:type="paragraph" w:styleId="Textedebulles">
    <w:name w:val="Texte de bulles"/>
    <w:basedOn w:val="Normal"/>
    <w:qFormat/>
    <w:pPr/>
    <w:rPr>
      <w:rFonts w:ascii="Segoe UI" w:hAnsi="Segoe UI" w:cs="Segoe UI"/>
      <w:sz w:val="18"/>
      <w:szCs w:val="18"/>
    </w:rPr>
  </w:style>
  <w:style w:type="paragraph" w:styleId="Textesimple">
    <w:name w:val="Texte simple"/>
    <w:qFormat/>
    <w:pPr>
      <w:widowControl/>
      <w:jc w:val="both"/>
    </w:pPr>
    <w:rPr>
      <w:rFonts w:ascii="Times New Roman" w:hAnsi="Times New Roman" w:eastAsia="Times New Roman" w:cs="Times New Roman"/>
      <w:color w:val="000000"/>
      <w:sz w:val="24"/>
      <w:szCs w:val="20"/>
      <w:lang w:val="fr-FR" w:bidi="ar-SA" w:eastAsia="zh-CN"/>
    </w:rPr>
  </w:style>
  <w:style w:type="paragraph" w:styleId="Grostitre">
    <w:name w:val="Gros titre"/>
    <w:basedOn w:val="Paragraphedeliste"/>
    <w:qFormat/>
    <w:pPr>
      <w:numPr>
        <w:ilvl w:val="0"/>
        <w:numId w:val="8"/>
      </w:numPr>
      <w:spacing w:lineRule="auto" w:line="276"/>
      <w:jc w:val="both"/>
    </w:pPr>
    <w:rPr>
      <w:rFonts w:ascii="Bosch Office Sans;Times New Roman" w:hAnsi="Bosch Office Sans;Times New Roman" w:eastAsia="MS Mincho;ＭＳ 明朝" w:cs="Bosch Office Sans;Times New Roman"/>
      <w:b/>
      <w:sz w:val="22"/>
      <w:szCs w:val="22"/>
      <w:lang w:eastAsia="ja-JP"/>
    </w:rPr>
  </w:style>
  <w:style w:type="paragraph" w:styleId="Moyentitre">
    <w:name w:val="Moyen titre"/>
    <w:basedOn w:val="Paragraphedeliste"/>
    <w:qFormat/>
    <w:pPr>
      <w:numPr>
        <w:ilvl w:val="0"/>
        <w:numId w:val="8"/>
      </w:numPr>
      <w:spacing w:lineRule="auto" w:line="276"/>
      <w:ind w:left="924" w:hanging="357"/>
      <w:jc w:val="both"/>
    </w:pPr>
    <w:rPr>
      <w:rFonts w:ascii="Bosch Office Sans;Times New Roman" w:hAnsi="Bosch Office Sans;Times New Roman" w:eastAsia="MS Mincho;ＭＳ 明朝" w:cs="Bosch Office Sans;Times New Roman"/>
      <w:b/>
      <w:sz w:val="22"/>
      <w:szCs w:val="22"/>
      <w:lang w:eastAsia="ja-JP"/>
    </w:rPr>
  </w:style>
  <w:style w:type="paragraph" w:styleId="Al">
    <w:name w:val="al"/>
    <w:basedOn w:val="Normal"/>
    <w:qFormat/>
    <w:pPr>
      <w:spacing w:before="100" w:after="100"/>
    </w:pPr>
    <w:rPr>
      <w:rFonts w:eastAsia="Times New Roman"/>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2021-10-20T10:20:00Z</dcterms:created>
  <dc:creator/>
  <dc:description/>
  <dc:language>en-GB</dc:language>
  <cp:lastModifiedBy/>
  <cp:lastPrinted>2021-10-13T17:00:00Z</cp:lastPrinted>
  <dcterms:modified xsi:type="dcterms:W3CDTF">2021-11-15T13:59:00Z</dcterms:modified>
  <cp:revision>9</cp:revision>
  <dc:subject/>
  <dc:title> </dc:title>
</cp:coreProperties>
</file>