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66EBCB4E" w14:textId="0E16748D" w:rsidP="76F9B54A" w:rsidR="00A11EDA" w:rsidRDefault="00A11EDA">
      <w:pPr>
        <w:rPr>
          <w:rFonts w:ascii="Cambria" w:cs="Cambria" w:eastAsia="Cambria" w:hAnsi="Cambria"/>
          <w:color w:themeColor="text1" w:val="000000"/>
        </w:rPr>
      </w:pPr>
    </w:p>
    <w:p w14:paraId="194F34D0" w14:textId="56641A73" w:rsidP="76F9B54A" w:rsidR="00A11EDA" w:rsidRDefault="7A49E32E">
      <w:pPr>
        <w:pStyle w:val="Citationintense"/>
        <w:pBdr>
          <w:top w:color="4F81BD" w:space="10" w:sz="4" w:val="single"/>
          <w:bottom w:color="4F81BD" w:space="10" w:sz="4" w:val="single"/>
        </w:pBdr>
        <w:rPr>
          <w:rFonts w:ascii="Cambria" w:cs="Cambria" w:eastAsia="Cambria" w:hAnsi="Cambria"/>
          <w:color w:val="4F81BD"/>
        </w:rPr>
      </w:pPr>
      <w:r w:rsidRPr="76F9B54A">
        <w:rPr>
          <w:rFonts w:ascii="Cambria" w:cs="Cambria" w:eastAsia="Cambria" w:hAnsi="Cambria"/>
          <w:color w:val="4F81BD"/>
        </w:rPr>
        <w:t>Accord sur la durée du travail</w:t>
      </w:r>
    </w:p>
    <w:p w14:paraId="6F4C9BA9" w14:textId="16EEC924" w:rsidP="76F9B54A" w:rsidR="00A11EDA" w:rsidRDefault="00A11EDA">
      <w:pPr>
        <w:widowControl w:val="0"/>
        <w:spacing w:line="242" w:lineRule="auto"/>
        <w:rPr>
          <w:rFonts w:ascii="Calibri" w:cs="Calibri" w:eastAsia="Calibri" w:hAnsi="Calibri"/>
          <w:color w:themeColor="text1" w:val="000000"/>
          <w:sz w:val="22"/>
          <w:szCs w:val="22"/>
        </w:rPr>
      </w:pPr>
    </w:p>
    <w:p w14:paraId="73765FC4" w14:textId="1E51C4B3" w:rsidP="76F9B54A" w:rsidR="00A11EDA" w:rsidRDefault="00A11EDA">
      <w:pPr>
        <w:widowControl w:val="0"/>
        <w:spacing w:line="242" w:lineRule="auto"/>
        <w:rPr>
          <w:rFonts w:ascii="Calibri" w:cs="Calibri" w:eastAsia="Calibri" w:hAnsi="Calibri"/>
          <w:color w:themeColor="text1" w:val="000000"/>
          <w:sz w:val="22"/>
          <w:szCs w:val="22"/>
        </w:rPr>
      </w:pPr>
    </w:p>
    <w:p w14:paraId="39B23908" w14:textId="2CA63F4B" w:rsidP="76F9B54A" w:rsidR="00A11EDA" w:rsidRDefault="00A11EDA">
      <w:pPr>
        <w:widowControl w:val="0"/>
        <w:spacing w:line="242" w:lineRule="auto"/>
        <w:rPr>
          <w:rFonts w:ascii="Calibri" w:cs="Calibri" w:eastAsia="Calibri" w:hAnsi="Calibri"/>
          <w:color w:themeColor="text1" w:val="000000"/>
          <w:sz w:val="22"/>
          <w:szCs w:val="22"/>
        </w:rPr>
      </w:pPr>
    </w:p>
    <w:p w14:paraId="12089157" w14:textId="794B599D" w:rsidP="76F9B54A" w:rsidR="00A11EDA" w:rsidRDefault="7A49E32E">
      <w:pPr>
        <w:widowControl w:val="0"/>
        <w:tabs>
          <w:tab w:pos="3948" w:val="left"/>
        </w:tabs>
        <w:spacing w:line="242" w:lineRule="auto"/>
        <w:rPr>
          <w:rFonts w:ascii="Calibri" w:cs="Calibri" w:eastAsia="Calibri" w:hAnsi="Calibri"/>
          <w:color w:themeColor="text1" w:val="000000"/>
          <w:sz w:val="22"/>
          <w:szCs w:val="22"/>
        </w:rPr>
      </w:pPr>
      <w:r w:rsidRPr="76F9B54A">
        <w:rPr>
          <w:rFonts w:ascii="Calibri" w:cs="Calibri" w:eastAsia="Calibri" w:hAnsi="Calibri"/>
          <w:b/>
          <w:bCs/>
          <w:color w:themeColor="text1" w:val="000000"/>
          <w:sz w:val="22"/>
          <w:szCs w:val="22"/>
        </w:rPr>
        <w:t>Entre d’une part</w:t>
      </w:r>
      <w:r w:rsidRPr="76F9B54A">
        <w:rPr>
          <w:rFonts w:ascii="Calibri" w:cs="Calibri" w:eastAsia="Calibri" w:hAnsi="Calibri"/>
          <w:color w:themeColor="text1" w:val="000000"/>
          <w:sz w:val="22"/>
          <w:szCs w:val="22"/>
        </w:rPr>
        <w:t> ;</w:t>
      </w:r>
    </w:p>
    <w:p w14:paraId="05D5DFBB" w14:textId="06331DA7" w:rsidP="76F9B54A" w:rsidR="00A11EDA" w:rsidRDefault="00A11EDA">
      <w:pPr>
        <w:widowControl w:val="0"/>
        <w:tabs>
          <w:tab w:pos="3948" w:val="left"/>
        </w:tabs>
        <w:spacing w:line="242" w:lineRule="auto"/>
        <w:rPr>
          <w:rFonts w:ascii="Calibri" w:cs="Calibri" w:eastAsia="Calibri" w:hAnsi="Calibri"/>
          <w:color w:themeColor="text1" w:val="000000"/>
          <w:sz w:val="22"/>
          <w:szCs w:val="22"/>
        </w:rPr>
      </w:pPr>
    </w:p>
    <w:p w14:paraId="6921E41A" w14:textId="08810666"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 xml:space="preserve">La société ALLIANCE TAXIS, dont le Siret est 513 831 149 00028, et dont le siège est situé 732, Chemin de </w:t>
      </w:r>
      <w:proofErr w:type="spellStart"/>
      <w:r w:rsidRPr="76F9B54A">
        <w:rPr>
          <w:rFonts w:ascii="Calibri" w:cs="Calibri" w:eastAsia="Calibri" w:hAnsi="Calibri"/>
          <w:color w:themeColor="text1" w:val="000000"/>
          <w:sz w:val="22"/>
          <w:szCs w:val="22"/>
        </w:rPr>
        <w:t>bellevue</w:t>
      </w:r>
      <w:proofErr w:type="spellEnd"/>
      <w:r w:rsidRPr="76F9B54A">
        <w:rPr>
          <w:rFonts w:ascii="Calibri" w:cs="Calibri" w:eastAsia="Calibri" w:hAnsi="Calibri"/>
          <w:color w:themeColor="text1" w:val="000000"/>
          <w:sz w:val="22"/>
          <w:szCs w:val="22"/>
        </w:rPr>
        <w:t xml:space="preserve"> 01350 ANGLEFORT, représentée par  </w:t>
      </w:r>
      <w:r w:rsidR="00B119B9">
        <w:rPr>
          <w:rFonts w:ascii="Calibri" w:cs="Calibri" w:eastAsia="Calibri" w:hAnsi="Calibri"/>
          <w:color w:themeColor="text1" w:val="000000"/>
          <w:sz w:val="22"/>
          <w:szCs w:val="22"/>
        </w:rPr>
        <w:t>le Président et le Directeur Général</w:t>
      </w:r>
      <w:r w:rsidRPr="76F9B54A">
        <w:rPr>
          <w:rFonts w:ascii="Calibri" w:cs="Calibri" w:eastAsia="Calibri" w:hAnsi="Calibri"/>
          <w:color w:themeColor="text1" w:val="000000"/>
          <w:sz w:val="22"/>
          <w:szCs w:val="22"/>
        </w:rPr>
        <w:t>.</w:t>
      </w:r>
    </w:p>
    <w:p w14:paraId="05A2BBB0" w14:textId="064CC795" w:rsidP="76F9B54A" w:rsidR="00A11EDA" w:rsidRDefault="00A11EDA">
      <w:pPr>
        <w:widowControl w:val="0"/>
        <w:spacing w:line="242" w:lineRule="auto"/>
        <w:rPr>
          <w:rFonts w:ascii="Calibri" w:cs="Calibri" w:eastAsia="Calibri" w:hAnsi="Calibri"/>
          <w:color w:themeColor="text1" w:val="000000"/>
          <w:sz w:val="22"/>
          <w:szCs w:val="22"/>
        </w:rPr>
      </w:pPr>
    </w:p>
    <w:p w14:paraId="47130B42" w14:textId="4D75B790" w:rsidP="76F9B54A" w:rsidR="00A11EDA" w:rsidRDefault="7A49E32E">
      <w:pPr>
        <w:pStyle w:val="Paragraphedeliste"/>
        <w:widowControl w:val="0"/>
        <w:numPr>
          <w:ilvl w:val="0"/>
          <w:numId w:val="8"/>
        </w:numPr>
        <w:spacing w:line="242" w:lineRule="auto"/>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Ci-après dénommé ALLLIANCE TAXIS, ou alternativement « La Société »</w:t>
      </w:r>
    </w:p>
    <w:p w14:paraId="60D0A8C8" w14:textId="13367FDA" w:rsidP="76F9B54A" w:rsidR="00A11EDA" w:rsidRDefault="00A11EDA">
      <w:pPr>
        <w:widowControl w:val="0"/>
        <w:spacing w:line="242" w:lineRule="auto"/>
        <w:rPr>
          <w:rFonts w:ascii="Calibri" w:cs="Calibri" w:eastAsia="Calibri" w:hAnsi="Calibri"/>
          <w:color w:themeColor="text1" w:val="000000"/>
          <w:sz w:val="22"/>
          <w:szCs w:val="22"/>
        </w:rPr>
      </w:pPr>
    </w:p>
    <w:p w14:paraId="23B1AFCB" w14:textId="2704D7C5" w:rsidP="76F9B54A" w:rsidR="00A11EDA" w:rsidRDefault="7A49E32E">
      <w:pPr>
        <w:widowControl w:val="0"/>
        <w:spacing w:line="242" w:lineRule="auto"/>
        <w:rPr>
          <w:rFonts w:ascii="Calibri" w:cs="Calibri" w:eastAsia="Calibri" w:hAnsi="Calibri"/>
          <w:color w:themeColor="text1" w:val="000000"/>
          <w:sz w:val="22"/>
          <w:szCs w:val="22"/>
        </w:rPr>
      </w:pPr>
      <w:r w:rsidRPr="76F9B54A">
        <w:rPr>
          <w:rFonts w:ascii="Calibri" w:cs="Calibri" w:eastAsia="Calibri" w:hAnsi="Calibri"/>
          <w:b/>
          <w:bCs/>
          <w:color w:themeColor="text1" w:val="000000"/>
          <w:sz w:val="22"/>
          <w:szCs w:val="22"/>
        </w:rPr>
        <w:t>Et d’autre part</w:t>
      </w:r>
      <w:r w:rsidRPr="76F9B54A">
        <w:rPr>
          <w:rFonts w:ascii="Calibri" w:cs="Calibri" w:eastAsia="Calibri" w:hAnsi="Calibri"/>
          <w:color w:themeColor="text1" w:val="000000"/>
          <w:sz w:val="22"/>
          <w:szCs w:val="22"/>
        </w:rPr>
        <w:t> ;</w:t>
      </w:r>
    </w:p>
    <w:p w14:paraId="44D3B647" w14:textId="259AA615" w:rsidP="76F9B54A" w:rsidR="00A11EDA" w:rsidRDefault="00A11EDA">
      <w:pPr>
        <w:widowControl w:val="0"/>
        <w:spacing w:line="242" w:lineRule="auto"/>
        <w:rPr>
          <w:rFonts w:ascii="Calibri" w:cs="Calibri" w:eastAsia="Calibri" w:hAnsi="Calibri"/>
          <w:color w:themeColor="text1" w:val="000000"/>
          <w:sz w:val="22"/>
          <w:szCs w:val="22"/>
        </w:rPr>
      </w:pPr>
    </w:p>
    <w:p w14:paraId="64B3E097" w14:textId="179D25ED" w:rsidP="76F9B54A" w:rsidR="00A11EDA" w:rsidRDefault="00A11EDA">
      <w:pPr>
        <w:widowControl w:val="0"/>
        <w:spacing w:line="242" w:lineRule="auto"/>
        <w:rPr>
          <w:rFonts w:ascii="Calibri" w:cs="Calibri" w:eastAsia="Calibri" w:hAnsi="Calibri"/>
          <w:color w:themeColor="text1" w:val="000000"/>
          <w:sz w:val="22"/>
          <w:szCs w:val="22"/>
        </w:rPr>
      </w:pPr>
    </w:p>
    <w:p w14:paraId="6B90BAC3" w14:textId="1CF154DF" w:rsidP="76F9B54A" w:rsidR="00A11EDA" w:rsidRDefault="7A49E32E">
      <w:pPr>
        <w:widowControl w:val="0"/>
        <w:spacing w:line="242" w:lineRule="auto"/>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L’ensemble du personnel</w:t>
      </w:r>
    </w:p>
    <w:p w14:paraId="1EEB0F4A" w14:textId="2D05E7FF" w:rsidP="76F9B54A" w:rsidR="00A11EDA" w:rsidRDefault="00A11EDA">
      <w:pPr>
        <w:widowControl w:val="0"/>
        <w:spacing w:line="242" w:lineRule="auto"/>
        <w:ind w:hanging="360" w:left="720"/>
        <w:rPr>
          <w:rFonts w:ascii="Calibri" w:cs="Calibri" w:eastAsia="Calibri" w:hAnsi="Calibri"/>
          <w:color w:themeColor="text1" w:val="000000"/>
          <w:sz w:val="22"/>
          <w:szCs w:val="22"/>
        </w:rPr>
      </w:pPr>
    </w:p>
    <w:p w14:paraId="62B27EF1" w14:textId="2A32A0D6" w:rsidP="76F9B54A" w:rsidR="00A11EDA" w:rsidRDefault="00A11EDA">
      <w:pPr>
        <w:widowControl w:val="0"/>
        <w:spacing w:line="242" w:lineRule="auto"/>
        <w:ind w:hanging="360" w:left="720"/>
        <w:rPr>
          <w:rFonts w:ascii="Calibri" w:cs="Calibri" w:eastAsia="Calibri" w:hAnsi="Calibri"/>
          <w:color w:themeColor="text1" w:val="000000"/>
          <w:sz w:val="22"/>
          <w:szCs w:val="22"/>
        </w:rPr>
      </w:pPr>
    </w:p>
    <w:p w14:paraId="7426170A" w14:textId="7F49B871" w:rsidP="76F9B54A" w:rsidR="00A11EDA" w:rsidRDefault="00A11EDA">
      <w:pPr>
        <w:widowControl w:val="0"/>
        <w:spacing w:line="242" w:lineRule="auto"/>
        <w:ind w:hanging="360" w:left="720"/>
        <w:rPr>
          <w:rFonts w:ascii="Calibri" w:cs="Calibri" w:eastAsia="Calibri" w:hAnsi="Calibri"/>
          <w:color w:themeColor="text1" w:val="000000"/>
          <w:sz w:val="22"/>
          <w:szCs w:val="22"/>
        </w:rPr>
      </w:pPr>
    </w:p>
    <w:p w14:paraId="70044F60" w14:textId="35324797" w:rsidP="76F9B54A" w:rsidR="00A11EDA" w:rsidRDefault="00A11EDA">
      <w:pPr>
        <w:widowControl w:val="0"/>
        <w:spacing w:line="242" w:lineRule="auto"/>
        <w:ind w:hanging="360" w:left="720"/>
        <w:rPr>
          <w:rFonts w:ascii="Calibri" w:cs="Calibri" w:eastAsia="Calibri" w:hAnsi="Calibri"/>
          <w:color w:themeColor="text1" w:val="000000"/>
          <w:sz w:val="22"/>
          <w:szCs w:val="22"/>
        </w:rPr>
      </w:pPr>
    </w:p>
    <w:p w14:paraId="692219F3" w14:textId="63770057" w:rsidP="76F9B54A" w:rsidR="00A11EDA" w:rsidRDefault="00A11EDA">
      <w:pPr>
        <w:widowControl w:val="0"/>
        <w:spacing w:line="242" w:lineRule="auto"/>
        <w:ind w:hanging="360" w:left="720"/>
        <w:rPr>
          <w:rFonts w:ascii="Calibri" w:cs="Calibri" w:eastAsia="Calibri" w:hAnsi="Calibri"/>
          <w:color w:themeColor="text1" w:val="000000"/>
          <w:sz w:val="22"/>
          <w:szCs w:val="22"/>
        </w:rPr>
      </w:pPr>
    </w:p>
    <w:p w14:paraId="75545B4A" w14:textId="4A698D3C" w:rsidP="76F9B54A" w:rsidR="00A11EDA" w:rsidRDefault="00A11EDA">
      <w:pPr>
        <w:widowControl w:val="0"/>
        <w:spacing w:line="242" w:lineRule="auto"/>
        <w:ind w:hanging="360" w:left="720"/>
        <w:rPr>
          <w:rFonts w:ascii="Calibri" w:cs="Calibri" w:eastAsia="Calibri" w:hAnsi="Calibri"/>
          <w:color w:themeColor="text1" w:val="000000"/>
          <w:sz w:val="22"/>
          <w:szCs w:val="22"/>
        </w:rPr>
      </w:pPr>
    </w:p>
    <w:p w14:paraId="4ACC184C" w14:textId="7A5050DF" w:rsidP="76F9B54A" w:rsidR="00A11EDA" w:rsidRDefault="00A11EDA">
      <w:pPr>
        <w:widowControl w:val="0"/>
        <w:spacing w:line="242" w:lineRule="auto"/>
        <w:ind w:hanging="360" w:left="720"/>
        <w:rPr>
          <w:rFonts w:ascii="Calibri" w:cs="Calibri" w:eastAsia="Calibri" w:hAnsi="Calibri"/>
          <w:color w:themeColor="text1" w:val="000000"/>
          <w:sz w:val="22"/>
          <w:szCs w:val="22"/>
        </w:rPr>
      </w:pPr>
    </w:p>
    <w:p w14:paraId="272ED934" w14:textId="152959E1" w:rsidP="76F9B54A" w:rsidR="00A11EDA" w:rsidRDefault="00A11EDA">
      <w:pPr>
        <w:widowControl w:val="0"/>
        <w:spacing w:line="242" w:lineRule="auto"/>
        <w:ind w:hanging="360" w:left="720"/>
        <w:rPr>
          <w:rFonts w:ascii="Calibri" w:cs="Calibri" w:eastAsia="Calibri" w:hAnsi="Calibri"/>
          <w:color w:themeColor="text1" w:val="000000"/>
          <w:sz w:val="22"/>
          <w:szCs w:val="22"/>
        </w:rPr>
      </w:pPr>
    </w:p>
    <w:p w14:paraId="6E146A6F" w14:textId="5762BFFF" w:rsidP="76F9B54A" w:rsidR="00A11EDA" w:rsidRDefault="00A11EDA">
      <w:pPr>
        <w:widowControl w:val="0"/>
        <w:spacing w:line="242" w:lineRule="auto"/>
        <w:ind w:hanging="360" w:left="720"/>
        <w:rPr>
          <w:rFonts w:ascii="Calibri" w:cs="Calibri" w:eastAsia="Calibri" w:hAnsi="Calibri"/>
          <w:color w:themeColor="text1" w:val="000000"/>
          <w:sz w:val="22"/>
          <w:szCs w:val="22"/>
        </w:rPr>
      </w:pPr>
    </w:p>
    <w:p w14:paraId="7280EF5B" w14:textId="71D06223" w:rsidP="76F9B54A" w:rsidR="00A11EDA" w:rsidRDefault="00A11EDA">
      <w:pPr>
        <w:widowControl w:val="0"/>
        <w:spacing w:line="242" w:lineRule="auto"/>
        <w:rPr>
          <w:rFonts w:ascii="Calibri" w:cs="Calibri" w:eastAsia="Calibri" w:hAnsi="Calibri"/>
          <w:color w:themeColor="text1" w:val="000000"/>
          <w:sz w:val="22"/>
          <w:szCs w:val="22"/>
        </w:rPr>
      </w:pPr>
    </w:p>
    <w:p w14:paraId="128B410D" w14:textId="1E75045C" w:rsidP="76F9B54A" w:rsidR="00A11EDA" w:rsidRDefault="7A49E32E">
      <w:pPr>
        <w:pStyle w:val="Paragraphedeliste"/>
        <w:widowControl w:val="0"/>
        <w:numPr>
          <w:ilvl w:val="0"/>
          <w:numId w:val="8"/>
        </w:numPr>
        <w:spacing w:line="242" w:lineRule="auto"/>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 xml:space="preserve">Ci-après </w:t>
      </w:r>
      <w:proofErr w:type="gramStart"/>
      <w:r w:rsidRPr="76F9B54A">
        <w:rPr>
          <w:rFonts w:ascii="Calibri" w:cs="Calibri" w:eastAsia="Calibri" w:hAnsi="Calibri"/>
          <w:color w:themeColor="text1" w:val="000000"/>
          <w:sz w:val="22"/>
          <w:szCs w:val="22"/>
        </w:rPr>
        <w:t>dénommé  «</w:t>
      </w:r>
      <w:proofErr w:type="gramEnd"/>
      <w:r w:rsidRPr="76F9B54A">
        <w:rPr>
          <w:rFonts w:ascii="Calibri" w:cs="Calibri" w:eastAsia="Calibri" w:hAnsi="Calibri"/>
          <w:color w:themeColor="text1" w:val="000000"/>
          <w:sz w:val="22"/>
          <w:szCs w:val="22"/>
        </w:rPr>
        <w:t> Le personnel »</w:t>
      </w:r>
    </w:p>
    <w:p w14:paraId="4CEAF208" w14:textId="77777777" w:rsidP="005E0476" w:rsidR="005E0476" w:rsidRDefault="005E0476">
      <w:pPr>
        <w:widowControl w:val="0"/>
        <w:spacing w:line="242" w:lineRule="auto"/>
        <w:rPr>
          <w:rFonts w:ascii="Calibri" w:cs="Calibri" w:eastAsia="Calibri" w:hAnsi="Calibri"/>
          <w:color w:themeColor="text1" w:val="000000"/>
          <w:sz w:val="22"/>
          <w:szCs w:val="22"/>
        </w:rPr>
      </w:pPr>
    </w:p>
    <w:p w14:paraId="41A9196D" w14:textId="77777777" w:rsidP="005E0476" w:rsidR="005E0476" w:rsidRDefault="005E0476">
      <w:pPr>
        <w:widowControl w:val="0"/>
        <w:spacing w:line="242" w:lineRule="auto"/>
        <w:rPr>
          <w:rFonts w:ascii="Calibri" w:cs="Calibri" w:eastAsia="Calibri" w:hAnsi="Calibri"/>
          <w:color w:themeColor="text1" w:val="000000"/>
          <w:sz w:val="22"/>
          <w:szCs w:val="22"/>
        </w:rPr>
      </w:pPr>
    </w:p>
    <w:p w14:paraId="53676B54" w14:textId="77777777" w:rsidP="005E0476" w:rsidR="005E0476" w:rsidRDefault="005E0476" w:rsidRPr="005E0476">
      <w:pPr>
        <w:widowControl w:val="0"/>
        <w:spacing w:line="242" w:lineRule="auto"/>
        <w:rPr>
          <w:rFonts w:ascii="Calibri" w:cs="Calibri" w:eastAsia="Calibri" w:hAnsi="Calibri"/>
          <w:color w:themeColor="text1" w:val="000000"/>
          <w:sz w:val="22"/>
          <w:szCs w:val="22"/>
        </w:rPr>
      </w:pPr>
    </w:p>
    <w:p w14:paraId="05F7D699" w14:textId="5EB6BE30" w:rsidP="76F9B54A" w:rsidR="00A11EDA" w:rsidRDefault="7A49E32E">
      <w:pPr>
        <w:pStyle w:val="Citationintense"/>
        <w:pBdr>
          <w:top w:color="4F81BD" w:space="10" w:sz="4" w:val="single"/>
          <w:bottom w:color="4F81BD" w:space="10" w:sz="4" w:val="single"/>
        </w:pBdr>
        <w:rPr>
          <w:rFonts w:ascii="Cambria" w:cs="Cambria" w:eastAsia="Cambria" w:hAnsi="Cambria"/>
          <w:color w:val="4F81BD"/>
        </w:rPr>
      </w:pPr>
      <w:r w:rsidRPr="76F9B54A">
        <w:rPr>
          <w:rFonts w:ascii="Cambria" w:cs="Cambria" w:eastAsia="Cambria" w:hAnsi="Cambria"/>
          <w:color w:val="4F81BD"/>
        </w:rPr>
        <w:lastRenderedPageBreak/>
        <w:t>Préambule</w:t>
      </w:r>
    </w:p>
    <w:p w14:paraId="3473E0FE" w14:textId="288F8FBE" w:rsidP="76F9B54A" w:rsidR="00A11EDA" w:rsidRDefault="00A11EDA">
      <w:pPr>
        <w:rPr>
          <w:rFonts w:ascii="Cambria" w:cs="Cambria" w:eastAsia="Cambria" w:hAnsi="Cambria"/>
          <w:color w:val="4F81BD"/>
          <w:sz w:val="22"/>
          <w:szCs w:val="22"/>
        </w:rPr>
      </w:pPr>
    </w:p>
    <w:p w14:paraId="14B23507" w14:textId="505638CC" w:rsidP="76F9B54A" w:rsidR="00A11EDA" w:rsidRDefault="7A49E32E">
      <w:pPr>
        <w:jc w:val="both"/>
        <w:rPr>
          <w:rFonts w:ascii="Calibri" w:cs="Calibri" w:eastAsia="Calibri" w:hAnsi="Calibri"/>
          <w:color w:themeColor="text1" w:val="000000"/>
          <w:sz w:val="22"/>
          <w:szCs w:val="22"/>
        </w:rPr>
      </w:pPr>
      <w:r w:rsidRPr="76F9B54A">
        <w:rPr>
          <w:rStyle w:val="Accentuationintense"/>
          <w:rFonts w:ascii="Calibri" w:cs="Calibri" w:eastAsia="Calibri" w:hAnsi="Calibri"/>
          <w:i w:val="0"/>
          <w:iCs w:val="0"/>
          <w:color w:themeColor="text1" w:val="000000"/>
          <w:sz w:val="22"/>
          <w:szCs w:val="22"/>
        </w:rPr>
        <w:t>Le présent accord s’inscrit dans le cadre de l’évolution du mode de commercialisation des services proposés par la Société à ses clients.</w:t>
      </w:r>
    </w:p>
    <w:p w14:paraId="44F99262" w14:textId="5B504954" w:rsidP="76F9B54A" w:rsidR="00A11EDA" w:rsidRDefault="7A49E32E">
      <w:pPr>
        <w:jc w:val="both"/>
        <w:rPr>
          <w:rFonts w:ascii="Calibri" w:cs="Calibri" w:eastAsia="Calibri" w:hAnsi="Calibri"/>
          <w:color w:themeColor="text1" w:val="000000"/>
          <w:sz w:val="22"/>
          <w:szCs w:val="22"/>
        </w:rPr>
      </w:pPr>
      <w:r w:rsidRPr="76F9B54A">
        <w:rPr>
          <w:rStyle w:val="Accentuationintense"/>
          <w:rFonts w:ascii="Calibri" w:cs="Calibri" w:eastAsia="Calibri" w:hAnsi="Calibri"/>
          <w:i w:val="0"/>
          <w:iCs w:val="0"/>
          <w:color w:themeColor="text1" w:val="000000"/>
          <w:sz w:val="22"/>
          <w:szCs w:val="22"/>
        </w:rPr>
        <w:t>L’organisation et le temps de travail sont deux éléments clefs de réussite de la Société dans le futur, ils doivent permettre à la fois d’inscrire l’entreprise dans un cadre suffisamment clair et lisible pour l’ensemble des salariés, tout en donnant à l’entreprise les moyens de conduire sa politique de développement et de croissance.</w:t>
      </w:r>
    </w:p>
    <w:p w14:paraId="0615B9AA" w14:textId="7D8996DA" w:rsidP="76F9B54A" w:rsidR="00A11EDA" w:rsidRDefault="7A49E32E">
      <w:pPr>
        <w:jc w:val="both"/>
        <w:rPr>
          <w:rFonts w:ascii="Calibri" w:cs="Calibri" w:eastAsia="Calibri" w:hAnsi="Calibri"/>
          <w:color w:themeColor="text1" w:val="000000"/>
          <w:sz w:val="22"/>
          <w:szCs w:val="22"/>
        </w:rPr>
      </w:pPr>
      <w:r w:rsidRPr="76F9B54A">
        <w:rPr>
          <w:rStyle w:val="Accentuationintense"/>
          <w:rFonts w:ascii="Calibri" w:cs="Calibri" w:eastAsia="Calibri" w:hAnsi="Calibri"/>
          <w:i w:val="0"/>
          <w:iCs w:val="0"/>
          <w:color w:themeColor="text1" w:val="000000"/>
          <w:sz w:val="22"/>
          <w:szCs w:val="22"/>
        </w:rPr>
        <w:t>Les dispositions du présent accord participent de manière profonde à ancrer la Société ALLIANCE TAXIS dans sa nouvelle dynamique.</w:t>
      </w:r>
    </w:p>
    <w:p w14:paraId="03081481" w14:textId="6EDD3BDF" w:rsidP="76F9B54A" w:rsidR="00A11EDA" w:rsidRDefault="7A49E32E">
      <w:pPr>
        <w:widowControl w:val="0"/>
        <w:spacing w:line="242" w:lineRule="auto"/>
        <w:ind w:firstLine="708" w:left="2832"/>
        <w:rPr>
          <w:rFonts w:ascii="Calibri" w:cs="Calibri" w:eastAsia="Calibri" w:hAnsi="Calibri"/>
          <w:color w:themeColor="text1" w:val="000000"/>
          <w:sz w:val="22"/>
          <w:szCs w:val="22"/>
        </w:rPr>
      </w:pPr>
      <w:r w:rsidRPr="76F9B54A">
        <w:rPr>
          <w:rFonts w:ascii="Calibri" w:cs="Calibri" w:eastAsia="Calibri" w:hAnsi="Calibri"/>
          <w:b/>
          <w:bCs/>
          <w:color w:themeColor="text1" w:val="000000"/>
          <w:sz w:val="22"/>
          <w:szCs w:val="22"/>
          <w:u w:val="single"/>
        </w:rPr>
        <w:t>Article 1 - Cadre juridique</w:t>
      </w:r>
    </w:p>
    <w:p w14:paraId="1A0BD6B3" w14:textId="3EC289B0" w:rsidP="76F9B54A" w:rsidR="00A11EDA" w:rsidRDefault="00A11EDA">
      <w:pPr>
        <w:widowControl w:val="0"/>
        <w:spacing w:line="242" w:lineRule="auto"/>
        <w:ind w:firstLine="708" w:left="2832"/>
        <w:rPr>
          <w:rFonts w:ascii="Calibri" w:cs="Calibri" w:eastAsia="Calibri" w:hAnsi="Calibri"/>
          <w:color w:themeColor="text1" w:val="000000"/>
          <w:sz w:val="22"/>
          <w:szCs w:val="22"/>
        </w:rPr>
      </w:pPr>
    </w:p>
    <w:p w14:paraId="31500B61" w14:textId="31119050"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 présent accord est conclu conformément aux dispositions juridiques fixées par l’ordonnance N°2017-1385 du 22/09/2017 relative au renforcement de la négociation collective, notamment son article 8 et le décret 2017-1767 du 26/12/2017.</w:t>
      </w:r>
    </w:p>
    <w:p w14:paraId="033C3BE2" w14:textId="1B348F6C"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La procédure de conclusion et le contenu du présent accord sont conformes à l’ensemble des dispositions légales et réglementaires et notamment les articles : L2232-21, L2232-22, L2232-29-1, R2232-10, R2232-11, R2232-12 du code du travail tels que modifiés par l’ordonnance citée ci-dessus.</w:t>
      </w:r>
    </w:p>
    <w:p w14:paraId="2D8C41A9" w14:textId="0FFE3377"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Vu l’ensemble des textes cités ci-dessus et ceux qui peuvent être appliqués conformément à la législation du travail, l’employeur décide de conclure le présent accord qui n’entrera en vigueur que sous réserve de sa ratification par au moins les 2/3 des salariés de l’entreprise.</w:t>
      </w:r>
    </w:p>
    <w:p w14:paraId="36B1AB3D" w14:textId="0E0A5FAC"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L’effectif de l’entreprise est de 3 salariés déterminé au 31 Octobre 2024 conformément aux dispositions de l’article L1111-2 du code du travail. Il s’agit de l’effectif habituel de l’entreprise.</w:t>
      </w:r>
    </w:p>
    <w:p w14:paraId="57E18D87" w14:textId="3D2EBA18"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La liste des salariés est annexée au présent accord et communiquée à chaque salarié faisant partie de l’effectif.</w:t>
      </w:r>
    </w:p>
    <w:p w14:paraId="2052B2D6" w14:textId="0AD1B4F5" w:rsidP="76F9B54A" w:rsidR="00A11EDA" w:rsidRDefault="7A49E32E">
      <w:pPr>
        <w:widowControl w:val="0"/>
        <w:spacing w:line="242" w:lineRule="auto"/>
        <w:ind w:firstLine="708" w:left="2124"/>
        <w:rPr>
          <w:rFonts w:ascii="Calibri" w:cs="Calibri" w:eastAsia="Calibri" w:hAnsi="Calibri"/>
          <w:color w:themeColor="text1" w:val="000000"/>
          <w:sz w:val="22"/>
          <w:szCs w:val="22"/>
        </w:rPr>
      </w:pPr>
      <w:r w:rsidRPr="76F9B54A">
        <w:rPr>
          <w:rFonts w:ascii="Calibri" w:cs="Calibri" w:eastAsia="Calibri" w:hAnsi="Calibri"/>
          <w:b/>
          <w:bCs/>
          <w:color w:themeColor="text1" w:val="000000"/>
          <w:sz w:val="22"/>
          <w:szCs w:val="22"/>
        </w:rPr>
        <w:t xml:space="preserve">           </w:t>
      </w:r>
      <w:r w:rsidRPr="76F9B54A">
        <w:rPr>
          <w:rFonts w:ascii="Calibri" w:cs="Calibri" w:eastAsia="Calibri" w:hAnsi="Calibri"/>
          <w:b/>
          <w:bCs/>
          <w:color w:themeColor="text1" w:val="000000"/>
          <w:sz w:val="22"/>
          <w:szCs w:val="22"/>
          <w:u w:val="single"/>
        </w:rPr>
        <w:t>Article 2 - Champ d’application</w:t>
      </w:r>
    </w:p>
    <w:p w14:paraId="573F5C16" w14:textId="556A5B5D"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 xml:space="preserve">La société est composée d’un seul établissement, ainsi le présent accord s’applique à l’ensemble des salariés présents dans l’établissement. </w:t>
      </w:r>
    </w:p>
    <w:p w14:paraId="3D3B8E2A" w14:textId="01AB6687"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 terme salarié s’entend comme toute personne embauchée dans l’établissement susmentionné (à l’exception des cadres dirigeants) et ce peu importe la nature du contrat de travail à la laquelle elle est soumise.</w:t>
      </w:r>
    </w:p>
    <w:p w14:paraId="70CB01DB" w14:textId="65641014" w:rsidP="590B6FAB" w:rsidR="00A11EDA" w:rsidRDefault="7A49E32E">
      <w:pPr>
        <w:widowControl w:val="0"/>
        <w:spacing w:line="242" w:lineRule="auto"/>
        <w:jc w:val="both"/>
        <w:rPr>
          <w:rFonts w:ascii="Calibri" w:cs="Calibri" w:eastAsia="Calibri" w:hAnsi="Calibri"/>
          <w:color w:themeColor="text1" w:val="000000"/>
          <w:sz w:val="22"/>
          <w:szCs w:val="22"/>
        </w:rPr>
      </w:pPr>
      <w:r w:rsidRPr="590B6FAB">
        <w:rPr>
          <w:rFonts w:ascii="Calibri" w:cs="Calibri" w:eastAsia="Calibri" w:hAnsi="Calibri"/>
          <w:color w:themeColor="text1" w:val="000000"/>
          <w:sz w:val="22"/>
          <w:szCs w:val="22"/>
        </w:rPr>
        <w:t xml:space="preserve">          </w:t>
      </w:r>
      <w:r>
        <w:tab/>
      </w:r>
      <w:r>
        <w:tab/>
      </w:r>
      <w:r>
        <w:tab/>
      </w:r>
      <w:r>
        <w:tab/>
      </w:r>
      <w:r>
        <w:tab/>
      </w:r>
      <w:r w:rsidRPr="590B6FAB">
        <w:rPr>
          <w:rFonts w:ascii="Calibri" w:cs="Calibri" w:eastAsia="Calibri" w:hAnsi="Calibri"/>
          <w:b/>
          <w:bCs/>
          <w:color w:themeColor="text1" w:val="000000"/>
          <w:sz w:val="22"/>
          <w:szCs w:val="22"/>
          <w:u w:val="single"/>
        </w:rPr>
        <w:t xml:space="preserve">Article 3 – Objet </w:t>
      </w:r>
    </w:p>
    <w:p w14:paraId="2CCED414" w14:textId="1FDE4353" w:rsidP="590B6FAB" w:rsidR="00A11EDA" w:rsidRDefault="7A49E32E">
      <w:pPr>
        <w:widowControl w:val="0"/>
        <w:spacing w:line="242" w:lineRule="auto"/>
        <w:jc w:val="both"/>
        <w:rPr>
          <w:rFonts w:ascii="Calibri" w:cs="Calibri" w:eastAsia="Calibri" w:hAnsi="Calibri"/>
          <w:color w:themeColor="text1" w:val="000000"/>
          <w:sz w:val="22"/>
          <w:szCs w:val="22"/>
        </w:rPr>
      </w:pPr>
      <w:r w:rsidRPr="590B6FAB">
        <w:rPr>
          <w:rFonts w:ascii="Calibri" w:cs="Calibri" w:eastAsia="Calibri" w:hAnsi="Calibri"/>
          <w:color w:themeColor="text1" w:val="000000"/>
          <w:sz w:val="22"/>
          <w:szCs w:val="22"/>
        </w:rPr>
        <w:t>Le présent accord a pour objet l’adaptation à l’entreprise du régime des heures supplémentaires et de la durée maximum moyenne hebdomadaire de travail.</w:t>
      </w:r>
    </w:p>
    <w:p w14:paraId="33A37BB7" w14:textId="719E2D80" w:rsidP="590B6FAB" w:rsidR="590B6FAB" w:rsidRDefault="590B6FAB">
      <w:pPr>
        <w:widowControl w:val="0"/>
        <w:spacing w:line="242" w:lineRule="auto"/>
        <w:jc w:val="both"/>
        <w:rPr>
          <w:rFonts w:ascii="Calibri" w:cs="Calibri" w:eastAsia="Calibri" w:hAnsi="Calibri"/>
          <w:color w:themeColor="text1" w:val="000000"/>
          <w:sz w:val="22"/>
          <w:szCs w:val="22"/>
        </w:rPr>
      </w:pPr>
    </w:p>
    <w:p w14:paraId="2D7CF23D" w14:textId="77777777" w:rsidP="590B6FAB" w:rsidR="00A96284" w:rsidRDefault="00A96284">
      <w:pPr>
        <w:widowControl w:val="0"/>
        <w:spacing w:line="242" w:lineRule="auto"/>
        <w:jc w:val="both"/>
        <w:rPr>
          <w:rFonts w:ascii="Calibri" w:cs="Calibri" w:eastAsia="Calibri" w:hAnsi="Calibri"/>
          <w:color w:themeColor="text1" w:val="000000"/>
          <w:sz w:val="22"/>
          <w:szCs w:val="22"/>
        </w:rPr>
      </w:pPr>
    </w:p>
    <w:p w14:paraId="7DB7E0A4" w14:textId="3FBF88D6" w:rsidP="590B6FAB" w:rsidR="00A11EDA" w:rsidRDefault="7A49E32E">
      <w:pPr>
        <w:widowControl w:val="0"/>
        <w:spacing w:line="242" w:lineRule="auto"/>
        <w:ind w:firstLine="708" w:left="1416"/>
        <w:rPr>
          <w:rFonts w:ascii="Calibri" w:cs="Calibri" w:eastAsia="Calibri" w:hAnsi="Calibri"/>
          <w:color w:themeColor="text1" w:val="000000"/>
          <w:sz w:val="22"/>
          <w:szCs w:val="22"/>
        </w:rPr>
      </w:pPr>
      <w:r w:rsidRPr="590B6FAB">
        <w:rPr>
          <w:rFonts w:ascii="Calibri" w:cs="Calibri" w:eastAsia="Calibri" w:hAnsi="Calibri"/>
          <w:b/>
          <w:bCs/>
          <w:color w:themeColor="text1" w:val="000000"/>
          <w:sz w:val="22"/>
          <w:szCs w:val="22"/>
        </w:rPr>
        <w:lastRenderedPageBreak/>
        <w:t xml:space="preserve">     </w:t>
      </w:r>
      <w:r w:rsidRPr="590B6FAB">
        <w:rPr>
          <w:rFonts w:ascii="Calibri" w:cs="Calibri" w:eastAsia="Calibri" w:hAnsi="Calibri"/>
          <w:b/>
          <w:bCs/>
          <w:color w:themeColor="text1" w:val="000000"/>
          <w:sz w:val="22"/>
          <w:szCs w:val="22"/>
          <w:u w:val="single"/>
        </w:rPr>
        <w:t>Article 4 : Principes généraux de la durée du travail</w:t>
      </w:r>
    </w:p>
    <w:p w14:paraId="2669EC6A" w14:textId="39BC5F70" w:rsidP="76F9B54A" w:rsidR="00A11EDA" w:rsidRDefault="7A49E32E">
      <w:pPr>
        <w:pStyle w:val="Paragraphedeliste"/>
        <w:widowControl w:val="0"/>
        <w:numPr>
          <w:ilvl w:val="0"/>
          <w:numId w:val="5"/>
        </w:numPr>
        <w:spacing w:line="242" w:lineRule="auto"/>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u w:val="single"/>
        </w:rPr>
        <w:t>Article 4-1 : Définition du temps de travail</w:t>
      </w:r>
    </w:p>
    <w:p w14:paraId="25D900EB" w14:textId="5DBA9F4A"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Conformément aux dispositions de l’article L3121-1 du Code du Travail la notion de temps de travail effectif s’entend du « temps pendant lequel le salarié est à la disposition de l’employeur et doit se conformer à ses directives sans pouvoir vaquer librement à ses occupations personnelles. »</w:t>
      </w:r>
    </w:p>
    <w:p w14:paraId="0C7494EE" w14:textId="4807C814"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 temps consacré par le salarié pour se rendre de son domicile à son lieu de travail n’est pas considéré comme du temps de travail effectif.</w:t>
      </w:r>
    </w:p>
    <w:p w14:paraId="29C3FDCC" w14:textId="5F4C60C9"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Aussi, les temps de pause ne constituent pas et ne sont pas assimilés à du temps de travail effectif.         On entend par pause, un temps de repos compris dans une journée de travail pendant lequel l’exécution du travail est suspendue et durant lequel le salarié est libre de vaquer à des occupations personnelles.</w:t>
      </w:r>
    </w:p>
    <w:p w14:paraId="134FBA03" w14:textId="6C0429FD"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 nombre de pauses et leur durée sont définis en bonne intelligence entre le responsable hiérarchique et le salarié dans le respect du temps contractuel, des exigences opérationnelles et des horaires collectifs.</w:t>
      </w:r>
    </w:p>
    <w:p w14:paraId="53F274B9" w14:textId="15E4494C" w:rsidP="76F9B54A" w:rsidR="00A11EDA" w:rsidRDefault="7A49E32E">
      <w:pPr>
        <w:pStyle w:val="Paragraphedeliste"/>
        <w:widowControl w:val="0"/>
        <w:numPr>
          <w:ilvl w:val="0"/>
          <w:numId w:val="5"/>
        </w:numPr>
        <w:spacing w:line="242" w:lineRule="auto"/>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u w:val="single"/>
        </w:rPr>
        <w:t>Article 4-2 : Durée maximale de travail</w:t>
      </w:r>
    </w:p>
    <w:p w14:paraId="1152816C" w14:textId="7849D8D6"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Il  est rappelé qu’en l’état actuel des dispositions conventionnelles, les durées maximales de travail pour les salariés dont le temps de travail est décompté en heures, sauf dérogation éventuelles, sont les suivantes :</w:t>
      </w:r>
    </w:p>
    <w:p w14:paraId="7D573011" w14:textId="7C9BE943" w:rsidP="76F9B54A" w:rsidR="00A11EDA" w:rsidRDefault="7A49E32E">
      <w:pPr>
        <w:pStyle w:val="Paragraphedeliste"/>
        <w:widowControl w:val="0"/>
        <w:numPr>
          <w:ilvl w:val="0"/>
          <w:numId w:val="7"/>
        </w:numPr>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La durée hebdomadaire du travail ne peut excéder 44 heures en moyenne sur une période de 12 semaines,</w:t>
      </w:r>
    </w:p>
    <w:p w14:paraId="62CAA48B" w14:textId="1756B4C7" w:rsidP="590B6FAB" w:rsidR="00A11EDA" w:rsidRDefault="7A49E32E">
      <w:pPr>
        <w:pStyle w:val="Paragraphedeliste"/>
        <w:widowControl w:val="0"/>
        <w:numPr>
          <w:ilvl w:val="0"/>
          <w:numId w:val="7"/>
        </w:numPr>
        <w:spacing w:line="242" w:lineRule="auto"/>
        <w:jc w:val="both"/>
        <w:rPr>
          <w:rFonts w:ascii="Calibri" w:cs="Calibri" w:eastAsia="Calibri" w:hAnsi="Calibri"/>
          <w:color w:themeColor="text1" w:val="000000"/>
          <w:sz w:val="22"/>
          <w:szCs w:val="22"/>
        </w:rPr>
      </w:pPr>
      <w:r w:rsidRPr="590B6FAB">
        <w:rPr>
          <w:rFonts w:ascii="Calibri" w:cs="Calibri" w:eastAsia="Calibri" w:hAnsi="Calibri"/>
          <w:color w:themeColor="text1" w:val="000000"/>
          <w:sz w:val="22"/>
          <w:szCs w:val="22"/>
        </w:rPr>
        <w:t>La durée hebdomadaire sur une même semaine ne doit pas dépasser 48 heures.</w:t>
      </w:r>
    </w:p>
    <w:p w14:paraId="4C019DED" w14:textId="1DD9F4F3" w:rsidP="590B6FAB" w:rsidR="590B6FAB" w:rsidRDefault="590B6FAB">
      <w:pPr>
        <w:pStyle w:val="Paragraphedeliste"/>
        <w:widowControl w:val="0"/>
        <w:spacing w:line="242" w:lineRule="auto"/>
        <w:jc w:val="both"/>
        <w:rPr>
          <w:rFonts w:ascii="Calibri" w:cs="Calibri" w:eastAsia="Calibri" w:hAnsi="Calibri"/>
          <w:color w:themeColor="text1" w:val="000000"/>
          <w:sz w:val="22"/>
          <w:szCs w:val="22"/>
        </w:rPr>
      </w:pPr>
    </w:p>
    <w:p w14:paraId="30D7E5C3" w14:textId="145C65EE" w:rsidP="76F9B54A" w:rsidR="00A11EDA" w:rsidRDefault="7A49E32E">
      <w:pPr>
        <w:pStyle w:val="Paragraphedeliste"/>
        <w:widowControl w:val="0"/>
        <w:numPr>
          <w:ilvl w:val="0"/>
          <w:numId w:val="3"/>
        </w:numPr>
        <w:spacing w:line="242" w:lineRule="auto"/>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u w:val="single"/>
        </w:rPr>
        <w:t>Article 4-3 : Définition heures supplémentaires</w:t>
      </w:r>
    </w:p>
    <w:p w14:paraId="4EFC5FC5" w14:textId="2BE88C87"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 xml:space="preserve">Il s’agit de toute heure accomplie par le salarié au-delà de la durée légale hebdomadaire, c'est-à-dire au-delà de 35 heures par semaine. </w:t>
      </w:r>
    </w:p>
    <w:p w14:paraId="19514D01" w14:textId="3F199216"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 xml:space="preserve">Le décompte des heures supplémentaires se fait à la semaine. </w:t>
      </w:r>
    </w:p>
    <w:p w14:paraId="47839CE4" w14:textId="0CE35FB1" w:rsidP="76F9B54A" w:rsidR="00A11EDA" w:rsidRDefault="7A49E32E">
      <w:pPr>
        <w:pStyle w:val="Paragraphedeliste"/>
        <w:widowControl w:val="0"/>
        <w:numPr>
          <w:ilvl w:val="0"/>
          <w:numId w:val="3"/>
        </w:numPr>
        <w:spacing w:line="242" w:lineRule="auto"/>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u w:val="single"/>
        </w:rPr>
        <w:t>Article 4-4 : Contingent d’heures supplémentaires</w:t>
      </w:r>
    </w:p>
    <w:p w14:paraId="0677E249" w14:textId="2B94276D"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Conformément aux dispositions de la convention collective applicable, le contingent d’heures supplémentaires fixé par an et par salarié est de 220 heures.</w:t>
      </w:r>
    </w:p>
    <w:p w14:paraId="0AA726D0" w14:textId="61CD7A40" w:rsidP="590B6FAB" w:rsidR="00A11EDA" w:rsidRDefault="7A49E32E">
      <w:pPr>
        <w:widowControl w:val="0"/>
        <w:spacing w:line="242" w:lineRule="auto"/>
        <w:jc w:val="center"/>
        <w:rPr>
          <w:rFonts w:ascii="Calibri" w:cs="Calibri" w:eastAsia="Calibri" w:hAnsi="Calibri"/>
          <w:color w:themeColor="text1" w:val="000000"/>
          <w:sz w:val="22"/>
          <w:szCs w:val="22"/>
        </w:rPr>
      </w:pPr>
      <w:r w:rsidRPr="590B6FAB">
        <w:rPr>
          <w:rFonts w:ascii="Calibri" w:cs="Calibri" w:eastAsia="Calibri" w:hAnsi="Calibri"/>
          <w:b/>
          <w:bCs/>
          <w:color w:themeColor="text1" w:val="000000"/>
          <w:sz w:val="22"/>
          <w:szCs w:val="22"/>
          <w:u w:val="single"/>
        </w:rPr>
        <w:t>Article 5 – Modification du contingent d’heures supplémentaires</w:t>
      </w:r>
    </w:p>
    <w:p w14:paraId="1533BE2F" w14:textId="01BCCDF2" w:rsidP="76F9B54A" w:rsidR="00A11EDA" w:rsidRDefault="7A49E32E">
      <w:pPr>
        <w:pStyle w:val="Paragraphedeliste"/>
        <w:widowControl w:val="0"/>
        <w:numPr>
          <w:ilvl w:val="0"/>
          <w:numId w:val="5"/>
        </w:numPr>
        <w:spacing w:line="242" w:lineRule="auto"/>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u w:val="single"/>
        </w:rPr>
        <w:t>Article 5-1 : Augmentation du contingent d’heures supplémentaires</w:t>
      </w:r>
    </w:p>
    <w:p w14:paraId="377722C7" w14:textId="7E192173"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Il a été convenu, comme le permet la loi, d’augmenter le contingent d’heures supplémentaires.</w:t>
      </w:r>
    </w:p>
    <w:p w14:paraId="3337B143" w14:textId="071FED41"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Dès lors, à compter de l’application du présent accord d’entreprise, le contingent dans l’entreprise ne sera plus de 220 heures mais de</w:t>
      </w:r>
      <w:r w:rsidRPr="76F9B54A">
        <w:rPr>
          <w:rFonts w:ascii="Calibri" w:cs="Calibri" w:eastAsia="Calibri" w:hAnsi="Calibri"/>
          <w:color w:val="FF0000"/>
          <w:sz w:val="22"/>
          <w:szCs w:val="22"/>
        </w:rPr>
        <w:t xml:space="preserve"> </w:t>
      </w:r>
      <w:r w:rsidRPr="76F9B54A">
        <w:rPr>
          <w:rFonts w:ascii="Calibri" w:cs="Calibri" w:eastAsia="Calibri" w:hAnsi="Calibri"/>
          <w:color w:themeColor="text1" w:val="000000"/>
          <w:sz w:val="22"/>
          <w:szCs w:val="22"/>
        </w:rPr>
        <w:t>400 heures par an et par salarié.</w:t>
      </w:r>
    </w:p>
    <w:p w14:paraId="4B8E92D3" w14:textId="766A61F6" w:rsidP="590B6FAB" w:rsidR="00A11EDA" w:rsidRDefault="7A49E32E">
      <w:pPr>
        <w:pStyle w:val="Paragraphedeliste"/>
        <w:widowControl w:val="0"/>
        <w:numPr>
          <w:ilvl w:val="0"/>
          <w:numId w:val="5"/>
        </w:numPr>
        <w:spacing w:line="242" w:lineRule="auto"/>
        <w:jc w:val="both"/>
        <w:rPr>
          <w:rFonts w:ascii="Calibri" w:cs="Calibri" w:eastAsia="Calibri" w:hAnsi="Calibri"/>
          <w:color w:themeColor="text1" w:val="000000"/>
          <w:sz w:val="22"/>
          <w:szCs w:val="22"/>
        </w:rPr>
      </w:pPr>
      <w:r w:rsidRPr="590B6FAB">
        <w:rPr>
          <w:rFonts w:ascii="Calibri" w:cs="Calibri" w:eastAsia="Calibri" w:hAnsi="Calibri"/>
          <w:color w:themeColor="text1" w:val="000000"/>
          <w:sz w:val="22"/>
          <w:szCs w:val="22"/>
          <w:u w:val="single"/>
        </w:rPr>
        <w:t xml:space="preserve">Article 5-2 : Régime des heures supplémentaires effectuées au-delà du contingent </w:t>
      </w:r>
    </w:p>
    <w:p w14:paraId="40365F59" w14:textId="190CB63D" w:rsidP="590B6FAB" w:rsidR="7A49E32E" w:rsidRDefault="7A49E32E">
      <w:pPr>
        <w:widowControl w:val="0"/>
        <w:spacing w:line="242" w:lineRule="auto"/>
        <w:jc w:val="both"/>
        <w:rPr>
          <w:rFonts w:ascii="Calibri" w:cs="Calibri" w:eastAsia="Calibri" w:hAnsi="Calibri"/>
          <w:color w:themeColor="text1" w:val="000000"/>
          <w:sz w:val="22"/>
          <w:szCs w:val="22"/>
        </w:rPr>
      </w:pPr>
      <w:r w:rsidRPr="590B6FAB">
        <w:rPr>
          <w:rFonts w:ascii="Calibri" w:cs="Calibri" w:eastAsia="Calibri" w:hAnsi="Calibri"/>
          <w:color w:themeColor="text1" w:val="000000"/>
          <w:sz w:val="22"/>
          <w:szCs w:val="22"/>
        </w:rPr>
        <w:t>Dans l’hypothèse où un salarié viendrait à dépasser le contingent d’heures supplémentaires négocié dans l’entreprise (dans le respect de la durée maximum de travail et minimum de repos), il bénéficierait des dispositions légales, savoir en plus d’une majoration de salaire :</w:t>
      </w:r>
    </w:p>
    <w:p w14:paraId="6C4817B2" w14:textId="646FDFA4" w:rsidP="63E85C50" w:rsidR="00A11EDA" w:rsidRDefault="7A49E32E">
      <w:pPr>
        <w:pStyle w:val="Paragraphedeliste"/>
        <w:widowControl w:val="0"/>
        <w:numPr>
          <w:ilvl w:val="0"/>
          <w:numId w:val="7"/>
        </w:numPr>
        <w:spacing w:line="242" w:lineRule="auto"/>
        <w:jc w:val="both"/>
        <w:rPr>
          <w:rFonts w:ascii="Calibri" w:cs="Calibri" w:eastAsia="Calibri" w:hAnsi="Calibri"/>
          <w:color w:themeColor="text1" w:val="000000"/>
          <w:sz w:val="22"/>
          <w:szCs w:val="22"/>
        </w:rPr>
      </w:pPr>
      <w:r w:rsidRPr="63E85C50">
        <w:rPr>
          <w:rFonts w:ascii="Calibri" w:cs="Calibri" w:eastAsia="Calibri" w:hAnsi="Calibri"/>
          <w:color w:themeColor="text1" w:val="000000"/>
          <w:sz w:val="22"/>
          <w:szCs w:val="22"/>
        </w:rPr>
        <w:t>Contrepartie en repos fixée à 50</w:t>
      </w:r>
      <w:r w:rsidRPr="63E85C50">
        <w:rPr>
          <w:rFonts w:ascii="Calibri" w:cs="Calibri" w:eastAsia="Calibri" w:hAnsi="Calibri"/>
          <w:color w:val="FF0000"/>
          <w:sz w:val="22"/>
          <w:szCs w:val="22"/>
        </w:rPr>
        <w:t xml:space="preserve"> </w:t>
      </w:r>
      <w:r w:rsidRPr="63E85C50">
        <w:rPr>
          <w:rFonts w:ascii="Calibri" w:cs="Calibri" w:eastAsia="Calibri" w:hAnsi="Calibri"/>
          <w:color w:themeColor="text1" w:val="000000"/>
          <w:sz w:val="22"/>
          <w:szCs w:val="22"/>
        </w:rPr>
        <w:t>% pour chaque heure effectuée.</w:t>
      </w:r>
    </w:p>
    <w:p w14:paraId="464C1DAB" w14:textId="45151B6F" w:rsidP="63E85C50" w:rsidR="63E85C50" w:rsidRDefault="63E85C50">
      <w:pPr>
        <w:pStyle w:val="Paragraphedeliste"/>
        <w:widowControl w:val="0"/>
        <w:spacing w:line="242" w:lineRule="auto"/>
        <w:jc w:val="both"/>
        <w:rPr>
          <w:rFonts w:ascii="Calibri" w:cs="Calibri" w:eastAsia="Calibri" w:hAnsi="Calibri"/>
          <w:color w:themeColor="text1" w:val="000000"/>
          <w:sz w:val="22"/>
          <w:szCs w:val="22"/>
        </w:rPr>
      </w:pPr>
    </w:p>
    <w:p w14:paraId="56B465CC" w14:textId="361A7D5B"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lastRenderedPageBreak/>
        <w:t>Le droit à repos est réputé ouvert dès que le salarié dispose d’une durée de repos égale à sept heures.</w:t>
      </w:r>
    </w:p>
    <w:p w14:paraId="68060738" w14:textId="3BA5EDD6"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L’employeur informe le salarié de son « crédit d’heure »  par tout moyen périodiquement, minimum tous les trimestres.</w:t>
      </w:r>
    </w:p>
    <w:p w14:paraId="251E5F84" w14:textId="586CB64D"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Ce repos devra être pris dans un délai maximum de 6 mois.</w:t>
      </w:r>
    </w:p>
    <w:p w14:paraId="670F4BEB" w14:textId="3C05DA62"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 salarié devra faire sa demande de prise de repos compensateur de préférence par écrit au moins deux semaines avant la date à laquelle il souhaite prendre son repos.</w:t>
      </w:r>
    </w:p>
    <w:p w14:paraId="20F9386B" w14:textId="58EB5B41"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L’employeur a quant à lui une semaine pour répondre. Les dates demandées pourront être repoussées par ce dernier en fonction des nécessités de service, dans la limite d’un trimestre.</w:t>
      </w:r>
    </w:p>
    <w:p w14:paraId="04D50097" w14:textId="41388F71"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Si un salarié venait à quitter l’entreprise sans avoir pu liquider ses droits à repos, l’employeur devrait lui verser une indemnité correspondant à ses droits acquis. Celle-ci serait versée en même temps que le dernier salaire.</w:t>
      </w:r>
    </w:p>
    <w:p w14:paraId="06CD0374" w14:textId="13F2A3F5"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b/>
          <w:bCs/>
          <w:color w:themeColor="text1" w:val="000000"/>
          <w:sz w:val="22"/>
          <w:szCs w:val="22"/>
          <w:u w:val="single"/>
        </w:rPr>
        <w:t>Article 6 – Augmentation de la durée hebdomadaire moyenne de travail</w:t>
      </w:r>
    </w:p>
    <w:p w14:paraId="3693ADA4" w14:textId="49DD4E3F"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Par dérogation aux dispositions légales et conformément à ces dernières, l’entreprise décide non pas de modifier la limite hebdomadaire absolue de travail de 48 heures, qui est d’ordre public absolu, mais de passer la durée hebdomadaire moyenne de travail sur 12 semaines consécutives de 44 à 46 heures.</w:t>
      </w:r>
    </w:p>
    <w:p w14:paraId="2D2875E6" w14:textId="3990CEEE" w:rsidP="76F9B54A" w:rsidR="00A11EDA" w:rsidRDefault="7A49E32E">
      <w:pPr>
        <w:widowControl w:val="0"/>
        <w:spacing w:line="242" w:lineRule="auto"/>
        <w:ind w:left="2832"/>
        <w:rPr>
          <w:rFonts w:ascii="Calibri" w:cs="Calibri" w:eastAsia="Calibri" w:hAnsi="Calibri"/>
          <w:color w:themeColor="text1" w:val="000000"/>
          <w:sz w:val="22"/>
          <w:szCs w:val="22"/>
        </w:rPr>
      </w:pPr>
      <w:r w:rsidRPr="76F9B54A">
        <w:rPr>
          <w:rFonts w:ascii="Calibri" w:cs="Calibri" w:eastAsia="Calibri" w:hAnsi="Calibri"/>
          <w:b/>
          <w:bCs/>
          <w:color w:themeColor="text1" w:val="000000"/>
          <w:sz w:val="22"/>
          <w:szCs w:val="22"/>
        </w:rPr>
        <w:t xml:space="preserve">    </w:t>
      </w:r>
      <w:r w:rsidRPr="76F9B54A">
        <w:rPr>
          <w:rFonts w:ascii="Calibri" w:cs="Calibri" w:eastAsia="Calibri" w:hAnsi="Calibri"/>
          <w:color w:themeColor="text1" w:val="000000"/>
          <w:sz w:val="22"/>
          <w:szCs w:val="22"/>
        </w:rPr>
        <w:t xml:space="preserve">     </w:t>
      </w:r>
      <w:r w:rsidRPr="76F9B54A">
        <w:rPr>
          <w:rFonts w:ascii="Calibri" w:cs="Calibri" w:eastAsia="Calibri" w:hAnsi="Calibri"/>
          <w:b/>
          <w:bCs/>
          <w:color w:themeColor="text1" w:val="000000"/>
          <w:sz w:val="22"/>
          <w:szCs w:val="22"/>
          <w:u w:val="single"/>
        </w:rPr>
        <w:t xml:space="preserve">Article 7 – Entrée en vigueur </w:t>
      </w:r>
    </w:p>
    <w:p w14:paraId="46EBA8FC" w14:textId="10FD0CF1" w:rsidP="76F9B54A" w:rsidR="00A11EDA" w:rsidRDefault="7A49E32E">
      <w:pPr>
        <w:widowControl w:val="0"/>
        <w:spacing w:line="242" w:lineRule="auto"/>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Il entrera en vigueur au 1</w:t>
      </w:r>
      <w:r w:rsidRPr="76F9B54A">
        <w:rPr>
          <w:rFonts w:ascii="Calibri" w:cs="Calibri" w:eastAsia="Calibri" w:hAnsi="Calibri"/>
          <w:color w:themeColor="text1" w:val="000000"/>
          <w:sz w:val="22"/>
          <w:szCs w:val="22"/>
          <w:vertAlign w:val="superscript"/>
        </w:rPr>
        <w:t>er</w:t>
      </w:r>
      <w:r w:rsidRPr="76F9B54A">
        <w:rPr>
          <w:rFonts w:ascii="Calibri" w:cs="Calibri" w:eastAsia="Calibri" w:hAnsi="Calibri"/>
          <w:color w:themeColor="text1" w:val="000000"/>
          <w:sz w:val="22"/>
          <w:szCs w:val="22"/>
        </w:rPr>
        <w:t xml:space="preserve"> janvier 2025.</w:t>
      </w:r>
    </w:p>
    <w:p w14:paraId="387C017F" w14:textId="11E58829" w:rsidP="76F9B54A" w:rsidR="00A11EDA" w:rsidRDefault="7A49E32E">
      <w:pPr>
        <w:widowControl w:val="0"/>
        <w:spacing w:line="242" w:lineRule="auto"/>
        <w:ind w:left="2832"/>
        <w:rPr>
          <w:rFonts w:ascii="Calibri" w:cs="Calibri" w:eastAsia="Calibri" w:hAnsi="Calibri"/>
          <w:color w:themeColor="text1" w:val="000000"/>
          <w:sz w:val="22"/>
          <w:szCs w:val="22"/>
        </w:rPr>
      </w:pPr>
      <w:r w:rsidRPr="76F9B54A">
        <w:rPr>
          <w:rFonts w:ascii="Calibri" w:cs="Calibri" w:eastAsia="Calibri" w:hAnsi="Calibri"/>
          <w:b/>
          <w:bCs/>
          <w:color w:themeColor="text1" w:val="000000"/>
          <w:sz w:val="22"/>
          <w:szCs w:val="22"/>
        </w:rPr>
        <w:t xml:space="preserve">        </w:t>
      </w:r>
      <w:r w:rsidRPr="76F9B54A">
        <w:rPr>
          <w:rFonts w:ascii="Calibri" w:cs="Calibri" w:eastAsia="Calibri" w:hAnsi="Calibri"/>
          <w:b/>
          <w:bCs/>
          <w:color w:themeColor="text1" w:val="000000"/>
          <w:sz w:val="22"/>
          <w:szCs w:val="22"/>
          <w:u w:val="single"/>
        </w:rPr>
        <w:t>Article 8 - Validité de l’accord</w:t>
      </w:r>
    </w:p>
    <w:p w14:paraId="0F7C1B93" w14:textId="5359887A"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 xml:space="preserve">La validité du présent accord est </w:t>
      </w:r>
      <w:proofErr w:type="gramStart"/>
      <w:r w:rsidRPr="76F9B54A">
        <w:rPr>
          <w:rFonts w:ascii="Calibri" w:cs="Calibri" w:eastAsia="Calibri" w:hAnsi="Calibri"/>
          <w:color w:themeColor="text1" w:val="000000"/>
          <w:sz w:val="22"/>
          <w:szCs w:val="22"/>
        </w:rPr>
        <w:t>subordonnée</w:t>
      </w:r>
      <w:proofErr w:type="gramEnd"/>
      <w:r w:rsidRPr="76F9B54A">
        <w:rPr>
          <w:rFonts w:ascii="Calibri" w:cs="Calibri" w:eastAsia="Calibri" w:hAnsi="Calibri"/>
          <w:color w:themeColor="text1" w:val="000000"/>
          <w:sz w:val="22"/>
          <w:szCs w:val="22"/>
        </w:rPr>
        <w:t xml:space="preserve"> à sa ratification par au moins les 2/3 des salariés de l’entreprise.</w:t>
      </w:r>
    </w:p>
    <w:p w14:paraId="2BF61EB9" w14:textId="329A20B9"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 xml:space="preserve">Un </w:t>
      </w:r>
      <w:proofErr w:type="spellStart"/>
      <w:r w:rsidRPr="76F9B54A">
        <w:rPr>
          <w:rFonts w:ascii="Calibri" w:cs="Calibri" w:eastAsia="Calibri" w:hAnsi="Calibri"/>
          <w:color w:themeColor="text1" w:val="000000"/>
          <w:sz w:val="22"/>
          <w:szCs w:val="22"/>
        </w:rPr>
        <w:t>référundum</w:t>
      </w:r>
      <w:proofErr w:type="spellEnd"/>
      <w:r w:rsidRPr="76F9B54A">
        <w:rPr>
          <w:rFonts w:ascii="Calibri" w:cs="Calibri" w:eastAsia="Calibri" w:hAnsi="Calibri"/>
          <w:color w:themeColor="text1" w:val="000000"/>
          <w:sz w:val="22"/>
          <w:szCs w:val="22"/>
        </w:rPr>
        <w:t xml:space="preserve"> est organisé par l’employeur sur les lieux de travail et pendant les heures de travail</w:t>
      </w:r>
      <w:r w:rsidRPr="76F9B54A">
        <w:rPr>
          <w:rFonts w:ascii="Calibri" w:cs="Calibri" w:eastAsia="Calibri" w:hAnsi="Calibri"/>
          <w:color w:val="FF0000"/>
          <w:sz w:val="22"/>
          <w:szCs w:val="22"/>
        </w:rPr>
        <w:t xml:space="preserve"> </w:t>
      </w:r>
      <w:r w:rsidRPr="76F9B54A">
        <w:rPr>
          <w:rFonts w:ascii="Calibri" w:cs="Calibri" w:eastAsia="Calibri" w:hAnsi="Calibri"/>
          <w:color w:themeColor="text1" w:val="000000"/>
          <w:sz w:val="22"/>
          <w:szCs w:val="22"/>
        </w:rPr>
        <w:t xml:space="preserve">le 6 novembre </w:t>
      </w:r>
      <w:proofErr w:type="gramStart"/>
      <w:r w:rsidRPr="76F9B54A">
        <w:rPr>
          <w:rFonts w:ascii="Calibri" w:cs="Calibri" w:eastAsia="Calibri" w:hAnsi="Calibri"/>
          <w:color w:themeColor="text1" w:val="000000"/>
          <w:sz w:val="22"/>
          <w:szCs w:val="22"/>
        </w:rPr>
        <w:t>2024,  soit</w:t>
      </w:r>
      <w:proofErr w:type="gramEnd"/>
      <w:r w:rsidRPr="76F9B54A">
        <w:rPr>
          <w:rFonts w:ascii="Calibri" w:cs="Calibri" w:eastAsia="Calibri" w:hAnsi="Calibri"/>
          <w:color w:themeColor="text1" w:val="000000"/>
          <w:sz w:val="22"/>
          <w:szCs w:val="22"/>
        </w:rPr>
        <w:t xml:space="preserve"> quinze jours après la remise de l’accord définitif à chaque salarié inscrit dans l’effectif,  pour permettre à chaque salarié de s’exprimer de façon confidentielle par le dépôt dans une urne opaque de son vote.</w:t>
      </w:r>
    </w:p>
    <w:p w14:paraId="39A20267" w14:textId="0F167BDB"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Un dépouillement des bulletins de vote est organisé en présence de tous les salariés ayant participé à cette opération.</w:t>
      </w:r>
    </w:p>
    <w:p w14:paraId="1083B7D9" w14:textId="04D4D215"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Un procès- verbal est établi, signé et annexé au présent d’accord.</w:t>
      </w:r>
    </w:p>
    <w:p w14:paraId="2B1B8EFF" w14:textId="7EDD9F87" w:rsidP="76F9B54A" w:rsidR="00A11EDA" w:rsidRDefault="7A49E32E">
      <w:pPr>
        <w:widowControl w:val="0"/>
        <w:spacing w:line="242" w:lineRule="auto"/>
        <w:ind w:firstLine="708" w:left="2832"/>
        <w:rPr>
          <w:rFonts w:ascii="Calibri" w:cs="Calibri" w:eastAsia="Calibri" w:hAnsi="Calibri"/>
          <w:color w:themeColor="text1" w:val="000000"/>
          <w:sz w:val="22"/>
          <w:szCs w:val="22"/>
        </w:rPr>
      </w:pPr>
      <w:r w:rsidRPr="76F9B54A">
        <w:rPr>
          <w:rFonts w:ascii="Calibri" w:cs="Calibri" w:eastAsia="Calibri" w:hAnsi="Calibri"/>
          <w:b/>
          <w:bCs/>
          <w:color w:themeColor="text1" w:val="000000"/>
          <w:sz w:val="22"/>
          <w:szCs w:val="22"/>
          <w:u w:val="single"/>
        </w:rPr>
        <w:t>Article 9 - Interprétation</w:t>
      </w:r>
    </w:p>
    <w:p w14:paraId="1A77429C" w14:textId="03427949"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 présent accord fait loi entre les parties qui l’ont signé.</w:t>
      </w:r>
    </w:p>
    <w:p w14:paraId="7CB4A805" w14:textId="169601BB"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Toutefois, s’il s’avérait que l’une des clauses du présent accord pose une difficulté d’interprétation, les parties conviennent de soumettre ladite clause à interprétation.</w:t>
      </w:r>
    </w:p>
    <w:p w14:paraId="4568A45C" w14:textId="64F46927"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A cet effet, sous réserve que la difficulté porte sur un litige d’ordre collectif, l’employeur convoque dans un délai maximum d’un mois, une commission constituée par un expert choisi d’un commun accord, un salarié et l’employeur.</w:t>
      </w:r>
    </w:p>
    <w:p w14:paraId="10F16036" w14:textId="6371D415"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L’interprétation sera donnée sous forme d’une note explicative adoptée par les parties signataires du présent accord.</w:t>
      </w:r>
    </w:p>
    <w:p w14:paraId="38FDDF9F" w14:textId="77777777" w:rsidP="76F9B54A" w:rsidR="00A96284" w:rsidRDefault="00A96284">
      <w:pPr>
        <w:widowControl w:val="0"/>
        <w:spacing w:line="242" w:lineRule="auto"/>
        <w:jc w:val="both"/>
        <w:rPr>
          <w:rFonts w:ascii="Calibri" w:cs="Calibri" w:eastAsia="Calibri" w:hAnsi="Calibri"/>
          <w:color w:themeColor="text1" w:val="000000"/>
          <w:sz w:val="22"/>
          <w:szCs w:val="22"/>
        </w:rPr>
      </w:pPr>
    </w:p>
    <w:p w14:paraId="6EC6393B" w14:textId="667B42DE" w:rsidP="76F9B54A" w:rsidR="00A11EDA" w:rsidRDefault="00A11EDA">
      <w:pPr>
        <w:widowControl w:val="0"/>
        <w:spacing w:line="242" w:lineRule="auto"/>
        <w:jc w:val="both"/>
        <w:rPr>
          <w:rFonts w:ascii="Calibri" w:cs="Calibri" w:eastAsia="Calibri" w:hAnsi="Calibri"/>
          <w:color w:themeColor="text1" w:val="000000"/>
          <w:sz w:val="22"/>
          <w:szCs w:val="22"/>
        </w:rPr>
      </w:pPr>
    </w:p>
    <w:p w14:paraId="70B88D48" w14:textId="3DEA69BC" w:rsidP="76F9B54A" w:rsidR="00A11EDA" w:rsidRDefault="7A49E32E">
      <w:pPr>
        <w:widowControl w:val="0"/>
        <w:spacing w:line="242" w:lineRule="auto"/>
        <w:ind w:left="2832"/>
        <w:rPr>
          <w:rFonts w:ascii="Calibri" w:cs="Calibri" w:eastAsia="Calibri" w:hAnsi="Calibri"/>
          <w:color w:themeColor="text1" w:val="000000"/>
          <w:sz w:val="22"/>
          <w:szCs w:val="22"/>
        </w:rPr>
      </w:pPr>
      <w:r w:rsidRPr="76F9B54A">
        <w:rPr>
          <w:rFonts w:ascii="Calibri" w:cs="Calibri" w:eastAsia="Calibri" w:hAnsi="Calibri"/>
          <w:b/>
          <w:bCs/>
          <w:color w:themeColor="text1" w:val="000000"/>
          <w:sz w:val="22"/>
          <w:szCs w:val="22"/>
        </w:rPr>
        <w:lastRenderedPageBreak/>
        <w:t xml:space="preserve">         </w:t>
      </w:r>
      <w:r w:rsidRPr="76F9B54A">
        <w:rPr>
          <w:rFonts w:ascii="Calibri" w:cs="Calibri" w:eastAsia="Calibri" w:hAnsi="Calibri"/>
          <w:b/>
          <w:bCs/>
          <w:color w:themeColor="text1" w:val="000000"/>
          <w:sz w:val="22"/>
          <w:szCs w:val="22"/>
          <w:u w:val="single"/>
        </w:rPr>
        <w:t>Article 10 - Durée de l’accord</w:t>
      </w:r>
    </w:p>
    <w:p w14:paraId="189B3AEA" w14:textId="7D2D1944" w:rsidP="76F9B54A" w:rsidR="00A11EDA" w:rsidRDefault="7A49E32E">
      <w:pPr>
        <w:widowControl w:val="0"/>
        <w:spacing w:line="242" w:lineRule="auto"/>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 présent accord est conclu pour une durée indéterminée.</w:t>
      </w:r>
    </w:p>
    <w:p w14:paraId="5D1F7C17" w14:textId="5D79D8A9" w:rsidP="63E85C50" w:rsidR="00A11EDA" w:rsidRDefault="7A49E32E">
      <w:pPr>
        <w:widowControl w:val="0"/>
        <w:spacing w:line="242" w:lineRule="auto"/>
        <w:ind w:firstLine="708" w:left="2832"/>
        <w:rPr>
          <w:rFonts w:ascii="Calibri" w:cs="Calibri" w:eastAsia="Calibri" w:hAnsi="Calibri"/>
          <w:color w:themeColor="text1" w:val="000000"/>
          <w:sz w:val="22"/>
          <w:szCs w:val="22"/>
        </w:rPr>
      </w:pPr>
      <w:r w:rsidRPr="63E85C50">
        <w:rPr>
          <w:rFonts w:ascii="Calibri" w:cs="Calibri" w:eastAsia="Calibri" w:hAnsi="Calibri"/>
          <w:b/>
          <w:bCs/>
          <w:color w:themeColor="text1" w:val="000000"/>
          <w:sz w:val="22"/>
          <w:szCs w:val="22"/>
          <w:u w:val="single"/>
        </w:rPr>
        <w:t>Article 11 – Dénonciation</w:t>
      </w:r>
    </w:p>
    <w:p w14:paraId="61AC7C9D" w14:textId="558AE758" w:rsidP="76F9B54A" w:rsidR="00A11EDA" w:rsidRDefault="7A49E32E">
      <w:pPr>
        <w:widowControl w:val="0"/>
        <w:spacing w:line="242" w:lineRule="auto"/>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L’accord peut être dénoncé, soit par l’employeur, soit par la majorité des 2/3 du personnel.</w:t>
      </w:r>
    </w:p>
    <w:p w14:paraId="6E46E73F" w14:textId="69BB25A6"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Cette dénonciation doit se faire par lettre recommandée avec accusé de réception à la partie cosignataire, elle ne peut se faire qu’à chaque date anniversaire de l’accord (savoir la date de dépôt auprès de la DREETS), et en respectant un délai de préavis d’un mois.</w:t>
      </w:r>
    </w:p>
    <w:p w14:paraId="4C6159B6" w14:textId="57F6D004" w:rsidP="76F9B54A" w:rsidR="00A11EDA" w:rsidRDefault="7A49E32E">
      <w:pPr>
        <w:widowControl w:val="0"/>
        <w:spacing w:line="242" w:lineRule="auto"/>
        <w:ind w:firstLine="708" w:left="2124"/>
        <w:rPr>
          <w:rFonts w:ascii="Calibri" w:cs="Calibri" w:eastAsia="Calibri" w:hAnsi="Calibri"/>
          <w:color w:themeColor="text1" w:val="000000"/>
          <w:sz w:val="22"/>
          <w:szCs w:val="22"/>
        </w:rPr>
      </w:pPr>
      <w:r w:rsidRPr="76F9B54A">
        <w:rPr>
          <w:rFonts w:ascii="Calibri" w:cs="Calibri" w:eastAsia="Calibri" w:hAnsi="Calibri"/>
          <w:b/>
          <w:bCs/>
          <w:color w:themeColor="text1" w:val="000000"/>
          <w:sz w:val="22"/>
          <w:szCs w:val="22"/>
        </w:rPr>
        <w:t xml:space="preserve">      </w:t>
      </w:r>
      <w:r w:rsidRPr="76F9B54A">
        <w:rPr>
          <w:rFonts w:ascii="Calibri" w:cs="Calibri" w:eastAsia="Calibri" w:hAnsi="Calibri"/>
          <w:b/>
          <w:bCs/>
          <w:color w:themeColor="text1" w:val="000000"/>
          <w:sz w:val="22"/>
          <w:szCs w:val="22"/>
          <w:u w:val="single"/>
        </w:rPr>
        <w:t>Article 12 - Litiges et contestations</w:t>
      </w:r>
    </w:p>
    <w:p w14:paraId="10702116" w14:textId="17DF59B7"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En cas de contestations relatives à la liste des salariés devant être consultés et à la régularité de la procédure de consultation, le tribunal d’instance peut être saisi dans les délais prévus à l’article                     R2324-24 relatif au contentieux des élections.</w:t>
      </w:r>
    </w:p>
    <w:p w14:paraId="43A388BE" w14:textId="70CB1445" w:rsidP="76F9B54A" w:rsidR="00A11EDA" w:rsidRDefault="7A49E32E">
      <w:pPr>
        <w:widowControl w:val="0"/>
        <w:spacing w:line="242" w:lineRule="auto"/>
        <w:ind w:left="2832"/>
        <w:rPr>
          <w:rFonts w:ascii="Calibri" w:cs="Calibri" w:eastAsia="Calibri" w:hAnsi="Calibri"/>
          <w:color w:themeColor="text1" w:val="000000"/>
          <w:sz w:val="22"/>
          <w:szCs w:val="22"/>
        </w:rPr>
      </w:pPr>
      <w:r w:rsidRPr="76F9B54A">
        <w:rPr>
          <w:rFonts w:ascii="Calibri" w:cs="Calibri" w:eastAsia="Calibri" w:hAnsi="Calibri"/>
          <w:b/>
          <w:bCs/>
          <w:color w:themeColor="text1" w:val="000000"/>
          <w:sz w:val="22"/>
          <w:szCs w:val="22"/>
        </w:rPr>
        <w:t xml:space="preserve">        </w:t>
      </w:r>
      <w:r w:rsidRPr="76F9B54A">
        <w:rPr>
          <w:rFonts w:ascii="Calibri" w:cs="Calibri" w:eastAsia="Calibri" w:hAnsi="Calibri"/>
          <w:b/>
          <w:bCs/>
          <w:color w:themeColor="text1" w:val="000000"/>
          <w:sz w:val="22"/>
          <w:szCs w:val="22"/>
          <w:u w:val="single"/>
        </w:rPr>
        <w:t>Article 13- Dépôt et publicité</w:t>
      </w:r>
    </w:p>
    <w:p w14:paraId="65D4625B" w14:textId="7543DF25"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 présent accord est déposé par l’entreprise via la plateforme de télé procédure du Ministère du Travail conformément aux dispositions légales.</w:t>
      </w:r>
    </w:p>
    <w:p w14:paraId="5996AD91" w14:textId="54046281"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Le dépôt est accompagné d’une copie du procès- verbal du référendum de ratification du présent accord.</w:t>
      </w:r>
    </w:p>
    <w:p w14:paraId="59A5680C" w14:textId="7A4DFAB3"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Un exemplaire signé par les deux parties est adressé au greffe du conseil des prud’hommes de Belley.</w:t>
      </w:r>
    </w:p>
    <w:p w14:paraId="6BA4DAA1" w14:textId="72568175" w:rsidP="76F9B54A" w:rsidR="00A11EDA" w:rsidRDefault="7A49E32E">
      <w:pPr>
        <w:widowControl w:val="0"/>
        <w:spacing w:line="242" w:lineRule="auto"/>
        <w:jc w:val="both"/>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Chaque salarié reçoit en main propre contre décharge une copie du présent accord signé par les deux parties.</w:t>
      </w:r>
    </w:p>
    <w:p w14:paraId="0E76C5F6" w14:textId="46496DB4" w:rsidP="76F9B54A" w:rsidR="00A11EDA" w:rsidRDefault="00A11EDA">
      <w:pPr>
        <w:widowControl w:val="0"/>
        <w:spacing w:line="242" w:lineRule="auto"/>
        <w:rPr>
          <w:rFonts w:ascii="Calibri" w:cs="Calibri" w:eastAsia="Calibri" w:hAnsi="Calibri"/>
          <w:color w:themeColor="text1" w:val="000000"/>
          <w:sz w:val="22"/>
          <w:szCs w:val="22"/>
        </w:rPr>
      </w:pPr>
    </w:p>
    <w:p w14:paraId="2B6D40C9" w14:textId="587FB50F" w:rsidP="76F9B54A" w:rsidR="00A11EDA" w:rsidRDefault="7A49E32E">
      <w:pPr>
        <w:rPr>
          <w:rFonts w:ascii="Calibri" w:cs="Calibri" w:eastAsia="Calibri" w:hAnsi="Calibri"/>
          <w:color w:themeColor="text1" w:val="000000"/>
          <w:sz w:val="22"/>
          <w:szCs w:val="22"/>
        </w:rPr>
      </w:pPr>
      <w:r w:rsidRPr="76F9B54A">
        <w:rPr>
          <w:rFonts w:ascii="Calibri" w:cs="Calibri" w:eastAsia="Calibri" w:hAnsi="Calibri"/>
          <w:color w:themeColor="text1" w:val="000000"/>
          <w:sz w:val="22"/>
          <w:szCs w:val="22"/>
        </w:rPr>
        <w:t>Signature des parties</w:t>
      </w:r>
    </w:p>
    <w:p w14:paraId="3BFEFB25" w14:textId="5A5EB1FE" w:rsidR="00A11EDA" w:rsidRDefault="00A11EDA"/>
    <w:sectPr w:rsidR="00A11EDA">
      <w:pgSz w:h="16838" w:w="11906"/>
      <w:pgMar w:bottom="1440" w:footer="720" w:gutter="0" w:header="720" w:left="1440" w:right="144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3FF3893"/>
    <w:multiLevelType w:val="hybridMultilevel"/>
    <w:tmpl w:val="0E183398"/>
    <w:lvl w:ilvl="0" w:tplc="A378B1AC">
      <w:start w:val="1"/>
      <w:numFmt w:val="bullet"/>
      <w:lvlText w:val=""/>
      <w:lvlJc w:val="left"/>
      <w:pPr>
        <w:ind w:hanging="360" w:left="1434"/>
      </w:pPr>
      <w:rPr>
        <w:rFonts w:ascii="Symbol" w:hAnsi="Symbol" w:hint="default"/>
      </w:rPr>
    </w:lvl>
    <w:lvl w:ilvl="1" w:tplc="AD88B11E">
      <w:start w:val="1"/>
      <w:numFmt w:val="bullet"/>
      <w:lvlText w:val="o"/>
      <w:lvlJc w:val="left"/>
      <w:pPr>
        <w:ind w:hanging="360" w:left="1440"/>
      </w:pPr>
      <w:rPr>
        <w:rFonts w:ascii="Courier New" w:hAnsi="Courier New" w:hint="default"/>
      </w:rPr>
    </w:lvl>
    <w:lvl w:ilvl="2" w:tplc="5868E576">
      <w:start w:val="1"/>
      <w:numFmt w:val="bullet"/>
      <w:lvlText w:val=""/>
      <w:lvlJc w:val="left"/>
      <w:pPr>
        <w:ind w:hanging="360" w:left="2160"/>
      </w:pPr>
      <w:rPr>
        <w:rFonts w:ascii="Wingdings" w:hAnsi="Wingdings" w:hint="default"/>
      </w:rPr>
    </w:lvl>
    <w:lvl w:ilvl="3" w:tplc="9A3EB0B6">
      <w:start w:val="1"/>
      <w:numFmt w:val="bullet"/>
      <w:lvlText w:val=""/>
      <w:lvlJc w:val="left"/>
      <w:pPr>
        <w:ind w:hanging="360" w:left="2880"/>
      </w:pPr>
      <w:rPr>
        <w:rFonts w:ascii="Symbol" w:hAnsi="Symbol" w:hint="default"/>
      </w:rPr>
    </w:lvl>
    <w:lvl w:ilvl="4" w:tplc="E070D2E6">
      <w:start w:val="1"/>
      <w:numFmt w:val="bullet"/>
      <w:lvlText w:val="o"/>
      <w:lvlJc w:val="left"/>
      <w:pPr>
        <w:ind w:hanging="360" w:left="3600"/>
      </w:pPr>
      <w:rPr>
        <w:rFonts w:ascii="Courier New" w:hAnsi="Courier New" w:hint="default"/>
      </w:rPr>
    </w:lvl>
    <w:lvl w:ilvl="5" w:tplc="7B92F840">
      <w:start w:val="1"/>
      <w:numFmt w:val="bullet"/>
      <w:lvlText w:val=""/>
      <w:lvlJc w:val="left"/>
      <w:pPr>
        <w:ind w:hanging="360" w:left="4320"/>
      </w:pPr>
      <w:rPr>
        <w:rFonts w:ascii="Wingdings" w:hAnsi="Wingdings" w:hint="default"/>
      </w:rPr>
    </w:lvl>
    <w:lvl w:ilvl="6" w:tplc="4970B9AA">
      <w:start w:val="1"/>
      <w:numFmt w:val="bullet"/>
      <w:lvlText w:val=""/>
      <w:lvlJc w:val="left"/>
      <w:pPr>
        <w:ind w:hanging="360" w:left="5040"/>
      </w:pPr>
      <w:rPr>
        <w:rFonts w:ascii="Symbol" w:hAnsi="Symbol" w:hint="default"/>
      </w:rPr>
    </w:lvl>
    <w:lvl w:ilvl="7" w:tplc="655E376C">
      <w:start w:val="1"/>
      <w:numFmt w:val="bullet"/>
      <w:lvlText w:val="o"/>
      <w:lvlJc w:val="left"/>
      <w:pPr>
        <w:ind w:hanging="360" w:left="5760"/>
      </w:pPr>
      <w:rPr>
        <w:rFonts w:ascii="Courier New" w:hAnsi="Courier New" w:hint="default"/>
      </w:rPr>
    </w:lvl>
    <w:lvl w:ilvl="8" w:tplc="892AA120">
      <w:start w:val="1"/>
      <w:numFmt w:val="bullet"/>
      <w:lvlText w:val=""/>
      <w:lvlJc w:val="left"/>
      <w:pPr>
        <w:ind w:hanging="360" w:left="6480"/>
      </w:pPr>
      <w:rPr>
        <w:rFonts w:ascii="Wingdings" w:hAnsi="Wingdings" w:hint="default"/>
      </w:rPr>
    </w:lvl>
  </w:abstractNum>
  <w:abstractNum w15:restartNumberingAfterBreak="0" w:abstractNumId="1">
    <w:nsid w:val="0E1C51C1"/>
    <w:multiLevelType w:val="hybridMultilevel"/>
    <w:tmpl w:val="05108B08"/>
    <w:lvl w:ilvl="0" w:tplc="4EAEF304">
      <w:start w:val="1"/>
      <w:numFmt w:val="bullet"/>
      <w:lvlText w:val=""/>
      <w:lvlJc w:val="left"/>
      <w:pPr>
        <w:ind w:hanging="360" w:left="720"/>
      </w:pPr>
      <w:rPr>
        <w:rFonts w:ascii="Wingdings" w:hAnsi="Wingdings" w:hint="default"/>
      </w:rPr>
    </w:lvl>
    <w:lvl w:ilvl="1" w:tplc="A96873AA">
      <w:start w:val="1"/>
      <w:numFmt w:val="bullet"/>
      <w:lvlText w:val="o"/>
      <w:lvlJc w:val="left"/>
      <w:pPr>
        <w:ind w:hanging="360" w:left="1440"/>
      </w:pPr>
      <w:rPr>
        <w:rFonts w:ascii="Courier New" w:hAnsi="Courier New" w:hint="default"/>
      </w:rPr>
    </w:lvl>
    <w:lvl w:ilvl="2" w:tplc="A31C03BA">
      <w:start w:val="1"/>
      <w:numFmt w:val="bullet"/>
      <w:lvlText w:val=""/>
      <w:lvlJc w:val="left"/>
      <w:pPr>
        <w:ind w:hanging="360" w:left="2160"/>
      </w:pPr>
      <w:rPr>
        <w:rFonts w:ascii="Wingdings" w:hAnsi="Wingdings" w:hint="default"/>
      </w:rPr>
    </w:lvl>
    <w:lvl w:ilvl="3" w:tplc="4E78E7F2">
      <w:start w:val="1"/>
      <w:numFmt w:val="bullet"/>
      <w:lvlText w:val=""/>
      <w:lvlJc w:val="left"/>
      <w:pPr>
        <w:ind w:hanging="360" w:left="2880"/>
      </w:pPr>
      <w:rPr>
        <w:rFonts w:ascii="Symbol" w:hAnsi="Symbol" w:hint="default"/>
      </w:rPr>
    </w:lvl>
    <w:lvl w:ilvl="4" w:tplc="E4E2602E">
      <w:start w:val="1"/>
      <w:numFmt w:val="bullet"/>
      <w:lvlText w:val="o"/>
      <w:lvlJc w:val="left"/>
      <w:pPr>
        <w:ind w:hanging="360" w:left="3600"/>
      </w:pPr>
      <w:rPr>
        <w:rFonts w:ascii="Courier New" w:hAnsi="Courier New" w:hint="default"/>
      </w:rPr>
    </w:lvl>
    <w:lvl w:ilvl="5" w:tplc="381869E8">
      <w:start w:val="1"/>
      <w:numFmt w:val="bullet"/>
      <w:lvlText w:val=""/>
      <w:lvlJc w:val="left"/>
      <w:pPr>
        <w:ind w:hanging="360" w:left="4320"/>
      </w:pPr>
      <w:rPr>
        <w:rFonts w:ascii="Wingdings" w:hAnsi="Wingdings" w:hint="default"/>
      </w:rPr>
    </w:lvl>
    <w:lvl w:ilvl="6" w:tplc="50F8D020">
      <w:start w:val="1"/>
      <w:numFmt w:val="bullet"/>
      <w:lvlText w:val=""/>
      <w:lvlJc w:val="left"/>
      <w:pPr>
        <w:ind w:hanging="360" w:left="5040"/>
      </w:pPr>
      <w:rPr>
        <w:rFonts w:ascii="Symbol" w:hAnsi="Symbol" w:hint="default"/>
      </w:rPr>
    </w:lvl>
    <w:lvl w:ilvl="7" w:tplc="099A927A">
      <w:start w:val="1"/>
      <w:numFmt w:val="bullet"/>
      <w:lvlText w:val="o"/>
      <w:lvlJc w:val="left"/>
      <w:pPr>
        <w:ind w:hanging="360" w:left="5760"/>
      </w:pPr>
      <w:rPr>
        <w:rFonts w:ascii="Courier New" w:hAnsi="Courier New" w:hint="default"/>
      </w:rPr>
    </w:lvl>
    <w:lvl w:ilvl="8" w:tplc="B77CA384">
      <w:start w:val="1"/>
      <w:numFmt w:val="bullet"/>
      <w:lvlText w:val=""/>
      <w:lvlJc w:val="left"/>
      <w:pPr>
        <w:ind w:hanging="360" w:left="6480"/>
      </w:pPr>
      <w:rPr>
        <w:rFonts w:ascii="Wingdings" w:hAnsi="Wingdings" w:hint="default"/>
      </w:rPr>
    </w:lvl>
  </w:abstractNum>
  <w:abstractNum w15:restartNumberingAfterBreak="0" w:abstractNumId="2">
    <w:nsid w:val="305439F9"/>
    <w:multiLevelType w:val="hybridMultilevel"/>
    <w:tmpl w:val="56EAD354"/>
    <w:lvl w:ilvl="0" w:tplc="DB7832BC">
      <w:numFmt w:val="bullet"/>
      <w:lvlText w:val="-"/>
      <w:lvlJc w:val="left"/>
      <w:pPr>
        <w:ind w:hanging="360" w:left="720"/>
      </w:pPr>
      <w:rPr>
        <w:rFonts w:ascii="Calibri" w:hAnsi="Calibri" w:hint="default"/>
      </w:rPr>
    </w:lvl>
    <w:lvl w:ilvl="1" w:tplc="AA726A40">
      <w:start w:val="1"/>
      <w:numFmt w:val="bullet"/>
      <w:lvlText w:val="o"/>
      <w:lvlJc w:val="left"/>
      <w:pPr>
        <w:ind w:hanging="360" w:left="1440"/>
      </w:pPr>
      <w:rPr>
        <w:rFonts w:ascii="Courier New" w:hAnsi="Courier New" w:hint="default"/>
      </w:rPr>
    </w:lvl>
    <w:lvl w:ilvl="2" w:tplc="90766B56">
      <w:start w:val="1"/>
      <w:numFmt w:val="bullet"/>
      <w:lvlText w:val=""/>
      <w:lvlJc w:val="left"/>
      <w:pPr>
        <w:ind w:hanging="360" w:left="2160"/>
      </w:pPr>
      <w:rPr>
        <w:rFonts w:ascii="Wingdings" w:hAnsi="Wingdings" w:hint="default"/>
      </w:rPr>
    </w:lvl>
    <w:lvl w:ilvl="3" w:tplc="5400180C">
      <w:start w:val="1"/>
      <w:numFmt w:val="bullet"/>
      <w:lvlText w:val=""/>
      <w:lvlJc w:val="left"/>
      <w:pPr>
        <w:ind w:hanging="360" w:left="2880"/>
      </w:pPr>
      <w:rPr>
        <w:rFonts w:ascii="Symbol" w:hAnsi="Symbol" w:hint="default"/>
      </w:rPr>
    </w:lvl>
    <w:lvl w:ilvl="4" w:tplc="C3DAFFDC">
      <w:start w:val="1"/>
      <w:numFmt w:val="bullet"/>
      <w:lvlText w:val="o"/>
      <w:lvlJc w:val="left"/>
      <w:pPr>
        <w:ind w:hanging="360" w:left="3600"/>
      </w:pPr>
      <w:rPr>
        <w:rFonts w:ascii="Courier New" w:hAnsi="Courier New" w:hint="default"/>
      </w:rPr>
    </w:lvl>
    <w:lvl w:ilvl="5" w:tplc="25EA01D6">
      <w:start w:val="1"/>
      <w:numFmt w:val="bullet"/>
      <w:lvlText w:val=""/>
      <w:lvlJc w:val="left"/>
      <w:pPr>
        <w:ind w:hanging="360" w:left="4320"/>
      </w:pPr>
      <w:rPr>
        <w:rFonts w:ascii="Wingdings" w:hAnsi="Wingdings" w:hint="default"/>
      </w:rPr>
    </w:lvl>
    <w:lvl w:ilvl="6" w:tplc="E168D818">
      <w:start w:val="1"/>
      <w:numFmt w:val="bullet"/>
      <w:lvlText w:val=""/>
      <w:lvlJc w:val="left"/>
      <w:pPr>
        <w:ind w:hanging="360" w:left="5040"/>
      </w:pPr>
      <w:rPr>
        <w:rFonts w:ascii="Symbol" w:hAnsi="Symbol" w:hint="default"/>
      </w:rPr>
    </w:lvl>
    <w:lvl w:ilvl="7" w:tplc="BCFA3CB6">
      <w:start w:val="1"/>
      <w:numFmt w:val="bullet"/>
      <w:lvlText w:val="o"/>
      <w:lvlJc w:val="left"/>
      <w:pPr>
        <w:ind w:hanging="360" w:left="5760"/>
      </w:pPr>
      <w:rPr>
        <w:rFonts w:ascii="Courier New" w:hAnsi="Courier New" w:hint="default"/>
      </w:rPr>
    </w:lvl>
    <w:lvl w:ilvl="8" w:tplc="9F4A4522">
      <w:start w:val="1"/>
      <w:numFmt w:val="bullet"/>
      <w:lvlText w:val=""/>
      <w:lvlJc w:val="left"/>
      <w:pPr>
        <w:ind w:hanging="360" w:left="6480"/>
      </w:pPr>
      <w:rPr>
        <w:rFonts w:ascii="Wingdings" w:hAnsi="Wingdings" w:hint="default"/>
      </w:rPr>
    </w:lvl>
  </w:abstractNum>
  <w:abstractNum w15:restartNumberingAfterBreak="0" w:abstractNumId="3">
    <w:nsid w:val="3502B4C1"/>
    <w:multiLevelType w:val="hybridMultilevel"/>
    <w:tmpl w:val="E814F7E4"/>
    <w:lvl w:ilvl="0" w:tplc="6FBE40DE">
      <w:numFmt w:val="bullet"/>
      <w:lvlText w:val="-"/>
      <w:lvlJc w:val="left"/>
      <w:pPr>
        <w:ind w:hanging="360" w:left="720"/>
      </w:pPr>
      <w:rPr>
        <w:rFonts w:ascii="Calibri" w:hAnsi="Calibri" w:hint="default"/>
      </w:rPr>
    </w:lvl>
    <w:lvl w:ilvl="1" w:tplc="F248554A">
      <w:start w:val="1"/>
      <w:numFmt w:val="bullet"/>
      <w:lvlText w:val="o"/>
      <w:lvlJc w:val="left"/>
      <w:pPr>
        <w:ind w:hanging="360" w:left="1440"/>
      </w:pPr>
      <w:rPr>
        <w:rFonts w:ascii="Courier New" w:hAnsi="Courier New" w:hint="default"/>
      </w:rPr>
    </w:lvl>
    <w:lvl w:ilvl="2" w:tplc="77464146">
      <w:start w:val="1"/>
      <w:numFmt w:val="bullet"/>
      <w:lvlText w:val=""/>
      <w:lvlJc w:val="left"/>
      <w:pPr>
        <w:ind w:hanging="360" w:left="2160"/>
      </w:pPr>
      <w:rPr>
        <w:rFonts w:ascii="Wingdings" w:hAnsi="Wingdings" w:hint="default"/>
      </w:rPr>
    </w:lvl>
    <w:lvl w:ilvl="3" w:tplc="98989CE8">
      <w:start w:val="1"/>
      <w:numFmt w:val="bullet"/>
      <w:lvlText w:val=""/>
      <w:lvlJc w:val="left"/>
      <w:pPr>
        <w:ind w:hanging="360" w:left="2880"/>
      </w:pPr>
      <w:rPr>
        <w:rFonts w:ascii="Symbol" w:hAnsi="Symbol" w:hint="default"/>
      </w:rPr>
    </w:lvl>
    <w:lvl w:ilvl="4" w:tplc="029452F2">
      <w:start w:val="1"/>
      <w:numFmt w:val="bullet"/>
      <w:lvlText w:val="o"/>
      <w:lvlJc w:val="left"/>
      <w:pPr>
        <w:ind w:hanging="360" w:left="3600"/>
      </w:pPr>
      <w:rPr>
        <w:rFonts w:ascii="Courier New" w:hAnsi="Courier New" w:hint="default"/>
      </w:rPr>
    </w:lvl>
    <w:lvl w:ilvl="5" w:tplc="9FECA42C">
      <w:start w:val="1"/>
      <w:numFmt w:val="bullet"/>
      <w:lvlText w:val=""/>
      <w:lvlJc w:val="left"/>
      <w:pPr>
        <w:ind w:hanging="360" w:left="4320"/>
      </w:pPr>
      <w:rPr>
        <w:rFonts w:ascii="Wingdings" w:hAnsi="Wingdings" w:hint="default"/>
      </w:rPr>
    </w:lvl>
    <w:lvl w:ilvl="6" w:tplc="C6821EF2">
      <w:start w:val="1"/>
      <w:numFmt w:val="bullet"/>
      <w:lvlText w:val=""/>
      <w:lvlJc w:val="left"/>
      <w:pPr>
        <w:ind w:hanging="360" w:left="5040"/>
      </w:pPr>
      <w:rPr>
        <w:rFonts w:ascii="Symbol" w:hAnsi="Symbol" w:hint="default"/>
      </w:rPr>
    </w:lvl>
    <w:lvl w:ilvl="7" w:tplc="6D4EB3A0">
      <w:start w:val="1"/>
      <w:numFmt w:val="bullet"/>
      <w:lvlText w:val="o"/>
      <w:lvlJc w:val="left"/>
      <w:pPr>
        <w:ind w:hanging="360" w:left="5760"/>
      </w:pPr>
      <w:rPr>
        <w:rFonts w:ascii="Courier New" w:hAnsi="Courier New" w:hint="default"/>
      </w:rPr>
    </w:lvl>
    <w:lvl w:ilvl="8" w:tplc="B57AA8D4">
      <w:start w:val="1"/>
      <w:numFmt w:val="bullet"/>
      <w:lvlText w:val=""/>
      <w:lvlJc w:val="left"/>
      <w:pPr>
        <w:ind w:hanging="360" w:left="6480"/>
      </w:pPr>
      <w:rPr>
        <w:rFonts w:ascii="Wingdings" w:hAnsi="Wingdings" w:hint="default"/>
      </w:rPr>
    </w:lvl>
  </w:abstractNum>
  <w:abstractNum w15:restartNumberingAfterBreak="0" w:abstractNumId="4">
    <w:nsid w:val="3DDAFE6E"/>
    <w:multiLevelType w:val="hybridMultilevel"/>
    <w:tmpl w:val="C98A3B10"/>
    <w:lvl w:ilvl="0" w:tplc="53C061B2">
      <w:numFmt w:val="bullet"/>
      <w:lvlText w:val="-"/>
      <w:lvlJc w:val="left"/>
      <w:pPr>
        <w:ind w:hanging="360" w:left="720"/>
      </w:pPr>
      <w:rPr>
        <w:rFonts w:ascii="Calibri" w:hAnsi="Calibri" w:hint="default"/>
      </w:rPr>
    </w:lvl>
    <w:lvl w:ilvl="1" w:tplc="4F501706">
      <w:start w:val="1"/>
      <w:numFmt w:val="bullet"/>
      <w:lvlText w:val="o"/>
      <w:lvlJc w:val="left"/>
      <w:pPr>
        <w:ind w:hanging="360" w:left="1440"/>
      </w:pPr>
      <w:rPr>
        <w:rFonts w:ascii="Courier New" w:hAnsi="Courier New" w:hint="default"/>
      </w:rPr>
    </w:lvl>
    <w:lvl w:ilvl="2" w:tplc="AF6063B0">
      <w:start w:val="1"/>
      <w:numFmt w:val="bullet"/>
      <w:lvlText w:val=""/>
      <w:lvlJc w:val="left"/>
      <w:pPr>
        <w:ind w:hanging="360" w:left="2160"/>
      </w:pPr>
      <w:rPr>
        <w:rFonts w:ascii="Wingdings" w:hAnsi="Wingdings" w:hint="default"/>
      </w:rPr>
    </w:lvl>
    <w:lvl w:ilvl="3" w:tplc="E084B738">
      <w:start w:val="1"/>
      <w:numFmt w:val="bullet"/>
      <w:lvlText w:val=""/>
      <w:lvlJc w:val="left"/>
      <w:pPr>
        <w:ind w:hanging="360" w:left="2880"/>
      </w:pPr>
      <w:rPr>
        <w:rFonts w:ascii="Symbol" w:hAnsi="Symbol" w:hint="default"/>
      </w:rPr>
    </w:lvl>
    <w:lvl w:ilvl="4" w:tplc="86607042">
      <w:start w:val="1"/>
      <w:numFmt w:val="bullet"/>
      <w:lvlText w:val="o"/>
      <w:lvlJc w:val="left"/>
      <w:pPr>
        <w:ind w:hanging="360" w:left="3600"/>
      </w:pPr>
      <w:rPr>
        <w:rFonts w:ascii="Courier New" w:hAnsi="Courier New" w:hint="default"/>
      </w:rPr>
    </w:lvl>
    <w:lvl w:ilvl="5" w:tplc="23FAA1C6">
      <w:start w:val="1"/>
      <w:numFmt w:val="bullet"/>
      <w:lvlText w:val=""/>
      <w:lvlJc w:val="left"/>
      <w:pPr>
        <w:ind w:hanging="360" w:left="4320"/>
      </w:pPr>
      <w:rPr>
        <w:rFonts w:ascii="Wingdings" w:hAnsi="Wingdings" w:hint="default"/>
      </w:rPr>
    </w:lvl>
    <w:lvl w:ilvl="6" w:tplc="94389E9C">
      <w:start w:val="1"/>
      <w:numFmt w:val="bullet"/>
      <w:lvlText w:val=""/>
      <w:lvlJc w:val="left"/>
      <w:pPr>
        <w:ind w:hanging="360" w:left="5040"/>
      </w:pPr>
      <w:rPr>
        <w:rFonts w:ascii="Symbol" w:hAnsi="Symbol" w:hint="default"/>
      </w:rPr>
    </w:lvl>
    <w:lvl w:ilvl="7" w:tplc="3D787BE8">
      <w:start w:val="1"/>
      <w:numFmt w:val="bullet"/>
      <w:lvlText w:val="o"/>
      <w:lvlJc w:val="left"/>
      <w:pPr>
        <w:ind w:hanging="360" w:left="5760"/>
      </w:pPr>
      <w:rPr>
        <w:rFonts w:ascii="Courier New" w:hAnsi="Courier New" w:hint="default"/>
      </w:rPr>
    </w:lvl>
    <w:lvl w:ilvl="8" w:tplc="EE4ECE12">
      <w:start w:val="1"/>
      <w:numFmt w:val="bullet"/>
      <w:lvlText w:val=""/>
      <w:lvlJc w:val="left"/>
      <w:pPr>
        <w:ind w:hanging="360" w:left="6480"/>
      </w:pPr>
      <w:rPr>
        <w:rFonts w:ascii="Wingdings" w:hAnsi="Wingdings" w:hint="default"/>
      </w:rPr>
    </w:lvl>
  </w:abstractNum>
  <w:abstractNum w15:restartNumberingAfterBreak="0" w:abstractNumId="5">
    <w:nsid w:val="4461843B"/>
    <w:multiLevelType w:val="hybridMultilevel"/>
    <w:tmpl w:val="4DB22876"/>
    <w:lvl w:ilvl="0" w:tplc="81A0412C">
      <w:start w:val="1"/>
      <w:numFmt w:val="bullet"/>
      <w:lvlText w:val=""/>
      <w:lvlJc w:val="left"/>
      <w:pPr>
        <w:ind w:hanging="360" w:left="720"/>
      </w:pPr>
      <w:rPr>
        <w:rFonts w:ascii="Wingdings" w:hAnsi="Wingdings" w:hint="default"/>
      </w:rPr>
    </w:lvl>
    <w:lvl w:ilvl="1" w:tplc="9DECD2A4">
      <w:start w:val="1"/>
      <w:numFmt w:val="bullet"/>
      <w:lvlText w:val="o"/>
      <w:lvlJc w:val="left"/>
      <w:pPr>
        <w:ind w:hanging="360" w:left="1440"/>
      </w:pPr>
      <w:rPr>
        <w:rFonts w:ascii="Courier New" w:hAnsi="Courier New" w:hint="default"/>
      </w:rPr>
    </w:lvl>
    <w:lvl w:ilvl="2" w:tplc="54F6B184">
      <w:start w:val="1"/>
      <w:numFmt w:val="bullet"/>
      <w:lvlText w:val=""/>
      <w:lvlJc w:val="left"/>
      <w:pPr>
        <w:ind w:hanging="360" w:left="2160"/>
      </w:pPr>
      <w:rPr>
        <w:rFonts w:ascii="Wingdings" w:hAnsi="Wingdings" w:hint="default"/>
      </w:rPr>
    </w:lvl>
    <w:lvl w:ilvl="3" w:tplc="8D06CB10">
      <w:start w:val="1"/>
      <w:numFmt w:val="bullet"/>
      <w:lvlText w:val=""/>
      <w:lvlJc w:val="left"/>
      <w:pPr>
        <w:ind w:hanging="360" w:left="2880"/>
      </w:pPr>
      <w:rPr>
        <w:rFonts w:ascii="Symbol" w:hAnsi="Symbol" w:hint="default"/>
      </w:rPr>
    </w:lvl>
    <w:lvl w:ilvl="4" w:tplc="DA2A14C8">
      <w:start w:val="1"/>
      <w:numFmt w:val="bullet"/>
      <w:lvlText w:val="o"/>
      <w:lvlJc w:val="left"/>
      <w:pPr>
        <w:ind w:hanging="360" w:left="3600"/>
      </w:pPr>
      <w:rPr>
        <w:rFonts w:ascii="Courier New" w:hAnsi="Courier New" w:hint="default"/>
      </w:rPr>
    </w:lvl>
    <w:lvl w:ilvl="5" w:tplc="7F00835C">
      <w:start w:val="1"/>
      <w:numFmt w:val="bullet"/>
      <w:lvlText w:val=""/>
      <w:lvlJc w:val="left"/>
      <w:pPr>
        <w:ind w:hanging="360" w:left="4320"/>
      </w:pPr>
      <w:rPr>
        <w:rFonts w:ascii="Wingdings" w:hAnsi="Wingdings" w:hint="default"/>
      </w:rPr>
    </w:lvl>
    <w:lvl w:ilvl="6" w:tplc="BEFE92DC">
      <w:start w:val="1"/>
      <w:numFmt w:val="bullet"/>
      <w:lvlText w:val=""/>
      <w:lvlJc w:val="left"/>
      <w:pPr>
        <w:ind w:hanging="360" w:left="5040"/>
      </w:pPr>
      <w:rPr>
        <w:rFonts w:ascii="Symbol" w:hAnsi="Symbol" w:hint="default"/>
      </w:rPr>
    </w:lvl>
    <w:lvl w:ilvl="7" w:tplc="67B4BFBC">
      <w:start w:val="1"/>
      <w:numFmt w:val="bullet"/>
      <w:lvlText w:val="o"/>
      <w:lvlJc w:val="left"/>
      <w:pPr>
        <w:ind w:hanging="360" w:left="5760"/>
      </w:pPr>
      <w:rPr>
        <w:rFonts w:ascii="Courier New" w:hAnsi="Courier New" w:hint="default"/>
      </w:rPr>
    </w:lvl>
    <w:lvl w:ilvl="8" w:tplc="1414AB18">
      <w:start w:val="1"/>
      <w:numFmt w:val="bullet"/>
      <w:lvlText w:val=""/>
      <w:lvlJc w:val="left"/>
      <w:pPr>
        <w:ind w:hanging="360" w:left="6480"/>
      </w:pPr>
      <w:rPr>
        <w:rFonts w:ascii="Wingdings" w:hAnsi="Wingdings" w:hint="default"/>
      </w:rPr>
    </w:lvl>
  </w:abstractNum>
  <w:abstractNum w15:restartNumberingAfterBreak="0" w:abstractNumId="6">
    <w:nsid w:val="49DF930C"/>
    <w:multiLevelType w:val="hybridMultilevel"/>
    <w:tmpl w:val="CD20F86C"/>
    <w:lvl w:ilvl="0" w:tplc="E97E3130">
      <w:start w:val="1"/>
      <w:numFmt w:val="bullet"/>
      <w:lvlText w:val=""/>
      <w:lvlJc w:val="left"/>
      <w:pPr>
        <w:ind w:hanging="360" w:left="1434"/>
      </w:pPr>
      <w:rPr>
        <w:rFonts w:ascii="Symbol" w:hAnsi="Symbol" w:hint="default"/>
      </w:rPr>
    </w:lvl>
    <w:lvl w:ilvl="1" w:tplc="4CE44594">
      <w:start w:val="1"/>
      <w:numFmt w:val="bullet"/>
      <w:lvlText w:val="o"/>
      <w:lvlJc w:val="left"/>
      <w:pPr>
        <w:ind w:hanging="360" w:left="1440"/>
      </w:pPr>
      <w:rPr>
        <w:rFonts w:ascii="Courier New" w:hAnsi="Courier New" w:hint="default"/>
      </w:rPr>
    </w:lvl>
    <w:lvl w:ilvl="2" w:tplc="C5806080">
      <w:start w:val="1"/>
      <w:numFmt w:val="bullet"/>
      <w:lvlText w:val=""/>
      <w:lvlJc w:val="left"/>
      <w:pPr>
        <w:ind w:hanging="360" w:left="2160"/>
      </w:pPr>
      <w:rPr>
        <w:rFonts w:ascii="Wingdings" w:hAnsi="Wingdings" w:hint="default"/>
      </w:rPr>
    </w:lvl>
    <w:lvl w:ilvl="3" w:tplc="8E46BF68">
      <w:start w:val="1"/>
      <w:numFmt w:val="bullet"/>
      <w:lvlText w:val=""/>
      <w:lvlJc w:val="left"/>
      <w:pPr>
        <w:ind w:hanging="360" w:left="2880"/>
      </w:pPr>
      <w:rPr>
        <w:rFonts w:ascii="Symbol" w:hAnsi="Symbol" w:hint="default"/>
      </w:rPr>
    </w:lvl>
    <w:lvl w:ilvl="4" w:tplc="948E7246">
      <w:start w:val="1"/>
      <w:numFmt w:val="bullet"/>
      <w:lvlText w:val="o"/>
      <w:lvlJc w:val="left"/>
      <w:pPr>
        <w:ind w:hanging="360" w:left="3600"/>
      </w:pPr>
      <w:rPr>
        <w:rFonts w:ascii="Courier New" w:hAnsi="Courier New" w:hint="default"/>
      </w:rPr>
    </w:lvl>
    <w:lvl w:ilvl="5" w:tplc="50B0C296">
      <w:start w:val="1"/>
      <w:numFmt w:val="bullet"/>
      <w:lvlText w:val=""/>
      <w:lvlJc w:val="left"/>
      <w:pPr>
        <w:ind w:hanging="360" w:left="4320"/>
      </w:pPr>
      <w:rPr>
        <w:rFonts w:ascii="Wingdings" w:hAnsi="Wingdings" w:hint="default"/>
      </w:rPr>
    </w:lvl>
    <w:lvl w:ilvl="6" w:tplc="8310A2FA">
      <w:start w:val="1"/>
      <w:numFmt w:val="bullet"/>
      <w:lvlText w:val=""/>
      <w:lvlJc w:val="left"/>
      <w:pPr>
        <w:ind w:hanging="360" w:left="5040"/>
      </w:pPr>
      <w:rPr>
        <w:rFonts w:ascii="Symbol" w:hAnsi="Symbol" w:hint="default"/>
      </w:rPr>
    </w:lvl>
    <w:lvl w:ilvl="7" w:tplc="BA641CE6">
      <w:start w:val="1"/>
      <w:numFmt w:val="bullet"/>
      <w:lvlText w:val="o"/>
      <w:lvlJc w:val="left"/>
      <w:pPr>
        <w:ind w:hanging="360" w:left="5760"/>
      </w:pPr>
      <w:rPr>
        <w:rFonts w:ascii="Courier New" w:hAnsi="Courier New" w:hint="default"/>
      </w:rPr>
    </w:lvl>
    <w:lvl w:ilvl="8" w:tplc="EE06E754">
      <w:start w:val="1"/>
      <w:numFmt w:val="bullet"/>
      <w:lvlText w:val=""/>
      <w:lvlJc w:val="left"/>
      <w:pPr>
        <w:ind w:hanging="360" w:left="6480"/>
      </w:pPr>
      <w:rPr>
        <w:rFonts w:ascii="Wingdings" w:hAnsi="Wingdings" w:hint="default"/>
      </w:rPr>
    </w:lvl>
  </w:abstractNum>
  <w:abstractNum w15:restartNumberingAfterBreak="0" w:abstractNumId="7">
    <w:nsid w:val="58477507"/>
    <w:multiLevelType w:val="hybridMultilevel"/>
    <w:tmpl w:val="551461BE"/>
    <w:lvl w:ilvl="0" w:tplc="0AC44C12">
      <w:start w:val="1"/>
      <w:numFmt w:val="bullet"/>
      <w:lvlText w:val=""/>
      <w:lvlJc w:val="left"/>
      <w:pPr>
        <w:ind w:hanging="360" w:left="720"/>
      </w:pPr>
      <w:rPr>
        <w:rFonts w:ascii="Wingdings" w:hAnsi="Wingdings" w:hint="default"/>
      </w:rPr>
    </w:lvl>
    <w:lvl w:ilvl="1" w:tplc="DE2A9304">
      <w:start w:val="1"/>
      <w:numFmt w:val="bullet"/>
      <w:lvlText w:val="o"/>
      <w:lvlJc w:val="left"/>
      <w:pPr>
        <w:ind w:hanging="360" w:left="1440"/>
      </w:pPr>
      <w:rPr>
        <w:rFonts w:ascii="Courier New" w:hAnsi="Courier New" w:hint="default"/>
      </w:rPr>
    </w:lvl>
    <w:lvl w:ilvl="2" w:tplc="8DAEB712">
      <w:start w:val="1"/>
      <w:numFmt w:val="bullet"/>
      <w:lvlText w:val=""/>
      <w:lvlJc w:val="left"/>
      <w:pPr>
        <w:ind w:hanging="360" w:left="2160"/>
      </w:pPr>
      <w:rPr>
        <w:rFonts w:ascii="Wingdings" w:hAnsi="Wingdings" w:hint="default"/>
      </w:rPr>
    </w:lvl>
    <w:lvl w:ilvl="3" w:tplc="A6DCBBA4">
      <w:start w:val="1"/>
      <w:numFmt w:val="bullet"/>
      <w:lvlText w:val=""/>
      <w:lvlJc w:val="left"/>
      <w:pPr>
        <w:ind w:hanging="360" w:left="2880"/>
      </w:pPr>
      <w:rPr>
        <w:rFonts w:ascii="Symbol" w:hAnsi="Symbol" w:hint="default"/>
      </w:rPr>
    </w:lvl>
    <w:lvl w:ilvl="4" w:tplc="161EF4AA">
      <w:start w:val="1"/>
      <w:numFmt w:val="bullet"/>
      <w:lvlText w:val="o"/>
      <w:lvlJc w:val="left"/>
      <w:pPr>
        <w:ind w:hanging="360" w:left="3600"/>
      </w:pPr>
      <w:rPr>
        <w:rFonts w:ascii="Courier New" w:hAnsi="Courier New" w:hint="default"/>
      </w:rPr>
    </w:lvl>
    <w:lvl w:ilvl="5" w:tplc="C58623EA">
      <w:start w:val="1"/>
      <w:numFmt w:val="bullet"/>
      <w:lvlText w:val=""/>
      <w:lvlJc w:val="left"/>
      <w:pPr>
        <w:ind w:hanging="360" w:left="4320"/>
      </w:pPr>
      <w:rPr>
        <w:rFonts w:ascii="Wingdings" w:hAnsi="Wingdings" w:hint="default"/>
      </w:rPr>
    </w:lvl>
    <w:lvl w:ilvl="6" w:tplc="234A1064">
      <w:start w:val="1"/>
      <w:numFmt w:val="bullet"/>
      <w:lvlText w:val=""/>
      <w:lvlJc w:val="left"/>
      <w:pPr>
        <w:ind w:hanging="360" w:left="5040"/>
      </w:pPr>
      <w:rPr>
        <w:rFonts w:ascii="Symbol" w:hAnsi="Symbol" w:hint="default"/>
      </w:rPr>
    </w:lvl>
    <w:lvl w:ilvl="7" w:tplc="24BA39D6">
      <w:start w:val="1"/>
      <w:numFmt w:val="bullet"/>
      <w:lvlText w:val="o"/>
      <w:lvlJc w:val="left"/>
      <w:pPr>
        <w:ind w:hanging="360" w:left="5760"/>
      </w:pPr>
      <w:rPr>
        <w:rFonts w:ascii="Courier New" w:hAnsi="Courier New" w:hint="default"/>
      </w:rPr>
    </w:lvl>
    <w:lvl w:ilvl="8" w:tplc="49EC55CA">
      <w:start w:val="1"/>
      <w:numFmt w:val="bullet"/>
      <w:lvlText w:val=""/>
      <w:lvlJc w:val="left"/>
      <w:pPr>
        <w:ind w:hanging="360" w:left="6480"/>
      </w:pPr>
      <w:rPr>
        <w:rFonts w:ascii="Wingdings" w:hAnsi="Wingdings" w:hint="default"/>
      </w:rPr>
    </w:lvl>
  </w:abstractNum>
  <w:num w16cid:durableId="104817195" w:numId="1">
    <w:abstractNumId w:val="3"/>
  </w:num>
  <w:num w16cid:durableId="1751851611" w:numId="2">
    <w:abstractNumId w:val="1"/>
  </w:num>
  <w:num w16cid:durableId="2046834396" w:numId="3">
    <w:abstractNumId w:val="5"/>
  </w:num>
  <w:num w16cid:durableId="1383872660" w:numId="4">
    <w:abstractNumId w:val="2"/>
  </w:num>
  <w:num w16cid:durableId="436868798" w:numId="5">
    <w:abstractNumId w:val="7"/>
  </w:num>
  <w:num w16cid:durableId="1706565125" w:numId="6">
    <w:abstractNumId w:val="0"/>
  </w:num>
  <w:num w16cid:durableId="699547643" w:numId="7">
    <w:abstractNumId w:val="4"/>
  </w:num>
  <w:num w16cid:durableId="207498967" w:numId="8">
    <w:abstractNumId w:val="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00"/>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6ED42E"/>
    <w:rsid w:val="00143823"/>
    <w:rsid w:val="005E0476"/>
    <w:rsid w:val="005E7E45"/>
    <w:rsid w:val="00A11EDA"/>
    <w:rsid w:val="00A96284"/>
    <w:rsid w:val="00B119B9"/>
    <w:rsid w:val="00BF07A6"/>
    <w:rsid w:val="1A6ED42E"/>
    <w:rsid w:val="590B6FAB"/>
    <w:rsid w:val="63E85C50"/>
    <w:rsid w:val="76F9B54A"/>
    <w:rsid w:val="7A49E32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1A6ED42E"/>
  <w15:chartTrackingRefBased/>
  <w15:docId w15:val="{5CDBCA1F-29B0-4ACA-8288-2B4CAFE0B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fr-FR"/>
      </w:rPr>
    </w:rPrDefault>
    <w:pPrDefault>
      <w:pPr>
        <w:spacing w:after="160" w:line="27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CitationintenseCar" w:type="character">
    <w:name w:val="Citation intense Car"/>
    <w:basedOn w:val="Policepardfaut"/>
    <w:link w:val="Citationintense"/>
    <w:uiPriority w:val="30"/>
    <w:rPr>
      <w:i/>
      <w:iCs/>
      <w:color w:themeColor="accent1" w:val="156082"/>
    </w:rPr>
  </w:style>
  <w:style w:styleId="Citationintense" w:type="paragraph">
    <w:name w:val="Intense Quote"/>
    <w:basedOn w:val="Normal"/>
    <w:next w:val="Normal"/>
    <w:link w:val="CitationintenseCar"/>
    <w:uiPriority w:val="30"/>
    <w:qFormat/>
    <w:pPr>
      <w:pBdr>
        <w:top w:color="156082" w:space="10" w:sz="4" w:themeColor="accent1" w:val="single"/>
        <w:bottom w:color="156082" w:space="10" w:sz="4" w:themeColor="accent1" w:val="single"/>
      </w:pBdr>
      <w:spacing w:after="360" w:before="360"/>
      <w:ind w:left="864" w:right="864"/>
      <w:jc w:val="center"/>
    </w:pPr>
    <w:rPr>
      <w:i/>
      <w:iCs/>
      <w:color w:themeColor="accent1" w:val="156082"/>
    </w:rPr>
  </w:style>
  <w:style w:styleId="Paragraphedeliste" w:type="paragraph">
    <w:name w:val="List Paragraph"/>
    <w:basedOn w:val="Normal"/>
    <w:uiPriority w:val="34"/>
    <w:qFormat/>
    <w:pPr>
      <w:ind w:left="720"/>
      <w:contextualSpacing/>
    </w:pPr>
  </w:style>
  <w:style w:styleId="Accentuationintense" w:type="character">
    <w:name w:val="Intense Emphasis"/>
    <w:basedOn w:val="Policepardfaut"/>
    <w:uiPriority w:val="21"/>
    <w:qFormat/>
    <w:rPr>
      <w:i/>
      <w:iCs/>
      <w:color w:themeColor="accent1" w:val="15608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FFF243D7C96646AC69E1A02F24A8FF" ma:contentTypeVersion="26" ma:contentTypeDescription="Crée un document." ma:contentTypeScope="" ma:versionID="2d9dbe780c565ff838bd616ebb26cf78">
  <xsd:schema xmlns:xsd="http://www.w3.org/2001/XMLSchema" xmlns:xs="http://www.w3.org/2001/XMLSchema" xmlns:p="http://schemas.microsoft.com/office/2006/metadata/properties" xmlns:ns2="49fc5723-6b58-4340-83a3-50aad6d51bab" xmlns:ns3="2c0753ba-f3aa-421c-9ce1-66ea8aadfe64" targetNamespace="http://schemas.microsoft.com/office/2006/metadata/properties" ma:root="true" ma:fieldsID="16d34aaf733912dc36a46ea9f94f863f" ns2:_="" ns3:_="">
    <xsd:import namespace="49fc5723-6b58-4340-83a3-50aad6d51bab"/>
    <xsd:import namespace="2c0753ba-f3aa-421c-9ce1-66ea8aadfe6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Emplacement" minOccurs="0"/>
                <xsd:element ref="ns2:b82ad89a-92e9-42ef-97ee-de78ad1d9c04CountryOrRegion" minOccurs="0"/>
                <xsd:element ref="ns2:b82ad89a-92e9-42ef-97ee-de78ad1d9c04State" minOccurs="0"/>
                <xsd:element ref="ns2:b82ad89a-92e9-42ef-97ee-de78ad1d9c04City" minOccurs="0"/>
                <xsd:element ref="ns2:b82ad89a-92e9-42ef-97ee-de78ad1d9c04PostalCode" minOccurs="0"/>
                <xsd:element ref="ns2:b82ad89a-92e9-42ef-97ee-de78ad1d9c04Street" minOccurs="0"/>
                <xsd:element ref="ns2:b82ad89a-92e9-42ef-97ee-de78ad1d9c04GeoLoc" minOccurs="0"/>
                <xsd:element ref="ns2:b82ad89a-92e9-42ef-97ee-de78ad1d9c04Disp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fc5723-6b58-4340-83a3-50aad6d51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02237da0-9fc0-4699-8608-1f54a57d78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Emplacement" ma:index="26" nillable="true" ma:displayName="Emplacement" ma:format="Dropdown" ma:internalName="Emplacement">
      <xsd:simpleType>
        <xsd:restriction base="dms:Unknown"/>
      </xsd:simpleType>
    </xsd:element>
    <xsd:element name="b82ad89a-92e9-42ef-97ee-de78ad1d9c04CountryOrRegion" ma:index="27" nillable="true" ma:displayName="Emplacement : Pays/région" ma:internalName="CountryOrRegion" ma:readOnly="true">
      <xsd:simpleType>
        <xsd:restriction base="dms:Text"/>
      </xsd:simpleType>
    </xsd:element>
    <xsd:element name="b82ad89a-92e9-42ef-97ee-de78ad1d9c04State" ma:index="28" nillable="true" ma:displayName="Emplacement : État" ma:internalName="State" ma:readOnly="true">
      <xsd:simpleType>
        <xsd:restriction base="dms:Text"/>
      </xsd:simpleType>
    </xsd:element>
    <xsd:element name="b82ad89a-92e9-42ef-97ee-de78ad1d9c04City" ma:index="29" nillable="true" ma:displayName="Emplacement : Ville" ma:internalName="City" ma:readOnly="true">
      <xsd:simpleType>
        <xsd:restriction base="dms:Text"/>
      </xsd:simpleType>
    </xsd:element>
    <xsd:element name="b82ad89a-92e9-42ef-97ee-de78ad1d9c04PostalCode" ma:index="30" nillable="true" ma:displayName="Emplacement : Code postal" ma:internalName="PostalCode" ma:readOnly="true">
      <xsd:simpleType>
        <xsd:restriction base="dms:Text"/>
      </xsd:simpleType>
    </xsd:element>
    <xsd:element name="b82ad89a-92e9-42ef-97ee-de78ad1d9c04Street" ma:index="31" nillable="true" ma:displayName="Emplacement : Rue" ma:internalName="Street" ma:readOnly="true">
      <xsd:simpleType>
        <xsd:restriction base="dms:Text"/>
      </xsd:simpleType>
    </xsd:element>
    <xsd:element name="b82ad89a-92e9-42ef-97ee-de78ad1d9c04GeoLoc" ma:index="32" nillable="true" ma:displayName="Emplacement : Coordonnées" ma:internalName="GeoLoc" ma:readOnly="true">
      <xsd:simpleType>
        <xsd:restriction base="dms:Unknown"/>
      </xsd:simpleType>
    </xsd:element>
    <xsd:element name="b82ad89a-92e9-42ef-97ee-de78ad1d9c04DispName" ma:index="33" nillable="true" ma:displayName="Emplacement : nom"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753ba-f3aa-421c-9ce1-66ea8aadfe6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9ba366e6-4ae0-49f5-bde7-fc67acfed5bb}" ma:internalName="TaxCatchAll" ma:showField="CatchAllData" ma:web="2c0753ba-f3aa-421c-9ce1-66ea8aadfe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c0753ba-f3aa-421c-9ce1-66ea8aadfe64" xsi:nil="true"/>
    <lcf76f155ced4ddcb4097134ff3c332f xmlns="49fc5723-6b58-4340-83a3-50aad6d51bab">
      <Terms xmlns="http://schemas.microsoft.com/office/infopath/2007/PartnerControls"/>
    </lcf76f155ced4ddcb4097134ff3c332f>
    <Emplacement xmlns="49fc5723-6b58-4340-83a3-50aad6d51ba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BD1C6B-5963-41DA-AB9A-602A5EB7B9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fc5723-6b58-4340-83a3-50aad6d51bab"/>
    <ds:schemaRef ds:uri="2c0753ba-f3aa-421c-9ce1-66ea8aadf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E2482A-DBA2-413E-8598-28C21C313D51}">
  <ds:schemaRefs>
    <ds:schemaRef ds:uri="http://schemas.microsoft.com/office/2006/metadata/properties"/>
    <ds:schemaRef ds:uri="http://schemas.microsoft.com/office/infopath/2007/PartnerControls"/>
    <ds:schemaRef ds:uri="2c0753ba-f3aa-421c-9ce1-66ea8aadfe64"/>
    <ds:schemaRef ds:uri="49fc5723-6b58-4340-83a3-50aad6d51bab"/>
  </ds:schemaRefs>
</ds:datastoreItem>
</file>

<file path=customXml/itemProps3.xml><?xml version="1.0" encoding="utf-8"?>
<ds:datastoreItem xmlns:ds="http://schemas.openxmlformats.org/officeDocument/2006/customXml" ds:itemID="{22B35B91-50EF-4E4A-809C-8E39495240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1454</Words>
  <Characters>8000</Characters>
  <Application>Microsoft Office Word</Application>
  <DocSecurity>0</DocSecurity>
  <Lines>66</Lines>
  <Paragraphs>18</Paragraphs>
  <ScaleCrop>false</ScaleCrop>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2024-11-05T09:21:00Z</dcterms:created>
  <dcterms:modified xsi:type="dcterms:W3CDTF">2024-11-05T10:00:00Z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0x010100C2FFF243D7C96646AC69E1A02F24A8FF</vt:lpwstr>
  </property>
  <property fmtid="{D5CDD505-2E9C-101B-9397-08002B2CF9AE}" name="MediaServiceImageTags" pid="3">
    <vt:lpwstr/>
  </property>
</Properties>
</file>