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numbering.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
        <w:pBdr>
          <w:top w:val="single" w:sz="12" w:space="4" w:color="0000FF" w:shadow="1"/>
          <w:left w:val="single" w:sz="12" w:space="4" w:color="0000FF" w:shadow="1"/>
          <w:bottom w:val="single" w:sz="12" w:space="4" w:color="0000FF" w:shadow="1"/>
          <w:right w:val="single" w:sz="12" w:space="4" w:color="0000FF" w:shadow="1"/>
        </w:pBdr>
        <w:spacing w:before="0" w:after="120"/>
        <w:ind w:left="567" w:right="567" w:hanging="0"/>
        <w:rPr>
          <w:rFonts w:ascii="Arial" w:hAnsi="Arial" w:cs="Arial"/>
          <w:color w:val="000000"/>
          <w:szCs w:val="32"/>
          <w:lang w:val="en-US"/>
        </w:rPr>
      </w:pPr>
      <w:r>
        <w:rPr>
          <w:rFonts w:cs="Arial" w:ascii="Arial" w:hAnsi="Arial"/>
          <w:color w:val="000000"/>
          <w:szCs w:val="32"/>
          <w:lang w:val="en-US"/>
        </w:rPr>
        <w:t>Accord N.A.O.</w:t>
      </w:r>
    </w:p>
    <w:p>
      <w:pPr>
        <w:pStyle w:val="Heading"/>
        <w:pBdr>
          <w:top w:val="single" w:sz="12" w:space="4" w:color="0000FF" w:shadow="1"/>
          <w:left w:val="single" w:sz="12" w:space="4" w:color="0000FF" w:shadow="1"/>
          <w:bottom w:val="single" w:sz="12" w:space="4" w:color="0000FF" w:shadow="1"/>
          <w:right w:val="single" w:sz="12" w:space="4" w:color="0000FF" w:shadow="1"/>
        </w:pBdr>
        <w:spacing w:before="0" w:after="120"/>
        <w:ind w:left="567" w:right="567" w:hanging="0"/>
        <w:rPr>
          <w:rFonts w:ascii="Arial" w:hAnsi="Arial" w:cs="Arial"/>
          <w:color w:val="000000"/>
          <w:szCs w:val="32"/>
        </w:rPr>
      </w:pPr>
      <w:r>
        <w:rPr>
          <w:rFonts w:cs="Arial" w:ascii="Arial" w:hAnsi="Arial"/>
          <w:color w:val="000000"/>
          <w:szCs w:val="32"/>
        </w:rPr>
        <w:t>Janvier 2023 – Décembre 2023</w:t>
      </w:r>
    </w:p>
    <w:p>
      <w:pPr>
        <w:pStyle w:val="Heading"/>
        <w:pBdr>
          <w:top w:val="single" w:sz="12" w:space="4" w:color="0000FF" w:shadow="1"/>
          <w:left w:val="single" w:sz="12" w:space="4" w:color="0000FF" w:shadow="1"/>
          <w:bottom w:val="single" w:sz="12" w:space="4" w:color="0000FF" w:shadow="1"/>
          <w:right w:val="single" w:sz="12" w:space="4" w:color="0000FF" w:shadow="1"/>
        </w:pBdr>
        <w:spacing w:before="0" w:after="120"/>
        <w:ind w:left="567" w:right="567" w:hanging="0"/>
        <w:rPr>
          <w:rFonts w:ascii="Arial" w:hAnsi="Arial" w:cs="Arial"/>
          <w:color w:val="000000"/>
          <w:szCs w:val="32"/>
        </w:rPr>
      </w:pPr>
      <w:r>
        <w:rPr>
          <w:rFonts w:cs="Arial" w:ascii="Arial" w:hAnsi="Arial"/>
          <w:color w:val="000000"/>
          <w:szCs w:val="32"/>
        </w:rPr>
        <w:t>SOCIETE TERNOVEO</w:t>
      </w:r>
    </w:p>
    <w:p>
      <w:pPr>
        <w:pStyle w:val="Normal"/>
        <w:rPr>
          <w:rFonts w:ascii="Arial" w:hAnsi="Arial" w:cs="Arial"/>
          <w:color w:val="000000"/>
          <w:szCs w:val="32"/>
        </w:rPr>
      </w:pPr>
      <w:r>
        <w:rPr>
          <w:rFonts w:cs="Arial"/>
          <w:color w:val="000000"/>
          <w:szCs w:val="32"/>
        </w:rPr>
      </w:r>
    </w:p>
    <w:p>
      <w:pPr>
        <w:pStyle w:val="Normal"/>
        <w:keepNext w:val="true"/>
        <w:numPr>
          <w:ilvl w:val="0"/>
          <w:numId w:val="0"/>
        </w:numPr>
        <w:spacing w:before="240" w:after="120"/>
        <w:ind w:left="1134" w:hanging="984"/>
        <w:outlineLvl w:val="1"/>
        <w:rPr>
          <w:rFonts w:cs="Arial"/>
          <w:iCs/>
          <w:sz w:val="24"/>
          <w:u w:val="single"/>
        </w:rPr>
      </w:pPr>
      <w:r>
        <w:rPr>
          <w:rFonts w:cs="Arial"/>
          <w:iCs/>
          <w:sz w:val="24"/>
          <w:u w:val="single"/>
        </w:rPr>
        <w:t>ENTRE LES SOUSSIGNÉS</w:t>
      </w:r>
    </w:p>
    <w:p>
      <w:pPr>
        <w:pStyle w:val="Normal"/>
        <w:rPr>
          <w:rFonts w:cs="Arial"/>
          <w:iCs/>
          <w:sz w:val="24"/>
          <w:u w:val="single"/>
        </w:rPr>
      </w:pPr>
      <w:r>
        <w:rPr>
          <w:rFonts w:cs="Arial"/>
          <w:iCs/>
          <w:sz w:val="24"/>
          <w:u w:val="single"/>
        </w:rPr>
      </w:r>
    </w:p>
    <w:p>
      <w:pPr>
        <w:pStyle w:val="Normal"/>
        <w:ind w:left="284" w:hanging="0"/>
        <w:rPr>
          <w:rFonts w:cs="Arial"/>
          <w:szCs w:val="22"/>
        </w:rPr>
      </w:pPr>
      <w:r>
        <w:rPr>
          <w:rFonts w:cs="Arial"/>
          <w:szCs w:val="22"/>
        </w:rPr>
        <w:t>D’une part,</w:t>
      </w:r>
    </w:p>
    <w:p>
      <w:pPr>
        <w:pStyle w:val="Normal"/>
        <w:ind w:left="284" w:hanging="0"/>
        <w:rPr>
          <w:rFonts w:cs="Arial"/>
          <w:szCs w:val="22"/>
        </w:rPr>
      </w:pPr>
      <w:r>
        <w:rPr>
          <w:rFonts w:cs="Arial"/>
          <w:szCs w:val="22"/>
        </w:rPr>
      </w:r>
    </w:p>
    <w:p>
      <w:pPr>
        <w:pStyle w:val="Normal"/>
        <w:rPr>
          <w:rFonts w:cs="Arial"/>
          <w:szCs w:val="22"/>
        </w:rPr>
      </w:pPr>
      <w:r>
        <w:rPr>
          <w:rFonts w:cs="Arial"/>
          <w:b/>
        </w:rPr>
        <w:t>La Société TERNOVEO – RCS Saint Quentin 301.521.928,</w:t>
      </w:r>
    </w:p>
    <w:p>
      <w:pPr>
        <w:pStyle w:val="Normal"/>
        <w:spacing w:before="0" w:after="0"/>
        <w:jc w:val="left"/>
        <w:rPr/>
      </w:pPr>
      <w:r>
        <w:rPr>
          <w:rFonts w:cs="Arial"/>
          <w:szCs w:val="22"/>
        </w:rPr>
        <w:t>Dont le siège social est situé : Parc des Autoroutes – 804 rue Georges Charpak</w:t>
      </w:r>
    </w:p>
    <w:p>
      <w:pPr>
        <w:pStyle w:val="Normal"/>
        <w:spacing w:before="0" w:after="0"/>
        <w:jc w:val="left"/>
        <w:rPr>
          <w:rFonts w:cs="Arial"/>
          <w:szCs w:val="22"/>
        </w:rPr>
      </w:pPr>
      <w:r>
        <w:rPr>
          <w:rFonts w:eastAsia="Arial" w:cs="Arial"/>
          <w:szCs w:val="22"/>
        </w:rPr>
        <w:t xml:space="preserve"> </w:t>
      </w:r>
      <w:r>
        <w:rPr>
          <w:rFonts w:cs="Arial"/>
          <w:szCs w:val="22"/>
        </w:rPr>
        <w:tab/>
        <w:tab/>
        <w:tab/>
        <w:tab/>
        <w:t xml:space="preserve">  02100 SAINT-QUENTIN</w:t>
      </w:r>
    </w:p>
    <w:p>
      <w:pPr>
        <w:pStyle w:val="Normal"/>
        <w:spacing w:before="0" w:after="0"/>
        <w:jc w:val="left"/>
        <w:rPr>
          <w:rFonts w:cs="Arial"/>
          <w:szCs w:val="22"/>
        </w:rPr>
      </w:pPr>
      <w:r>
        <w:rPr>
          <w:rFonts w:cs="Arial"/>
          <w:szCs w:val="22"/>
        </w:rPr>
        <w:t>Représentée par Monsieur XXX</w:t>
      </w:r>
    </w:p>
    <w:p>
      <w:pPr>
        <w:pStyle w:val="Normal"/>
        <w:spacing w:before="0" w:after="0"/>
        <w:jc w:val="left"/>
        <w:rPr/>
      </w:pPr>
      <w:r>
        <w:rPr>
          <w:rFonts w:cs="Arial"/>
          <w:szCs w:val="22"/>
        </w:rPr>
        <w:t>Agissant en qualité de Directeur Général Délégué,</w:t>
      </w:r>
    </w:p>
    <w:p>
      <w:pPr>
        <w:pStyle w:val="Normal"/>
        <w:spacing w:before="0" w:after="0"/>
        <w:jc w:val="left"/>
        <w:rPr>
          <w:rFonts w:cs="Arial"/>
          <w:szCs w:val="22"/>
        </w:rPr>
      </w:pPr>
      <w:r>
        <w:rPr>
          <w:rFonts w:cs="Arial"/>
          <w:szCs w:val="22"/>
        </w:rPr>
      </w:r>
    </w:p>
    <w:p>
      <w:pPr>
        <w:pStyle w:val="Normal"/>
        <w:rPr>
          <w:rFonts w:cs="Arial"/>
          <w:szCs w:val="22"/>
        </w:rPr>
      </w:pPr>
      <w:r>
        <w:rPr>
          <w:rFonts w:cs="Arial"/>
          <w:szCs w:val="22"/>
        </w:rPr>
        <w:t>Et</w:t>
      </w:r>
    </w:p>
    <w:p>
      <w:pPr>
        <w:pStyle w:val="Normal"/>
        <w:rPr>
          <w:rFonts w:cs="Arial"/>
          <w:szCs w:val="22"/>
        </w:rPr>
      </w:pPr>
      <w:r>
        <w:rPr>
          <w:rFonts w:cs="Arial"/>
          <w:szCs w:val="22"/>
        </w:rPr>
      </w:r>
    </w:p>
    <w:p>
      <w:pPr>
        <w:pStyle w:val="Normal"/>
        <w:ind w:left="284" w:hanging="0"/>
        <w:rPr>
          <w:rFonts w:cs="Arial"/>
          <w:szCs w:val="22"/>
        </w:rPr>
      </w:pPr>
      <w:r>
        <w:rPr>
          <w:rFonts w:cs="Arial"/>
          <w:szCs w:val="22"/>
        </w:rPr>
        <w:t>D’autre part,</w:t>
      </w:r>
    </w:p>
    <w:p>
      <w:pPr>
        <w:pStyle w:val="Normal"/>
        <w:ind w:left="284" w:hanging="0"/>
        <w:rPr>
          <w:rFonts w:cs="Arial"/>
          <w:szCs w:val="22"/>
        </w:rPr>
      </w:pPr>
      <w:r>
        <w:rPr>
          <w:rFonts w:cs="Arial"/>
          <w:szCs w:val="22"/>
        </w:rPr>
      </w:r>
    </w:p>
    <w:p>
      <w:pPr>
        <w:pStyle w:val="Normal"/>
        <w:rPr>
          <w:rFonts w:cs="Arial"/>
          <w:b/>
          <w:b/>
          <w:szCs w:val="22"/>
        </w:rPr>
      </w:pPr>
      <w:r>
        <w:rPr>
          <w:rFonts w:cs="Arial"/>
          <w:b/>
          <w:szCs w:val="22"/>
        </w:rPr>
        <w:t>L’Organisation Syndicale,</w:t>
      </w:r>
    </w:p>
    <w:p>
      <w:pPr>
        <w:pStyle w:val="Normal"/>
        <w:numPr>
          <w:ilvl w:val="0"/>
          <w:numId w:val="3"/>
        </w:numPr>
        <w:spacing w:lineRule="auto" w:line="360"/>
        <w:rPr>
          <w:rFonts w:cs="Arial"/>
          <w:szCs w:val="22"/>
        </w:rPr>
      </w:pPr>
      <w:r>
        <w:rPr>
          <w:rFonts w:cs="Arial"/>
          <w:szCs w:val="22"/>
        </w:rPr>
        <w:t>C.F.D.T. représentée par Madame XXX, Déléguée Syndicale,</w:t>
      </w:r>
    </w:p>
    <w:p>
      <w:pPr>
        <w:pStyle w:val="Normal"/>
        <w:rPr>
          <w:rFonts w:cs="Arial"/>
          <w:szCs w:val="22"/>
        </w:rPr>
      </w:pPr>
      <w:r>
        <w:rPr>
          <w:rFonts w:cs="Arial"/>
          <w:szCs w:val="22"/>
        </w:rPr>
      </w:r>
    </w:p>
    <w:p>
      <w:pPr>
        <w:pStyle w:val="TextBody"/>
        <w:jc w:val="left"/>
        <w:rPr>
          <w:rFonts w:ascii="Arial" w:hAnsi="Arial" w:cs="Arial"/>
          <w:sz w:val="28"/>
        </w:rPr>
      </w:pPr>
      <w:r>
        <w:rPr>
          <w:rFonts w:cs="Arial" w:ascii="Arial" w:hAnsi="Arial"/>
          <w:sz w:val="28"/>
        </w:rPr>
        <w:t>Il a été convenu ce qui suit :</w:t>
      </w:r>
    </w:p>
    <w:p>
      <w:pPr>
        <w:pStyle w:val="TextBodyIndent"/>
        <w:ind w:left="0" w:hanging="0"/>
        <w:rPr>
          <w:rFonts w:ascii="Arial" w:hAnsi="Arial" w:cs="Arial"/>
          <w:sz w:val="28"/>
          <w:szCs w:val="22"/>
          <w:lang w:val="fr-FR"/>
        </w:rPr>
      </w:pPr>
      <w:r>
        <w:rPr>
          <w:rFonts w:cs="Arial"/>
          <w:sz w:val="28"/>
          <w:szCs w:val="22"/>
          <w:lang w:val="fr-FR"/>
        </w:rPr>
      </w:r>
    </w:p>
    <w:p>
      <w:pPr>
        <w:pStyle w:val="Normal"/>
        <w:spacing w:before="0" w:after="0"/>
        <w:rPr/>
      </w:pPr>
      <w:r>
        <w:rPr>
          <w:rFonts w:cs="Arial"/>
          <w:szCs w:val="22"/>
        </w:rPr>
        <w:t>Cet accord fait suite à la Négociation Annuelle Obligatoire et aux réunions du 7 septembre,   6 octobre, 8 novembre et 7 décembre 2022.</w:t>
      </w:r>
    </w:p>
    <w:p>
      <w:pPr>
        <w:pStyle w:val="TextBodyIndent"/>
        <w:spacing w:before="0" w:after="0"/>
        <w:ind w:left="0" w:hanging="0"/>
        <w:rPr>
          <w:rFonts w:cs="Arial"/>
          <w:szCs w:val="22"/>
          <w:lang w:val="fr-FR"/>
        </w:rPr>
      </w:pPr>
      <w:r>
        <w:rPr>
          <w:rFonts w:cs="Arial"/>
          <w:szCs w:val="22"/>
          <w:lang w:val="fr-FR"/>
        </w:rPr>
      </w:r>
    </w:p>
    <w:p>
      <w:pPr>
        <w:pStyle w:val="TextBodyIndent"/>
        <w:spacing w:before="0" w:after="0"/>
        <w:ind w:left="0" w:hanging="0"/>
        <w:rPr>
          <w:rFonts w:cs="Arial"/>
          <w:szCs w:val="22"/>
          <w:lang w:val="fr-FR"/>
        </w:rPr>
      </w:pPr>
      <w:r>
        <w:rPr>
          <w:rFonts w:cs="Arial"/>
          <w:szCs w:val="22"/>
          <w:lang w:val="fr-FR"/>
        </w:rPr>
        <w:t>Un bilan sur l’égalité entre les hommes et les femmes a été réalisé.</w:t>
      </w:r>
    </w:p>
    <w:p>
      <w:pPr>
        <w:pStyle w:val="TextBodyIndent"/>
        <w:spacing w:before="0" w:after="0"/>
        <w:ind w:left="0" w:hanging="0"/>
        <w:rPr>
          <w:rFonts w:cs="Arial"/>
          <w:szCs w:val="22"/>
          <w:lang w:val="fr-FR"/>
        </w:rPr>
      </w:pPr>
      <w:r>
        <w:rPr>
          <w:rFonts w:cs="Arial"/>
          <w:szCs w:val="22"/>
          <w:lang w:val="fr-FR"/>
        </w:rPr>
      </w:r>
    </w:p>
    <w:p>
      <w:pPr>
        <w:pStyle w:val="Normal"/>
        <w:spacing w:before="0" w:after="0"/>
        <w:rPr>
          <w:rFonts w:cs="Arial"/>
          <w:color w:val="FF0000"/>
          <w:szCs w:val="22"/>
        </w:rPr>
      </w:pPr>
      <w:r>
        <w:rPr>
          <w:rFonts w:cs="Arial"/>
          <w:szCs w:val="22"/>
        </w:rPr>
        <w:t>Les décisions ci-après s’appliqueront à l’ensemble des salariés de la Société Ternoveo relevant de la convention collective du négoce et de l’industrie des produits du sol, engrais et produits connexes.</w:t>
      </w:r>
    </w:p>
    <w:p>
      <w:pPr>
        <w:pStyle w:val="Normal"/>
        <w:spacing w:before="0" w:after="0"/>
        <w:rPr>
          <w:rFonts w:cs="Arial"/>
          <w:color w:val="FF0000"/>
          <w:szCs w:val="22"/>
        </w:rPr>
      </w:pPr>
      <w:r>
        <w:rPr>
          <w:rFonts w:cs="Arial"/>
          <w:color w:val="FF0000"/>
          <w:szCs w:val="22"/>
        </w:rPr>
      </w:r>
    </w:p>
    <w:p>
      <w:pPr>
        <w:pStyle w:val="Normal"/>
        <w:spacing w:before="0" w:after="0"/>
        <w:rPr/>
      </w:pPr>
      <w:r>
        <w:rPr>
          <w:rFonts w:cs="Arial"/>
          <w:szCs w:val="22"/>
        </w:rPr>
        <w:t>La Direction et l’Organisation Syndicale ont convenu des dispositions suivantes :</w:t>
      </w:r>
    </w:p>
    <w:p>
      <w:pPr>
        <w:pStyle w:val="Normal"/>
        <w:rPr>
          <w:rFonts w:cs="Arial"/>
          <w:color w:val="333333"/>
          <w:szCs w:val="22"/>
        </w:rPr>
      </w:pPr>
      <w:r>
        <w:rPr>
          <w:rFonts w:cs="Arial"/>
          <w:color w:val="333333"/>
          <w:szCs w:val="22"/>
        </w:rPr>
      </w:r>
    </w:p>
    <w:p>
      <w:pPr>
        <w:pStyle w:val="Normal"/>
        <w:numPr>
          <w:ilvl w:val="2"/>
          <w:numId w:val="9"/>
        </w:numPr>
        <w:tabs>
          <w:tab w:val="left" w:pos="1418" w:leader="none"/>
        </w:tabs>
        <w:ind w:left="2160" w:hanging="1026"/>
        <w:rPr>
          <w:rFonts w:cs="Arial"/>
          <w:b/>
          <w:b/>
          <w:sz w:val="24"/>
        </w:rPr>
      </w:pPr>
      <w:r>
        <w:rPr>
          <w:rFonts w:cs="Arial"/>
          <w:b/>
          <w:bCs/>
          <w:sz w:val="24"/>
        </w:rPr>
        <w:t>Augmentation générale</w:t>
      </w:r>
    </w:p>
    <w:p>
      <w:pPr>
        <w:pStyle w:val="Normal"/>
        <w:tabs>
          <w:tab w:val="left" w:pos="1701" w:leader="none"/>
          <w:tab w:val="left" w:pos="2835" w:leader="none"/>
        </w:tabs>
        <w:spacing w:before="0" w:after="0"/>
        <w:rPr>
          <w:rFonts w:cs="Arial"/>
          <w:b/>
          <w:b/>
          <w:sz w:val="24"/>
        </w:rPr>
      </w:pPr>
      <w:r>
        <w:rPr>
          <w:rFonts w:cs="Arial"/>
          <w:b/>
          <w:sz w:val="24"/>
        </w:rPr>
      </w:r>
    </w:p>
    <w:p>
      <w:pPr>
        <w:pStyle w:val="Normal"/>
        <w:rPr/>
      </w:pPr>
      <w:r>
        <w:rPr>
          <w:rFonts w:cs="Arial"/>
          <w:szCs w:val="22"/>
        </w:rPr>
        <w:t>La Direction, confirme sa volonté d’orienter le pilotage de sa masse salariale vers une politique d’augmentations individuelles permettant notamment de récompenser davantage l’implication et la performance individuelle de ses collaborateurs.</w:t>
      </w:r>
    </w:p>
    <w:p>
      <w:pPr>
        <w:pStyle w:val="Normal"/>
        <w:rPr>
          <w:rFonts w:cs="Arial"/>
          <w:szCs w:val="22"/>
        </w:rPr>
      </w:pPr>
      <w:r>
        <w:rPr>
          <w:rFonts w:cs="Arial"/>
          <w:szCs w:val="22"/>
        </w:rPr>
        <w:t xml:space="preserve">Cependant, l’inflation actuelle impacte le pouvoir d’achat de tous les collaborateurs, c’est pourquoi, la Direction et l’Organisation Syndicale ont fait le choix d’accompagner cette situation particulière d’une augmentation générale comme suit : </w:t>
      </w:r>
    </w:p>
    <w:p>
      <w:pPr>
        <w:pStyle w:val="Normal"/>
        <w:rPr>
          <w:rFonts w:cs="Arial"/>
          <w:szCs w:val="22"/>
        </w:rPr>
      </w:pPr>
      <w:r>
        <w:rPr>
          <w:rFonts w:cs="Arial"/>
          <w:szCs w:val="22"/>
        </w:rPr>
        <w:t>Augmentation générale par tranches pour tous les CDI présents au 31/12/2022 - Salaire de référence 01/01/2022.</w:t>
      </w:r>
    </w:p>
    <w:p>
      <w:pPr>
        <w:pStyle w:val="Normal"/>
        <w:rPr>
          <w:rFonts w:cs="Arial"/>
          <w:szCs w:val="22"/>
        </w:rPr>
      </w:pPr>
      <w:r>
        <w:rPr>
          <w:rFonts w:cs="Arial"/>
          <w:szCs w:val="22"/>
        </w:rPr>
        <w:t>Au 01/10/2022, le salaire minimum TERNOVEO est passé de 1 650 € à 1 771 € soit 121 € d’augmentation.</w:t>
      </w:r>
    </w:p>
    <w:p>
      <w:pPr>
        <w:pStyle w:val="Normal"/>
        <w:numPr>
          <w:ilvl w:val="2"/>
          <w:numId w:val="4"/>
        </w:numPr>
        <w:ind w:left="709" w:hanging="567"/>
        <w:rPr>
          <w:rFonts w:cs="Arial"/>
          <w:szCs w:val="22"/>
        </w:rPr>
      </w:pPr>
      <w:r>
        <w:rPr>
          <w:rFonts w:cs="Arial"/>
          <w:szCs w:val="22"/>
        </w:rPr>
        <w:t xml:space="preserve">1 650 € à &lt;= 1 700 € </w:t>
        <w:tab/>
        <w:t xml:space="preserve">   + 121 € brut / mois appliquée tout ou en partie au 01/10/2022, le reliquat pour atteindre les 121 € sera applicable à compter du 01/01/2023 </w:t>
      </w:r>
    </w:p>
    <w:p>
      <w:pPr>
        <w:pStyle w:val="Normal"/>
        <w:numPr>
          <w:ilvl w:val="2"/>
          <w:numId w:val="4"/>
        </w:numPr>
        <w:ind w:left="709" w:hanging="567"/>
        <w:rPr/>
      </w:pPr>
      <w:r>
        <w:rPr>
          <w:rFonts w:cs="Arial"/>
          <w:szCs w:val="22"/>
        </w:rPr>
        <w:t xml:space="preserve">&gt; 1 700 € à &lt;= 1 800 €  + 121 € brut / mois appliquée une partie au 01/10/2022, le reliquat pour atteindre les 121 € sera applicable à compter du 01/01/2023 </w:t>
      </w:r>
    </w:p>
    <w:p>
      <w:pPr>
        <w:pStyle w:val="Normal"/>
        <w:numPr>
          <w:ilvl w:val="2"/>
          <w:numId w:val="4"/>
        </w:numPr>
        <w:ind w:left="709" w:hanging="567"/>
        <w:rPr/>
      </w:pPr>
      <w:r>
        <w:rPr>
          <w:rFonts w:cs="Arial"/>
          <w:szCs w:val="22"/>
        </w:rPr>
        <w:t>&gt; 1 800 € à &lt;= 2 200 €     +  80 € brut / mois applicable à compter du 01/01/2023</w:t>
      </w:r>
    </w:p>
    <w:p>
      <w:pPr>
        <w:pStyle w:val="Normal"/>
        <w:numPr>
          <w:ilvl w:val="2"/>
          <w:numId w:val="4"/>
        </w:numPr>
        <w:ind w:left="709" w:hanging="567"/>
        <w:rPr/>
      </w:pPr>
      <w:r>
        <w:rPr>
          <w:rFonts w:cs="Arial"/>
          <w:szCs w:val="22"/>
        </w:rPr>
        <w:t>&gt; 2 200 € à &lt;= 3 500 €     +  70 € brut / mois applicable à compter du 01/01/2023</w:t>
      </w:r>
    </w:p>
    <w:p>
      <w:pPr>
        <w:pStyle w:val="Normal"/>
        <w:numPr>
          <w:ilvl w:val="2"/>
          <w:numId w:val="4"/>
        </w:numPr>
        <w:ind w:left="709" w:hanging="567"/>
        <w:rPr>
          <w:rFonts w:cs="Arial"/>
          <w:szCs w:val="22"/>
        </w:rPr>
      </w:pPr>
      <w:r>
        <w:rPr>
          <w:rFonts w:cs="Arial"/>
          <w:szCs w:val="22"/>
        </w:rPr>
        <w:t>&gt; à 3 500 €</w:t>
        <w:tab/>
        <w:tab/>
        <w:t xml:space="preserve">       +  60 € brut / mois applicable à compter du 01/01/2023</w:t>
      </w:r>
    </w:p>
    <w:p>
      <w:pPr>
        <w:pStyle w:val="Normal"/>
        <w:rPr>
          <w:rFonts w:cs="Arial"/>
          <w:szCs w:val="22"/>
        </w:rPr>
      </w:pPr>
      <w:r>
        <w:rPr>
          <w:rFonts w:cs="Arial"/>
          <w:szCs w:val="22"/>
        </w:rPr>
      </w:r>
    </w:p>
    <w:p>
      <w:pPr>
        <w:pStyle w:val="Normal"/>
        <w:rPr>
          <w:rFonts w:cs="Arial"/>
          <w:color w:val="333333"/>
          <w:szCs w:val="22"/>
        </w:rPr>
      </w:pPr>
      <w:r>
        <w:rPr>
          <w:rFonts w:cs="Arial"/>
          <w:color w:val="333333"/>
          <w:szCs w:val="22"/>
        </w:rPr>
      </w:r>
    </w:p>
    <w:p>
      <w:pPr>
        <w:pStyle w:val="Normal"/>
        <w:numPr>
          <w:ilvl w:val="2"/>
          <w:numId w:val="9"/>
        </w:numPr>
        <w:tabs>
          <w:tab w:val="left" w:pos="1418" w:leader="none"/>
        </w:tabs>
        <w:ind w:left="2160" w:hanging="1026"/>
        <w:rPr>
          <w:rFonts w:cs="Arial"/>
          <w:b/>
          <w:b/>
          <w:sz w:val="24"/>
        </w:rPr>
      </w:pPr>
      <w:r>
        <w:rPr>
          <w:rFonts w:cs="Arial"/>
          <w:b/>
          <w:bCs/>
          <w:sz w:val="24"/>
        </w:rPr>
        <w:t>Augmentations individuelles</w:t>
      </w:r>
    </w:p>
    <w:p>
      <w:pPr>
        <w:pStyle w:val="Normal"/>
        <w:tabs>
          <w:tab w:val="left" w:pos="1701" w:leader="none"/>
          <w:tab w:val="left" w:pos="2835" w:leader="none"/>
        </w:tabs>
        <w:spacing w:before="0" w:after="0"/>
        <w:rPr>
          <w:rFonts w:cs="Arial"/>
          <w:b/>
          <w:b/>
          <w:sz w:val="24"/>
        </w:rPr>
      </w:pPr>
      <w:r>
        <w:rPr>
          <w:rFonts w:cs="Arial"/>
          <w:b/>
          <w:sz w:val="24"/>
        </w:rPr>
      </w:r>
    </w:p>
    <w:p>
      <w:pPr>
        <w:pStyle w:val="Normal"/>
        <w:rPr>
          <w:rFonts w:cs="Arial"/>
          <w:szCs w:val="22"/>
        </w:rPr>
      </w:pPr>
      <w:r>
        <w:rPr>
          <w:rFonts w:cs="Arial"/>
          <w:szCs w:val="22"/>
        </w:rPr>
        <w:t xml:space="preserve">La Direction, pour affirmer sa volonté de valoriser la récompense de l’implication et de la performance individuelle a souhaité consacrer une enveloppe représentant </w:t>
      </w:r>
      <w:r>
        <w:rPr>
          <w:rFonts w:cs="Arial"/>
          <w:b/>
          <w:szCs w:val="22"/>
        </w:rPr>
        <w:t>1,00 %</w:t>
      </w:r>
      <w:r>
        <w:rPr>
          <w:rFonts w:cs="Arial"/>
          <w:szCs w:val="22"/>
        </w:rPr>
        <w:t xml:space="preserve"> de la masse salariale.</w:t>
      </w:r>
    </w:p>
    <w:p>
      <w:pPr>
        <w:pStyle w:val="Normal"/>
        <w:rPr>
          <w:rFonts w:cs="Arial"/>
          <w:szCs w:val="22"/>
        </w:rPr>
      </w:pPr>
      <w:r>
        <w:rPr>
          <w:rFonts w:cs="Arial"/>
          <w:szCs w:val="22"/>
        </w:rPr>
        <w:t>48 collaborateurs sont concernés par une augmentation individuelle, soit 22 % des effectifs.</w:t>
      </w:r>
    </w:p>
    <w:p>
      <w:pPr>
        <w:pStyle w:val="Normal"/>
        <w:rPr>
          <w:rFonts w:cs="Arial"/>
          <w:szCs w:val="22"/>
        </w:rPr>
      </w:pPr>
      <w:r>
        <w:rPr>
          <w:rFonts w:cs="Arial"/>
          <w:szCs w:val="22"/>
        </w:rPr>
        <w:t>Pour rappel, l’augmentation individuelle résulte de la performance et des réalisations individuelles. L’individualisation de la rémunération permet donc de récompenser les collaborateurs de façon ciblée.</w:t>
      </w:r>
    </w:p>
    <w:p>
      <w:pPr>
        <w:pStyle w:val="Normal"/>
        <w:rPr>
          <w:rFonts w:cs="Arial"/>
          <w:szCs w:val="22"/>
        </w:rPr>
      </w:pPr>
      <w:r>
        <w:rPr>
          <w:rFonts w:cs="Arial"/>
          <w:szCs w:val="22"/>
        </w:rPr>
      </w:r>
    </w:p>
    <w:p>
      <w:pPr>
        <w:pStyle w:val="Normal"/>
        <w:rPr>
          <w:rFonts w:cs="Arial"/>
          <w:color w:val="333333"/>
          <w:szCs w:val="22"/>
        </w:rPr>
      </w:pPr>
      <w:r>
        <w:rPr>
          <w:rFonts w:cs="Arial"/>
          <w:color w:val="333333"/>
          <w:szCs w:val="22"/>
        </w:rPr>
      </w:r>
    </w:p>
    <w:p>
      <w:pPr>
        <w:pStyle w:val="Normal"/>
        <w:numPr>
          <w:ilvl w:val="2"/>
          <w:numId w:val="9"/>
        </w:numPr>
        <w:tabs>
          <w:tab w:val="left" w:pos="1418" w:leader="none"/>
        </w:tabs>
        <w:ind w:left="2160" w:hanging="1026"/>
        <w:rPr>
          <w:rFonts w:cs="Arial"/>
          <w:b/>
          <w:b/>
          <w:sz w:val="24"/>
        </w:rPr>
      </w:pPr>
      <w:r>
        <w:rPr>
          <w:rFonts w:cs="Arial"/>
          <w:b/>
          <w:bCs/>
          <w:sz w:val="24"/>
        </w:rPr>
        <w:t>Augmentation du nombre de tickets restaurant</w:t>
      </w:r>
    </w:p>
    <w:p>
      <w:pPr>
        <w:pStyle w:val="Normal"/>
        <w:rPr>
          <w:rFonts w:cs="Arial"/>
        </w:rPr>
      </w:pPr>
      <w:r>
        <w:rPr>
          <w:rFonts w:cs="Arial"/>
        </w:rPr>
        <w:t xml:space="preserve">Passage de 15 à </w:t>
      </w:r>
      <w:r>
        <w:rPr>
          <w:rFonts w:cs="Arial"/>
          <w:b/>
        </w:rPr>
        <w:t>18</w:t>
      </w:r>
      <w:r>
        <w:rPr>
          <w:rFonts w:cs="Arial"/>
        </w:rPr>
        <w:t xml:space="preserve"> tickets restant par mois et par salarié d’une valeur de 9 €.</w:t>
      </w:r>
    </w:p>
    <w:p>
      <w:pPr>
        <w:pStyle w:val="Normal"/>
        <w:rPr>
          <w:rFonts w:cs="Arial"/>
        </w:rPr>
      </w:pPr>
      <w:r>
        <w:rPr>
          <w:rFonts w:cs="Arial"/>
        </w:rPr>
        <w:t>La part patronale reste fixée à 60 % de la valeur des titres.</w:t>
      </w:r>
    </w:p>
    <w:p>
      <w:pPr>
        <w:pStyle w:val="Normal"/>
        <w:rPr>
          <w:rFonts w:cs="Arial"/>
        </w:rPr>
      </w:pPr>
      <w:r>
        <w:rPr>
          <w:rFonts w:cs="Arial"/>
        </w:rPr>
        <w:t>La part salariale reste fixée à 40 % de la valeur des titres.</w:t>
      </w:r>
    </w:p>
    <w:p>
      <w:pPr>
        <w:pStyle w:val="Normal"/>
        <w:rPr>
          <w:rFonts w:cs="Arial"/>
        </w:rPr>
      </w:pPr>
      <w:r>
        <w:rPr>
          <w:rFonts w:cs="Arial"/>
        </w:rPr>
      </w:r>
    </w:p>
    <w:p>
      <w:pPr>
        <w:pStyle w:val="Normal"/>
        <w:rPr>
          <w:rFonts w:cs="Arial"/>
        </w:rPr>
      </w:pPr>
      <w:r>
        <w:rPr>
          <w:rFonts w:cs="Arial"/>
        </w:rPr>
      </w:r>
    </w:p>
    <w:p>
      <w:pPr>
        <w:pStyle w:val="Normal"/>
        <w:numPr>
          <w:ilvl w:val="2"/>
          <w:numId w:val="5"/>
        </w:numPr>
        <w:ind w:left="2160" w:hanging="1026"/>
        <w:rPr>
          <w:rFonts w:cs="Arial"/>
          <w:sz w:val="24"/>
          <w:szCs w:val="22"/>
        </w:rPr>
      </w:pPr>
      <w:r>
        <w:rPr>
          <w:rFonts w:cs="Arial"/>
          <w:b/>
          <w:bCs/>
          <w:sz w:val="24"/>
          <w:szCs w:val="22"/>
        </w:rPr>
        <w:t xml:space="preserve">Augmentation de la valeur du panier pour les chauffeurs </w:t>
      </w:r>
    </w:p>
    <w:p>
      <w:pPr>
        <w:pStyle w:val="Normal"/>
        <w:rPr>
          <w:rFonts w:cs="Arial"/>
          <w:szCs w:val="22"/>
        </w:rPr>
      </w:pPr>
      <w:r>
        <w:rPr>
          <w:rFonts w:cs="Arial"/>
          <w:szCs w:val="22"/>
        </w:rPr>
        <w:t xml:space="preserve">Passage de la valeur du panier de 7,70 € à </w:t>
      </w:r>
      <w:r>
        <w:rPr>
          <w:rFonts w:cs="Arial"/>
          <w:b/>
          <w:szCs w:val="22"/>
        </w:rPr>
        <w:t>8,51 €</w:t>
      </w:r>
      <w:r>
        <w:rPr>
          <w:rFonts w:cs="Arial"/>
          <w:szCs w:val="22"/>
        </w:rPr>
        <w:t xml:space="preserve"> par jour travaillé.</w:t>
      </w:r>
    </w:p>
    <w:p>
      <w:pPr>
        <w:pStyle w:val="Normal"/>
        <w:rPr>
          <w:rFonts w:cs="Arial"/>
          <w:sz w:val="20"/>
          <w:szCs w:val="22"/>
        </w:rPr>
      </w:pPr>
      <w:r>
        <w:rPr>
          <w:rFonts w:cs="Arial"/>
          <w:sz w:val="20"/>
          <w:szCs w:val="22"/>
        </w:rPr>
      </w:r>
    </w:p>
    <w:p>
      <w:pPr>
        <w:pStyle w:val="Normal"/>
        <w:rPr>
          <w:rFonts w:cs="Arial"/>
          <w:sz w:val="20"/>
          <w:szCs w:val="22"/>
        </w:rPr>
      </w:pPr>
      <w:r>
        <w:rPr>
          <w:rFonts w:cs="Arial"/>
          <w:sz w:val="20"/>
          <w:szCs w:val="22"/>
        </w:rPr>
      </w:r>
    </w:p>
    <w:p>
      <w:pPr>
        <w:pStyle w:val="Normal"/>
        <w:numPr>
          <w:ilvl w:val="2"/>
          <w:numId w:val="7"/>
        </w:numPr>
        <w:tabs>
          <w:tab w:val="left" w:pos="1418" w:leader="none"/>
        </w:tabs>
        <w:ind w:left="2160" w:hanging="1026"/>
        <w:rPr/>
      </w:pPr>
      <w:r>
        <w:rPr>
          <w:rFonts w:eastAsia="Arial" w:cs="Arial"/>
          <w:b/>
          <w:sz w:val="24"/>
          <w:szCs w:val="22"/>
        </w:rPr>
        <w:t xml:space="preserve"> </w:t>
      </w:r>
      <w:r>
        <w:rPr>
          <w:rFonts w:cs="Arial"/>
          <w:b/>
          <w:bCs/>
          <w:sz w:val="24"/>
          <w:szCs w:val="22"/>
        </w:rPr>
        <w:t>Prime transport</w:t>
      </w:r>
      <w:r>
        <w:rPr>
          <w:rFonts w:cs="Arial"/>
          <w:b/>
          <w:szCs w:val="22"/>
        </w:rPr>
        <w:tab/>
      </w:r>
    </w:p>
    <w:p>
      <w:pPr>
        <w:pStyle w:val="Normal"/>
        <w:jc w:val="left"/>
        <w:rPr>
          <w:rFonts w:cs="Arial"/>
          <w:szCs w:val="22"/>
        </w:rPr>
      </w:pPr>
      <w:r>
        <w:rPr>
          <w:rFonts w:cs="Arial"/>
          <w:szCs w:val="22"/>
        </w:rPr>
        <w:t xml:space="preserve">Pour tous les collaborateurs de + 6 mois d’ancienneté ne disposant pas                                                                                                               de véhicule professionnel </w:t>
      </w:r>
      <w:r>
        <w:rPr>
          <w:rFonts w:cs="Arial"/>
          <w:b/>
          <w:bCs/>
          <w:szCs w:val="22"/>
        </w:rPr>
        <w:t>20 €</w:t>
      </w:r>
      <w:r>
        <w:rPr>
          <w:rFonts w:cs="Arial"/>
          <w:szCs w:val="22"/>
        </w:rPr>
        <w:t xml:space="preserve"> </w:t>
      </w:r>
      <w:r>
        <w:rPr>
          <w:rFonts w:cs="Arial"/>
          <w:b/>
          <w:szCs w:val="22"/>
        </w:rPr>
        <w:t>par mois</w:t>
      </w:r>
      <w:r>
        <w:rPr>
          <w:rFonts w:cs="Arial"/>
          <w:szCs w:val="22"/>
        </w:rPr>
        <w:t>, poursuite de l’accord d’entreprise « Prime transport » signé le 12 mai 2022.</w:t>
      </w:r>
    </w:p>
    <w:p>
      <w:pPr>
        <w:pStyle w:val="Normal"/>
        <w:tabs>
          <w:tab w:val="left" w:pos="1701" w:leader="none"/>
          <w:tab w:val="left" w:pos="2835" w:leader="none"/>
        </w:tabs>
        <w:rPr>
          <w:rFonts w:cs="Arial"/>
          <w:szCs w:val="22"/>
        </w:rPr>
      </w:pPr>
      <w:r>
        <w:rPr>
          <w:rFonts w:cs="Arial"/>
          <w:szCs w:val="22"/>
        </w:rPr>
        <w:t>Cette mesure s’applique pour l’année 2023.</w:t>
      </w:r>
    </w:p>
    <w:p>
      <w:pPr>
        <w:pStyle w:val="Normal"/>
        <w:tabs>
          <w:tab w:val="left" w:pos="1701" w:leader="none"/>
          <w:tab w:val="left" w:pos="2835" w:leader="none"/>
        </w:tabs>
        <w:rPr>
          <w:rFonts w:cs="Arial"/>
          <w:szCs w:val="22"/>
        </w:rPr>
      </w:pPr>
      <w:r>
        <w:rPr>
          <w:rFonts w:cs="Arial"/>
          <w:szCs w:val="22"/>
        </w:rPr>
      </w:r>
    </w:p>
    <w:p>
      <w:pPr>
        <w:pStyle w:val="Normal"/>
        <w:tabs>
          <w:tab w:val="left" w:pos="1701" w:leader="none"/>
          <w:tab w:val="left" w:pos="2835" w:leader="none"/>
        </w:tabs>
        <w:rPr>
          <w:rFonts w:cs="Arial"/>
          <w:szCs w:val="22"/>
        </w:rPr>
      </w:pPr>
      <w:r>
        <w:rPr>
          <w:rFonts w:cs="Arial"/>
          <w:szCs w:val="22"/>
        </w:rPr>
      </w:r>
    </w:p>
    <w:p>
      <w:pPr>
        <w:pStyle w:val="Normal"/>
        <w:numPr>
          <w:ilvl w:val="2"/>
          <w:numId w:val="9"/>
        </w:numPr>
        <w:tabs>
          <w:tab w:val="left" w:pos="1418" w:leader="none"/>
        </w:tabs>
        <w:ind w:left="2160" w:hanging="1026"/>
        <w:rPr>
          <w:rFonts w:cs="Arial"/>
          <w:b/>
          <w:b/>
          <w:sz w:val="24"/>
        </w:rPr>
      </w:pPr>
      <w:r>
        <w:rPr>
          <w:rFonts w:cs="Arial"/>
          <w:b/>
          <w:bCs/>
          <w:sz w:val="24"/>
        </w:rPr>
        <w:t>Bien-être au travail</w:t>
      </w:r>
    </w:p>
    <w:p>
      <w:pPr>
        <w:pStyle w:val="Normal"/>
        <w:tabs>
          <w:tab w:val="left" w:pos="1701" w:leader="none"/>
          <w:tab w:val="left" w:pos="2835" w:leader="none"/>
        </w:tabs>
        <w:spacing w:before="0" w:after="0"/>
        <w:rPr>
          <w:rFonts w:cs="Arial"/>
          <w:b/>
          <w:b/>
          <w:sz w:val="24"/>
        </w:rPr>
      </w:pPr>
      <w:r>
        <w:rPr>
          <w:rFonts w:cs="Arial"/>
          <w:b/>
          <w:sz w:val="24"/>
        </w:rPr>
      </w:r>
    </w:p>
    <w:p>
      <w:pPr>
        <w:pStyle w:val="Normal"/>
        <w:tabs>
          <w:tab w:val="left" w:pos="1701" w:leader="none"/>
          <w:tab w:val="left" w:pos="2835" w:leader="none"/>
        </w:tabs>
        <w:rPr>
          <w:rFonts w:cs="Arial"/>
          <w:szCs w:val="22"/>
        </w:rPr>
      </w:pPr>
      <w:r>
        <w:rPr>
          <w:rFonts w:cs="Arial"/>
          <w:szCs w:val="22"/>
        </w:rPr>
        <w:t xml:space="preserve">La qualité de vie au travail est facteur d’attractivité et de fidélisation des salariés ainsi qu’une condition importante sur l’engagement et la productivité. </w:t>
      </w:r>
    </w:p>
    <w:p>
      <w:pPr>
        <w:pStyle w:val="Normal"/>
        <w:tabs>
          <w:tab w:val="left" w:pos="1701" w:leader="none"/>
          <w:tab w:val="left" w:pos="2835" w:leader="none"/>
        </w:tabs>
        <w:rPr/>
      </w:pPr>
      <w:r>
        <w:rPr>
          <w:rFonts w:cs="Arial"/>
          <w:szCs w:val="22"/>
        </w:rPr>
        <w:t>Dans le cadre de sa politique de prévention des Risques Psycho-Sociaux, la Direction et l’organisation syndicale se sont entendues pour poursuivre les actions mises en place depuis 2018.</w:t>
      </w:r>
    </w:p>
    <w:p>
      <w:pPr>
        <w:pStyle w:val="Normal"/>
        <w:tabs>
          <w:tab w:val="left" w:pos="1701" w:leader="none"/>
          <w:tab w:val="left" w:pos="2835" w:leader="none"/>
        </w:tabs>
        <w:rPr/>
      </w:pPr>
      <w:r>
        <w:rPr>
          <w:rFonts w:cs="Arial"/>
          <w:szCs w:val="22"/>
        </w:rPr>
        <w:t xml:space="preserve">Une </w:t>
      </w:r>
      <w:r>
        <w:rPr>
          <w:rFonts w:cs="Arial"/>
          <w:b/>
          <w:szCs w:val="22"/>
        </w:rPr>
        <w:t>carte bien être</w:t>
      </w:r>
      <w:r>
        <w:rPr>
          <w:rFonts w:cs="Arial"/>
          <w:szCs w:val="22"/>
        </w:rPr>
        <w:t xml:space="preserve"> se poursuivra à hauteur de </w:t>
      </w:r>
      <w:r>
        <w:rPr>
          <w:rFonts w:cs="Arial"/>
          <w:b/>
          <w:szCs w:val="22"/>
        </w:rPr>
        <w:t>50 € maxi par salarié</w:t>
      </w:r>
      <w:r>
        <w:rPr>
          <w:rFonts w:cs="Arial"/>
          <w:szCs w:val="22"/>
        </w:rPr>
        <w:t>, pour participer aux séances de luminothérapie et de massage de bien être, à effet non thérapeutique d’une durée de 30 minutes, et autres activités qui pourront être effectives au cours de l’année (yoga, ateliers divers).</w:t>
      </w:r>
    </w:p>
    <w:p>
      <w:pPr>
        <w:pStyle w:val="Normal"/>
        <w:tabs>
          <w:tab w:val="left" w:pos="1701" w:leader="none"/>
          <w:tab w:val="left" w:pos="2835" w:leader="none"/>
        </w:tabs>
        <w:rPr>
          <w:rFonts w:cs="Arial"/>
          <w:szCs w:val="22"/>
        </w:rPr>
      </w:pPr>
      <w:r>
        <w:rPr>
          <w:rFonts w:cs="Arial"/>
          <w:szCs w:val="22"/>
        </w:rPr>
        <w:t>Les séances seront réalisées entre 12 H et 14 H en dehors du temps de travail effectif, sur le lieu de travail.</w:t>
      </w:r>
    </w:p>
    <w:p>
      <w:pPr>
        <w:pStyle w:val="Normal"/>
        <w:tabs>
          <w:tab w:val="left" w:pos="1701" w:leader="none"/>
          <w:tab w:val="left" w:pos="2835" w:leader="none"/>
        </w:tabs>
        <w:rPr>
          <w:rFonts w:cs="Arial"/>
          <w:szCs w:val="22"/>
        </w:rPr>
      </w:pPr>
      <w:r>
        <w:rPr>
          <w:rFonts w:cs="Arial"/>
          <w:szCs w:val="22"/>
        </w:rPr>
        <w:t>Les dépassements resteront à la charge du salarié.</w:t>
      </w:r>
    </w:p>
    <w:p>
      <w:pPr>
        <w:pStyle w:val="Normal"/>
        <w:tabs>
          <w:tab w:val="left" w:pos="1701" w:leader="none"/>
          <w:tab w:val="left" w:pos="2835" w:leader="none"/>
        </w:tabs>
        <w:rPr/>
      </w:pPr>
      <w:r>
        <w:rPr>
          <w:rFonts w:cs="Arial"/>
          <w:szCs w:val="22"/>
        </w:rPr>
        <w:t xml:space="preserve">La Direction et l’organisation syndicale soucieuses des conditions de bien être des salariés se sont entendues pour l’achat de vêtements de confort ou accessoires liés au bien-être du salarié non déterminé à ce jour. </w:t>
      </w:r>
    </w:p>
    <w:p>
      <w:pPr>
        <w:pStyle w:val="Normal"/>
        <w:tabs>
          <w:tab w:val="left" w:pos="1701" w:leader="none"/>
          <w:tab w:val="left" w:pos="2835" w:leader="none"/>
        </w:tabs>
        <w:rPr>
          <w:rFonts w:cs="Arial"/>
          <w:szCs w:val="22"/>
        </w:rPr>
      </w:pPr>
      <w:r>
        <w:rPr>
          <w:rFonts w:cs="Arial"/>
          <w:szCs w:val="22"/>
        </w:rPr>
        <w:t>Les dépassements resteront à la charge du salarié.</w:t>
      </w:r>
    </w:p>
    <w:p>
      <w:pPr>
        <w:pStyle w:val="Normal"/>
        <w:tabs>
          <w:tab w:val="left" w:pos="1701" w:leader="none"/>
          <w:tab w:val="left" w:pos="2835" w:leader="none"/>
        </w:tabs>
        <w:rPr>
          <w:rFonts w:cs="Arial"/>
          <w:szCs w:val="22"/>
        </w:rPr>
      </w:pPr>
      <w:r>
        <w:rPr>
          <w:rFonts w:cs="Arial"/>
          <w:szCs w:val="22"/>
        </w:rPr>
        <w:t>Cette mesure s’applique pour l’année 2023.</w:t>
      </w:r>
    </w:p>
    <w:p>
      <w:pPr>
        <w:pStyle w:val="Normal"/>
        <w:tabs>
          <w:tab w:val="left" w:pos="1701" w:leader="none"/>
          <w:tab w:val="left" w:pos="2835" w:leader="none"/>
        </w:tabs>
        <w:rPr>
          <w:rFonts w:cs="Arial"/>
          <w:szCs w:val="22"/>
        </w:rPr>
      </w:pPr>
      <w:r>
        <w:rPr>
          <w:rFonts w:cs="Arial"/>
          <w:szCs w:val="22"/>
        </w:rPr>
      </w:r>
    </w:p>
    <w:p>
      <w:pPr>
        <w:pStyle w:val="Normal"/>
        <w:rPr>
          <w:rFonts w:cs="Arial"/>
          <w:color w:val="333333"/>
          <w:szCs w:val="22"/>
        </w:rPr>
      </w:pPr>
      <w:r>
        <w:rPr>
          <w:rFonts w:cs="Arial"/>
          <w:color w:val="333333"/>
          <w:szCs w:val="22"/>
        </w:rPr>
      </w:r>
    </w:p>
    <w:p>
      <w:pPr>
        <w:pStyle w:val="Normal"/>
        <w:numPr>
          <w:ilvl w:val="2"/>
          <w:numId w:val="9"/>
        </w:numPr>
        <w:ind w:left="1560" w:hanging="426"/>
        <w:rPr>
          <w:rFonts w:cs="Arial"/>
          <w:b/>
          <w:b/>
          <w:sz w:val="24"/>
        </w:rPr>
      </w:pPr>
      <w:r>
        <w:rPr>
          <w:rFonts w:cs="Arial"/>
          <w:b/>
          <w:bCs/>
          <w:sz w:val="24"/>
        </w:rPr>
        <w:t>« Politique de mobilité verte et forfait mobilité durable », une aide à la santé</w:t>
      </w:r>
    </w:p>
    <w:p>
      <w:pPr>
        <w:pStyle w:val="Normal"/>
        <w:tabs>
          <w:tab w:val="left" w:pos="1701" w:leader="none"/>
          <w:tab w:val="left" w:pos="2835" w:leader="none"/>
        </w:tabs>
        <w:spacing w:before="0" w:after="0"/>
        <w:rPr>
          <w:rFonts w:cs="Arial"/>
          <w:b/>
          <w:b/>
          <w:sz w:val="24"/>
        </w:rPr>
      </w:pPr>
      <w:r>
        <w:rPr>
          <w:rFonts w:cs="Arial"/>
          <w:b/>
          <w:sz w:val="24"/>
        </w:rPr>
      </w:r>
    </w:p>
    <w:p>
      <w:pPr>
        <w:pStyle w:val="Normal"/>
        <w:tabs>
          <w:tab w:val="left" w:pos="1701" w:leader="none"/>
          <w:tab w:val="left" w:pos="2835" w:leader="none"/>
        </w:tabs>
        <w:rPr/>
      </w:pPr>
      <w:r>
        <w:rPr>
          <w:rFonts w:cs="Arial"/>
          <w:sz w:val="21"/>
          <w:szCs w:val="21"/>
        </w:rPr>
        <w:t>La mobilité verte favorise</w:t>
      </w:r>
      <w:r>
        <w:rPr>
          <w:rFonts w:cs="Arial"/>
          <w:b/>
          <w:sz w:val="21"/>
          <w:szCs w:val="21"/>
        </w:rPr>
        <w:t xml:space="preserve"> </w:t>
      </w:r>
      <w:r>
        <w:rPr>
          <w:rStyle w:val="StrongEmphasis"/>
          <w:rFonts w:cs="Arial"/>
          <w:b w:val="false"/>
          <w:sz w:val="21"/>
          <w:szCs w:val="21"/>
        </w:rPr>
        <w:t>l’utilisation des moyens de déplacement moins polluants pour l’environnement</w:t>
      </w:r>
      <w:r>
        <w:rPr>
          <w:rFonts w:cs="Arial"/>
          <w:b/>
          <w:sz w:val="21"/>
          <w:szCs w:val="21"/>
        </w:rPr>
        <w:t>.</w:t>
      </w:r>
    </w:p>
    <w:p>
      <w:pPr>
        <w:pStyle w:val="Normal"/>
        <w:tabs>
          <w:tab w:val="left" w:pos="1701" w:leader="none"/>
          <w:tab w:val="left" w:pos="2835" w:leader="none"/>
        </w:tabs>
        <w:rPr/>
      </w:pPr>
      <w:r>
        <w:rPr>
          <w:rFonts w:cs="Arial"/>
          <w:szCs w:val="22"/>
        </w:rPr>
        <w:t>La Direction et l’organisation syndicale</w:t>
      </w:r>
      <w:r>
        <w:rPr>
          <w:rFonts w:cs="Arial"/>
          <w:sz w:val="21"/>
          <w:szCs w:val="21"/>
        </w:rPr>
        <w:t xml:space="preserve"> voient la mobilité verte comme un enjeu, les motivations sont ainsi environnementales, mais aussi économiques et sociétales.</w:t>
      </w:r>
    </w:p>
    <w:p>
      <w:pPr>
        <w:pStyle w:val="Normal"/>
        <w:tabs>
          <w:tab w:val="left" w:pos="1701" w:leader="none"/>
          <w:tab w:val="left" w:pos="2835" w:leader="none"/>
        </w:tabs>
        <w:rPr>
          <w:rFonts w:cs="Arial"/>
          <w:szCs w:val="22"/>
        </w:rPr>
      </w:pPr>
      <w:r>
        <w:rPr>
          <w:rFonts w:cs="Arial"/>
          <w:sz w:val="21"/>
          <w:szCs w:val="21"/>
        </w:rPr>
        <w:t xml:space="preserve">Pour encourager les collaborateurs à utiliser des moyens de transports moins polluants, </w:t>
      </w:r>
      <w:r>
        <w:rPr>
          <w:rFonts w:cs="Arial"/>
          <w:szCs w:val="22"/>
        </w:rPr>
        <w:t>la Direction et l’organisation syndicale se sont entendues pour la prise en charge d’un forfait mobilité durable d’un montant forfaitaire à</w:t>
      </w:r>
      <w:r>
        <w:rPr>
          <w:rFonts w:cs="Arial"/>
          <w:sz w:val="21"/>
          <w:szCs w:val="21"/>
        </w:rPr>
        <w:t xml:space="preserve"> hauteur de </w:t>
      </w:r>
      <w:r>
        <w:rPr>
          <w:rFonts w:cs="Arial"/>
          <w:b/>
          <w:szCs w:val="22"/>
        </w:rPr>
        <w:t>10 € / mois</w:t>
      </w:r>
      <w:r>
        <w:rPr>
          <w:rFonts w:cs="Arial"/>
          <w:szCs w:val="22"/>
        </w:rPr>
        <w:t xml:space="preserve"> pour tous les collaborateurs réalisant au minimum 800 km de vélo par an pour se rendre sur leur lieu de travail.</w:t>
      </w:r>
    </w:p>
    <w:p>
      <w:pPr>
        <w:pStyle w:val="Normal"/>
        <w:tabs>
          <w:tab w:val="left" w:pos="1701" w:leader="none"/>
          <w:tab w:val="left" w:pos="2835" w:leader="none"/>
        </w:tabs>
        <w:rPr>
          <w:rFonts w:cs="Arial"/>
          <w:sz w:val="21"/>
          <w:szCs w:val="21"/>
        </w:rPr>
      </w:pPr>
      <w:r>
        <w:rPr>
          <w:rFonts w:cs="Arial"/>
          <w:szCs w:val="22"/>
        </w:rPr>
        <w:t>Le collaborateur devra le justifier par une attestation sur l’honneur.</w:t>
      </w:r>
    </w:p>
    <w:p>
      <w:pPr>
        <w:pStyle w:val="Normal"/>
        <w:tabs>
          <w:tab w:val="left" w:pos="1701" w:leader="none"/>
          <w:tab w:val="left" w:pos="2835" w:leader="none"/>
        </w:tabs>
        <w:rPr/>
      </w:pPr>
      <w:r>
        <w:rPr>
          <w:rFonts w:cs="Arial"/>
          <w:szCs w:val="22"/>
        </w:rPr>
        <w:t>Cette mesure s’applique pour l’année 2023.</w:t>
      </w:r>
    </w:p>
    <w:p>
      <w:pPr>
        <w:pStyle w:val="Normal"/>
        <w:tabs>
          <w:tab w:val="left" w:pos="1701" w:leader="none"/>
          <w:tab w:val="left" w:pos="2835" w:leader="none"/>
        </w:tabs>
        <w:rPr>
          <w:rFonts w:cs="Arial"/>
          <w:szCs w:val="22"/>
        </w:rPr>
      </w:pPr>
      <w:r>
        <w:rPr>
          <w:rFonts w:cs="Arial"/>
          <w:szCs w:val="22"/>
        </w:rPr>
      </w:r>
    </w:p>
    <w:p>
      <w:pPr>
        <w:pStyle w:val="Normal"/>
        <w:tabs>
          <w:tab w:val="left" w:pos="1701" w:leader="none"/>
          <w:tab w:val="left" w:pos="2835" w:leader="none"/>
        </w:tabs>
        <w:rPr>
          <w:rFonts w:cs="Arial"/>
          <w:szCs w:val="22"/>
        </w:rPr>
      </w:pPr>
      <w:r>
        <w:rPr>
          <w:rFonts w:cs="Arial"/>
          <w:szCs w:val="22"/>
        </w:rPr>
      </w:r>
    </w:p>
    <w:p>
      <w:pPr>
        <w:pStyle w:val="Normal"/>
        <w:tabs>
          <w:tab w:val="left" w:pos="1701" w:leader="none"/>
          <w:tab w:val="left" w:pos="2835" w:leader="none"/>
        </w:tabs>
        <w:rPr>
          <w:rFonts w:cs="Arial"/>
          <w:szCs w:val="22"/>
        </w:rPr>
      </w:pPr>
      <w:r>
        <w:rPr>
          <w:rFonts w:cs="Arial"/>
          <w:szCs w:val="22"/>
        </w:rPr>
      </w:r>
    </w:p>
    <w:p>
      <w:pPr>
        <w:pStyle w:val="TextBodyIndent"/>
        <w:pBdr>
          <w:top w:val="single" w:sz="4" w:space="1" w:color="000000" w:shadow="1"/>
          <w:left w:val="single" w:sz="4" w:space="4" w:color="000000" w:shadow="1"/>
          <w:bottom w:val="single" w:sz="4" w:space="1" w:color="000000" w:shadow="1"/>
          <w:right w:val="single" w:sz="4" w:space="4" w:color="000000" w:shadow="1"/>
        </w:pBdr>
        <w:shd w:fill="D9D9D9" w:val="clear"/>
        <w:spacing w:before="0" w:after="0"/>
        <w:ind w:left="360" w:hanging="360"/>
        <w:jc w:val="left"/>
        <w:rPr>
          <w:rFonts w:cs="Arial"/>
          <w:b/>
          <w:b/>
          <w:caps/>
          <w:sz w:val="24"/>
          <w:szCs w:val="22"/>
          <w:lang w:val="fr-FR"/>
        </w:rPr>
      </w:pPr>
      <w:r>
        <w:rPr>
          <w:rFonts w:cs="Arial"/>
          <w:b/>
          <w:caps/>
          <w:sz w:val="24"/>
          <w:szCs w:val="22"/>
          <w:lang w:val="fr-FR"/>
        </w:rPr>
        <w:t>PUBLICITE – dépôt DE L’accord</w:t>
      </w:r>
    </w:p>
    <w:p>
      <w:pPr>
        <w:pStyle w:val="Normal"/>
        <w:tabs>
          <w:tab w:val="left" w:pos="1701" w:leader="none"/>
          <w:tab w:val="left" w:pos="2835" w:leader="none"/>
        </w:tabs>
        <w:rPr>
          <w:rFonts w:cs="Arial"/>
          <w:b/>
          <w:b/>
          <w:caps/>
          <w:sz w:val="24"/>
          <w:szCs w:val="22"/>
          <w:lang w:val="fr-FR"/>
        </w:rPr>
      </w:pPr>
      <w:r>
        <w:rPr>
          <w:rFonts w:cs="Arial"/>
          <w:b/>
          <w:caps/>
          <w:sz w:val="24"/>
          <w:szCs w:val="22"/>
          <w:lang w:val="fr-FR"/>
        </w:rPr>
      </w:r>
    </w:p>
    <w:p>
      <w:pPr>
        <w:pStyle w:val="Normal"/>
        <w:spacing w:before="0" w:after="0"/>
        <w:rPr/>
      </w:pPr>
      <w:r>
        <w:rPr>
          <w:rFonts w:cs="Arial"/>
          <w:szCs w:val="22"/>
        </w:rPr>
        <w:t xml:space="preserve">Le présent accord sera déposé par la Société en deux exemplaires (une version sur support électronique au format PDF et une version anonymisée sur support électronique au format DOCX, sur la plateforme de téléprocédure du ministère du travail </w:t>
      </w:r>
      <w:hyperlink r:id="rId2">
        <w:r>
          <w:rPr>
            <w:rStyle w:val="InternetLink"/>
            <w:rFonts w:cs="Arial"/>
            <w:szCs w:val="22"/>
          </w:rPr>
          <w:t>www.teleaccords.travail-emploi.gouv.fr</w:t>
        </w:r>
      </w:hyperlink>
      <w:r>
        <w:rPr>
          <w:rFonts w:cs="Arial"/>
          <w:szCs w:val="22"/>
        </w:rPr>
        <w:t>) pour la Direction Régionale des Entreprises, de la Concurrence, de la Consommation, du Travail et de l’Emploi de l’Aisne, accompagné de la liste des établissements dans lesquels l’accord est applicable.</w:t>
      </w:r>
    </w:p>
    <w:p>
      <w:pPr>
        <w:pStyle w:val="Normal"/>
        <w:spacing w:before="0" w:after="0"/>
        <w:rPr>
          <w:rFonts w:cs="Arial"/>
          <w:szCs w:val="22"/>
        </w:rPr>
      </w:pPr>
      <w:r>
        <w:rPr>
          <w:rFonts w:cs="Arial"/>
          <w:szCs w:val="22"/>
        </w:rPr>
      </w:r>
    </w:p>
    <w:p>
      <w:pPr>
        <w:pStyle w:val="Normal"/>
        <w:spacing w:before="0" w:after="0"/>
        <w:rPr/>
      </w:pPr>
      <w:r>
        <w:rPr>
          <w:rFonts w:cs="Arial"/>
          <w:szCs w:val="22"/>
        </w:rPr>
        <w:t>Un exemplaire sera adressé au Conseil des Prud’hommes de Saint-Quentin.</w:t>
      </w:r>
    </w:p>
    <w:p>
      <w:pPr>
        <w:pStyle w:val="Normal"/>
        <w:spacing w:before="0" w:after="0"/>
        <w:rPr>
          <w:rFonts w:cs="Arial"/>
          <w:szCs w:val="22"/>
        </w:rPr>
      </w:pPr>
      <w:r>
        <w:rPr>
          <w:rFonts w:cs="Arial"/>
          <w:szCs w:val="22"/>
        </w:rPr>
      </w:r>
    </w:p>
    <w:p>
      <w:pPr>
        <w:pStyle w:val="Normal"/>
        <w:tabs>
          <w:tab w:val="left" w:pos="1701" w:leader="none"/>
          <w:tab w:val="left" w:pos="2835" w:leader="none"/>
        </w:tabs>
        <w:rPr>
          <w:rFonts w:cs="Arial"/>
          <w:szCs w:val="22"/>
        </w:rPr>
      </w:pPr>
      <w:r>
        <w:rPr>
          <w:rFonts w:cs="Arial"/>
          <w:szCs w:val="22"/>
        </w:rPr>
      </w:r>
    </w:p>
    <w:p>
      <w:pPr>
        <w:pStyle w:val="Normal"/>
        <w:ind w:left="4956" w:hanging="0"/>
        <w:rPr>
          <w:rFonts w:cs="Arial"/>
          <w:szCs w:val="22"/>
        </w:rPr>
      </w:pPr>
      <w:r>
        <w:rPr>
          <w:rFonts w:cs="Arial"/>
          <w:szCs w:val="22"/>
        </w:rPr>
      </w:r>
    </w:p>
    <w:p>
      <w:pPr>
        <w:pStyle w:val="Normal"/>
        <w:ind w:left="4956" w:firstLine="714"/>
        <w:rPr>
          <w:rFonts w:cs="Arial"/>
        </w:rPr>
      </w:pPr>
      <w:r>
        <w:rPr>
          <w:rFonts w:cs="Arial"/>
        </w:rPr>
        <w:t>Fait à Saint-Quentin,</w:t>
      </w:r>
    </w:p>
    <w:p>
      <w:pPr>
        <w:pStyle w:val="Normal"/>
        <w:ind w:left="4956" w:firstLine="714"/>
        <w:rPr>
          <w:rFonts w:cs="Arial"/>
        </w:rPr>
      </w:pPr>
      <w:r>
        <w:rPr>
          <w:rFonts w:cs="Arial"/>
        </w:rPr>
        <w:t>Le 7 décembre 2022</w:t>
      </w:r>
    </w:p>
    <w:p>
      <w:pPr>
        <w:pStyle w:val="Normal"/>
        <w:ind w:left="4956" w:firstLine="714"/>
        <w:rPr>
          <w:rFonts w:cs="Arial"/>
        </w:rPr>
      </w:pPr>
      <w:r>
        <w:rPr>
          <w:rFonts w:cs="Arial"/>
        </w:rPr>
        <w:t>(En 4 exemplaires originaux)</w:t>
      </w:r>
    </w:p>
    <w:p>
      <w:pPr>
        <w:pStyle w:val="Normal"/>
        <w:ind w:left="4956" w:hanging="0"/>
        <w:rPr>
          <w:rFonts w:cs="Arial"/>
        </w:rPr>
      </w:pPr>
      <w:r>
        <w:rPr>
          <w:rFonts w:cs="Arial"/>
        </w:rPr>
      </w:r>
    </w:p>
    <w:p>
      <w:pPr>
        <w:pStyle w:val="Normal"/>
        <w:ind w:left="4956" w:hanging="0"/>
        <w:rPr>
          <w:rFonts w:cs="Arial"/>
        </w:rPr>
      </w:pPr>
      <w:r>
        <w:rPr>
          <w:rFonts w:cs="Arial"/>
        </w:rPr>
      </w:r>
    </w:p>
    <w:p>
      <w:pPr>
        <w:pStyle w:val="Normal"/>
        <w:rPr>
          <w:rFonts w:cs="Arial"/>
          <w:szCs w:val="22"/>
        </w:rPr>
      </w:pPr>
      <w:r>
        <w:rPr>
          <w:rFonts w:cs="Arial"/>
          <w:szCs w:val="22"/>
        </w:rPr>
      </w:r>
    </w:p>
    <w:p>
      <w:pPr>
        <w:pStyle w:val="Normal"/>
        <w:rPr>
          <w:rFonts w:cs="Arial"/>
          <w:szCs w:val="22"/>
        </w:rPr>
      </w:pPr>
      <w:r>
        <w:rPr>
          <w:rFonts w:cs="Arial"/>
          <w:szCs w:val="22"/>
        </w:rPr>
      </w:r>
    </w:p>
    <w:p>
      <w:pPr>
        <w:pStyle w:val="Normal"/>
        <w:tabs>
          <w:tab w:val="left" w:pos="5670" w:leader="none"/>
        </w:tabs>
        <w:spacing w:before="0" w:after="0"/>
        <w:rPr/>
      </w:pPr>
      <w:r>
        <w:rPr>
          <w:rFonts w:cs="Arial"/>
          <w:b/>
          <w:szCs w:val="22"/>
        </w:rPr>
        <w:t xml:space="preserve">Pour la Société TERNOVEO </w:t>
        <w:tab/>
        <w:t>Pour la C.F.D.T</w:t>
      </w:r>
    </w:p>
    <w:p>
      <w:pPr>
        <w:pStyle w:val="Normal"/>
        <w:tabs>
          <w:tab w:val="left" w:pos="5670" w:leader="none"/>
        </w:tabs>
        <w:spacing w:before="0" w:after="0"/>
        <w:rPr>
          <w:rFonts w:cs="Arial"/>
          <w:b/>
          <w:b/>
          <w:szCs w:val="22"/>
        </w:rPr>
      </w:pPr>
      <w:r>
        <w:rPr>
          <w:rFonts w:cs="Arial"/>
          <w:b/>
          <w:szCs w:val="22"/>
        </w:rPr>
        <w:t>Monsieur XXX</w:t>
        <w:tab/>
        <w:t>Madame XXX</w:t>
      </w:r>
    </w:p>
    <w:p>
      <w:pPr>
        <w:pStyle w:val="Normal"/>
        <w:rPr>
          <w:rFonts w:cs="Arial"/>
          <w:b/>
          <w:b/>
          <w:szCs w:val="22"/>
        </w:rPr>
      </w:pPr>
      <w:r>
        <w:rPr>
          <w:rFonts w:cs="Arial"/>
          <w:b/>
          <w:szCs w:val="22"/>
        </w:rPr>
      </w:r>
    </w:p>
    <w:p>
      <w:pPr>
        <w:pStyle w:val="Normal"/>
        <w:rPr>
          <w:rFonts w:cs="Arial"/>
          <w:b/>
          <w:b/>
          <w:szCs w:val="22"/>
        </w:rPr>
      </w:pPr>
      <w:r>
        <w:rPr>
          <w:rFonts w:cs="Arial"/>
          <w:b/>
          <w:szCs w:val="22"/>
        </w:rPr>
      </w:r>
    </w:p>
    <w:p>
      <w:pPr>
        <w:pStyle w:val="Normal"/>
        <w:rPr>
          <w:rFonts w:cs="Arial"/>
          <w:b/>
          <w:b/>
          <w:szCs w:val="22"/>
        </w:rPr>
      </w:pPr>
      <w:r>
        <w:rPr>
          <w:rFonts w:cs="Arial"/>
          <w:b/>
          <w:szCs w:val="22"/>
        </w:rPr>
      </w:r>
    </w:p>
    <w:p>
      <w:pPr>
        <w:pStyle w:val="Normal"/>
        <w:rPr>
          <w:rFonts w:cs="Arial"/>
          <w:b/>
          <w:b/>
          <w:szCs w:val="22"/>
        </w:rPr>
      </w:pPr>
      <w:bookmarkStart w:id="0" w:name="_PictureBullets"/>
      <w:bookmarkStart w:id="1" w:name="_PictureBullets"/>
      <w:bookmarkEnd w:id="1"/>
      <w:r>
        <w:rPr>
          <w:rFonts w:cs="Arial"/>
          <w:vanish/>
        </w:rPr>
      </w:r>
    </w:p>
    <w:sectPr>
      <w:footerReference w:type="default" r:id="rId3"/>
      <w:type w:val="nextPage"/>
      <w:pgSz w:w="11906" w:h="16838"/>
      <w:pgMar w:left="1418" w:right="1418" w:header="0" w:top="1418" w:footer="709"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Arial Narrow">
    <w:charset w:val="00"/>
    <w:family w:val="swiss"/>
    <w:pitch w:val="variable"/>
  </w:font>
  <w:font w:name="Old English Text MT">
    <w:charset w:val="00"/>
    <w:family w:val="script"/>
    <w:pitch w:val="variable"/>
  </w:font>
  <w:font w:name="Tahoma">
    <w:charset w:val="00"/>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enter" w:pos="4536" w:leader="none"/>
        <w:tab w:val="right" w:pos="9072" w:leader="none"/>
      </w:tabs>
      <w:spacing w:before="120" w:after="0"/>
      <w:rPr/>
    </w:pPr>
    <w:r>
      <w:rPr>
        <w:rStyle w:val="PageNumber"/>
      </w:rPr>
      <w:tab/>
    </w:r>
    <w:r>
      <w:rPr>
        <w:rStyle w:val="PageNumber"/>
      </w:rPr>
      <w:fldChar w:fldCharType="begin"/>
    </w:r>
    <w:r>
      <w:instrText> PAGE </w:instrText>
    </w:r>
    <w:r>
      <w:fldChar w:fldCharType="separate"/>
    </w:r>
    <w:r>
      <w:t>4</w:t>
    </w:r>
    <w:r>
      <w:fldChar w:fldCharType="end"/>
    </w:r>
    <w:r>
      <w:rPr>
        <w:rStyle w:val="PageNumber"/>
      </w:rPr>
      <w:t>/</w:t>
    </w:r>
    <w:r>
      <w:rPr>
        <w:rStyle w:val="PageNumber"/>
      </w:rPr>
      <w:fldChar w:fldCharType="begin"/>
    </w:r>
    <w:r>
      <w:instrText> NUMPAGES \* ARABIC </w:instrText>
    </w:r>
    <w:r>
      <w:fldChar w:fldCharType="separate"/>
    </w:r>
    <w:r>
      <w:t>4</w:t>
    </w:r>
    <w:r>
      <w:fldChar w:fldCharType="end"/>
    </w:r>
    <w:r>
      <w:rPr>
        <w:rStyle w:val="PageNumber"/>
      </w:rPr>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w:numPicBullet w:numPicBulletId="0">
    <w:pict>
      <v:shape style="width:17.25pt;height:42.75pt" o:bullet="t">
        <v:imagedata r:id="rId1" o:title=""/>
      </v:shape>
    </w:pict>
  </w:numPicBullet>
  <w:abstractNum w:abstractNumId="1">
    <w:lvl w:ilvl="0">
      <w:start w:val="1"/>
      <w:pStyle w:val="Heading1"/>
      <w:numFmt w:val="decimal"/>
      <w:lvlText w:val="CHAPITRE %1."/>
      <w:lvlJc w:val="left"/>
      <w:pPr>
        <w:tabs>
          <w:tab w:val="num" w:pos="1800"/>
        </w:tabs>
        <w:ind w:left="567" w:hanging="567"/>
      </w:pPr>
      <w:rPr>
        <w:caps/>
        <w:sz w:val="28"/>
        <w:i w:val="false"/>
        <w:b/>
        <w:rFonts w:ascii="Arial Narrow" w:hAnsi="Arial Narrow" w:cs="Arial Narrow"/>
        <w:color w:val="0000FF"/>
      </w:rPr>
    </w:lvl>
    <w:lvl w:ilvl="1">
      <w:start w:val="1"/>
      <w:pStyle w:val="Heading2"/>
      <w:numFmt w:val="decimal"/>
      <w:lvlText w:val="Article %1.%2."/>
      <w:lvlJc w:val="left"/>
      <w:pPr>
        <w:tabs>
          <w:tab w:val="num" w:pos="1800"/>
        </w:tabs>
        <w:ind w:left="984" w:hanging="984"/>
      </w:pPr>
      <w:rPr>
        <w:sz w:val="28"/>
        <w:i w:val="false"/>
        <w:u w:val="none"/>
        <w:b/>
        <w:rFonts w:ascii="Arial" w:hAnsi="Arial" w:cs="Arial"/>
      </w:rPr>
    </w:lvl>
    <w:lvl w:ilvl="2">
      <w:start w:val="1"/>
      <w:pStyle w:val="Heading3"/>
      <w:numFmt w:val="decimal"/>
      <w:lvlText w:val="Article %1.%2.%3."/>
      <w:lvlJc w:val="left"/>
      <w:pPr>
        <w:tabs>
          <w:tab w:val="num" w:pos="2100"/>
        </w:tabs>
        <w:ind w:left="1020" w:hanging="720"/>
      </w:pPr>
      <w:rPr>
        <w:u w:val="none"/>
      </w:r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502"/>
        </w:tabs>
        <w:ind w:left="426" w:hanging="284"/>
      </w:pPr>
      <w:rPr>
        <w:rFonts w:ascii="Wingdings" w:hAnsi="Wingdings" w:cs="Wingdings" w:hint="default"/>
        <w:sz w:val="24"/>
        <w:rFonts w:cs="Wingdings"/>
        <w:color w:val="auto"/>
      </w:rPr>
    </w:lvl>
  </w:abstractNum>
  <w:abstractNum w:abstractNumId="3">
    <w:lvl w:ilvl="0">
      <w:numFmt w:val="bullet"/>
      <w:lvlText w:val="-"/>
      <w:lvlJc w:val="left"/>
      <w:pPr>
        <w:ind w:left="644" w:hanging="360"/>
      </w:pPr>
      <w:rPr>
        <w:rFonts w:ascii="Arial" w:hAnsi="Arial" w:cs="Arial" w:hint="default"/>
        <w:szCs w:val="22"/>
        <w:rFonts w:cs="Arial"/>
      </w:rPr>
    </w:lvl>
  </w:abstractNum>
  <w:abstractNum w:abstractNumId="4">
    <w:lvl w:ilvl="0">
      <w:start w:val="1"/>
      <w:numFmt w:val="bullet"/>
      <w:lvlText w:val=""/>
      <w:lvlPicBulletId w:val="0"/>
      <w:lvlJc w:val="left"/>
      <w:pPr>
        <w:tabs>
          <w:tab w:val="num" w:pos="720"/>
        </w:tabs>
        <w:ind w:left="720" w:hanging="360"/>
      </w:pPr>
      <w:rPr>
        <w:rFonts w:ascii="Symbol" w:hAnsi="Symbol" w:cs="Symbol" w:hint="default"/>
        <w:szCs w:val="22"/>
        <w:rFonts w:cs="Symbol"/>
      </w:rPr>
    </w:lvl>
    <w:lvl w:ilvl="1">
      <w:start w:val="1"/>
      <w:numFmt w:val="bullet"/>
      <w:lvlText w:val="◦"/>
      <w:lvlPicBulletId w:val="0"/>
      <w:lvlJc w:val="left"/>
      <w:pPr>
        <w:tabs>
          <w:tab w:val="num" w:pos="1440"/>
        </w:tabs>
        <w:ind w:left="1440" w:hanging="360"/>
      </w:pPr>
      <w:rPr>
        <w:rFonts w:ascii="OpenSymbol" w:hAnsi="OpenSymbol" w:cs="OpenSymbol" w:hint="default"/>
        <w:szCs w:val="22"/>
        <w:rFonts w:cs="Symbol"/>
      </w:rPr>
    </w:lvl>
    <w:lvl w:ilvl="2">
      <w:start w:val="1"/>
      <w:numFmt w:val="bullet"/>
      <w:lvlText w:val="▪"/>
      <w:lvlPicBulletId w:val="0"/>
      <w:lvlJc w:val="left"/>
      <w:pPr>
        <w:tabs>
          <w:tab w:val="num" w:pos="2160"/>
        </w:tabs>
        <w:ind w:left="2160" w:hanging="360"/>
      </w:pPr>
      <w:rPr>
        <w:rFonts w:ascii="OpenSymbol" w:hAnsi="OpenSymbol" w:cs="OpenSymbol" w:hint="default"/>
        <w:szCs w:val="22"/>
        <w:rFonts w:cs="Symbol"/>
      </w:rPr>
    </w:lvl>
    <w:lvl w:ilvl="3">
      <w:start w:val="1"/>
      <w:numFmt w:val="bullet"/>
      <w:lvlText w:val=""/>
      <w:lvlPicBulletId w:val="0"/>
      <w:lvlJc w:val="left"/>
      <w:pPr>
        <w:tabs>
          <w:tab w:val="num" w:pos="2880"/>
        </w:tabs>
        <w:ind w:left="2880" w:hanging="360"/>
      </w:pPr>
      <w:rPr>
        <w:rFonts w:ascii="Symbol" w:hAnsi="Symbol" w:cs="Symbol" w:hint="default"/>
        <w:szCs w:val="22"/>
        <w:rFonts w:cs="Symbol"/>
      </w:rPr>
    </w:lvl>
    <w:lvl w:ilvl="4">
      <w:start w:val="1"/>
      <w:numFmt w:val="bullet"/>
      <w:lvlText w:val="◦"/>
      <w:lvlPicBulletId w:val="0"/>
      <w:lvlJc w:val="left"/>
      <w:pPr>
        <w:tabs>
          <w:tab w:val="num" w:pos="3600"/>
        </w:tabs>
        <w:ind w:left="3600" w:hanging="360"/>
      </w:pPr>
      <w:rPr>
        <w:rFonts w:ascii="OpenSymbol" w:hAnsi="OpenSymbol" w:cs="OpenSymbol" w:hint="default"/>
        <w:szCs w:val="22"/>
        <w:rFonts w:cs="Symbol"/>
      </w:rPr>
    </w:lvl>
    <w:lvl w:ilvl="5">
      <w:start w:val="1"/>
      <w:numFmt w:val="bullet"/>
      <w:lvlText w:val="▪"/>
      <w:lvlPicBulletId w:val="0"/>
      <w:lvlJc w:val="left"/>
      <w:pPr>
        <w:tabs>
          <w:tab w:val="num" w:pos="4320"/>
        </w:tabs>
        <w:ind w:left="4320" w:hanging="360"/>
      </w:pPr>
      <w:rPr>
        <w:rFonts w:ascii="OpenSymbol" w:hAnsi="OpenSymbol" w:cs="OpenSymbol" w:hint="default"/>
        <w:szCs w:val="22"/>
        <w:rFonts w:cs="Symbol"/>
      </w:rPr>
    </w:lvl>
    <w:lvl w:ilvl="6">
      <w:start w:val="1"/>
      <w:numFmt w:val="bullet"/>
      <w:lvlText w:val=""/>
      <w:lvlPicBulletId w:val="0"/>
      <w:lvlJc w:val="left"/>
      <w:pPr>
        <w:tabs>
          <w:tab w:val="num" w:pos="5040"/>
        </w:tabs>
        <w:ind w:left="5040" w:hanging="360"/>
      </w:pPr>
      <w:rPr>
        <w:rFonts w:ascii="Symbol" w:hAnsi="Symbol" w:cs="Symbol" w:hint="default"/>
        <w:szCs w:val="22"/>
        <w:rFonts w:cs="Symbol"/>
      </w:rPr>
    </w:lvl>
    <w:lvl w:ilvl="7">
      <w:start w:val="1"/>
      <w:numFmt w:val="bullet"/>
      <w:lvlText w:val="◦"/>
      <w:lvlPicBulletId w:val="0"/>
      <w:lvlJc w:val="left"/>
      <w:pPr>
        <w:tabs>
          <w:tab w:val="num" w:pos="5760"/>
        </w:tabs>
        <w:ind w:left="5760" w:hanging="360"/>
      </w:pPr>
      <w:rPr>
        <w:rFonts w:ascii="OpenSymbol" w:hAnsi="OpenSymbol" w:cs="OpenSymbol" w:hint="default"/>
        <w:szCs w:val="22"/>
        <w:rFonts w:cs="Symbol"/>
      </w:rPr>
    </w:lvl>
    <w:lvl w:ilvl="8">
      <w:start w:val="1"/>
      <w:numFmt w:val="bullet"/>
      <w:lvlText w:val="▪"/>
      <w:lvlPicBulletId w:val="0"/>
      <w:lvlJc w:val="left"/>
      <w:pPr>
        <w:tabs>
          <w:tab w:val="num" w:pos="6480"/>
        </w:tabs>
        <w:ind w:left="6480" w:hanging="360"/>
      </w:pPr>
      <w:rPr>
        <w:rFonts w:ascii="OpenSymbol" w:hAnsi="OpenSymbol" w:cs="OpenSymbol" w:hint="default"/>
        <w:szCs w:val="22"/>
        <w:rFonts w:cs="Symbol"/>
      </w:rPr>
    </w:lvl>
  </w:abstractNum>
  <w:abstractNum w:abstractNumId="5">
    <w:lvl w:ilvl="0">
      <w:start w:val="1"/>
      <w:numFmt w:val="bullet"/>
      <w:lvlText w:val=""/>
      <w:lvlPicBulletId w:val="0"/>
      <w:lvlJc w:val="left"/>
      <w:pPr>
        <w:tabs>
          <w:tab w:val="num" w:pos="720"/>
        </w:tabs>
        <w:ind w:left="720" w:hanging="360"/>
      </w:pPr>
      <w:rPr>
        <w:rFonts w:ascii="Symbol" w:hAnsi="Symbol" w:cs="Symbol" w:hint="default"/>
        <w:rFonts w:cs="Symbol"/>
      </w:rPr>
    </w:lvl>
    <w:lvl w:ilvl="1">
      <w:start w:val="1"/>
      <w:numFmt w:val="bullet"/>
      <w:lvlText w:val="◦"/>
      <w:lvlPicBulletId w:val="0"/>
      <w:lvlJc w:val="left"/>
      <w:pPr>
        <w:tabs>
          <w:tab w:val="num" w:pos="1440"/>
        </w:tabs>
        <w:ind w:left="1440" w:hanging="360"/>
      </w:pPr>
      <w:rPr>
        <w:rFonts w:ascii="OpenSymbol" w:hAnsi="OpenSymbol" w:cs="OpenSymbol" w:hint="default"/>
        <w:rFonts w:cs="Symbol"/>
      </w:rPr>
    </w:lvl>
    <w:lvl w:ilvl="2">
      <w:start w:val="1"/>
      <w:numFmt w:val="bullet"/>
      <w:lvlText w:val="▪"/>
      <w:lvlPicBulletId w:val="0"/>
      <w:lvlJc w:val="left"/>
      <w:pPr>
        <w:tabs>
          <w:tab w:val="num" w:pos="708"/>
        </w:tabs>
        <w:ind w:left="2160" w:hanging="360"/>
      </w:pPr>
      <w:rPr>
        <w:rFonts w:ascii="OpenSymbol" w:hAnsi="OpenSymbol" w:cs="OpenSymbol" w:hint="default"/>
        <w:rFonts w:cs="Symbol"/>
      </w:rPr>
    </w:lvl>
    <w:lvl w:ilvl="3">
      <w:start w:val="1"/>
      <w:numFmt w:val="bullet"/>
      <w:lvlText w:val=""/>
      <w:lvlPicBulletId w:val="0"/>
      <w:lvlJc w:val="left"/>
      <w:pPr>
        <w:tabs>
          <w:tab w:val="num" w:pos="2880"/>
        </w:tabs>
        <w:ind w:left="2880" w:hanging="360"/>
      </w:pPr>
      <w:rPr>
        <w:rFonts w:ascii="Symbol" w:hAnsi="Symbol" w:cs="Symbol" w:hint="default"/>
        <w:rFonts w:cs="Symbol"/>
      </w:rPr>
    </w:lvl>
    <w:lvl w:ilvl="4">
      <w:start w:val="1"/>
      <w:numFmt w:val="bullet"/>
      <w:lvlText w:val="◦"/>
      <w:lvlPicBulletId w:val="0"/>
      <w:lvlJc w:val="left"/>
      <w:pPr>
        <w:tabs>
          <w:tab w:val="num" w:pos="3600"/>
        </w:tabs>
        <w:ind w:left="3600" w:hanging="360"/>
      </w:pPr>
      <w:rPr>
        <w:rFonts w:ascii="OpenSymbol" w:hAnsi="OpenSymbol" w:cs="OpenSymbol" w:hint="default"/>
        <w:rFonts w:cs="Symbol"/>
      </w:rPr>
    </w:lvl>
    <w:lvl w:ilvl="5">
      <w:start w:val="1"/>
      <w:numFmt w:val="bullet"/>
      <w:lvlText w:val="▪"/>
      <w:lvlPicBulletId w:val="0"/>
      <w:lvlJc w:val="left"/>
      <w:pPr>
        <w:tabs>
          <w:tab w:val="num" w:pos="4320"/>
        </w:tabs>
        <w:ind w:left="4320" w:hanging="360"/>
      </w:pPr>
      <w:rPr>
        <w:rFonts w:ascii="OpenSymbol" w:hAnsi="OpenSymbol" w:cs="OpenSymbol" w:hint="default"/>
        <w:rFonts w:cs="Symbol"/>
      </w:rPr>
    </w:lvl>
    <w:lvl w:ilvl="6">
      <w:start w:val="1"/>
      <w:numFmt w:val="bullet"/>
      <w:lvlText w:val=""/>
      <w:lvlPicBulletId w:val="0"/>
      <w:lvlJc w:val="left"/>
      <w:pPr>
        <w:tabs>
          <w:tab w:val="num" w:pos="5040"/>
        </w:tabs>
        <w:ind w:left="5040" w:hanging="360"/>
      </w:pPr>
      <w:rPr>
        <w:rFonts w:ascii="Symbol" w:hAnsi="Symbol" w:cs="Symbol" w:hint="default"/>
        <w:rFonts w:cs="Symbol"/>
      </w:rPr>
    </w:lvl>
    <w:lvl w:ilvl="7">
      <w:start w:val="1"/>
      <w:numFmt w:val="bullet"/>
      <w:lvlText w:val="◦"/>
      <w:lvlPicBulletId w:val="0"/>
      <w:lvlJc w:val="left"/>
      <w:pPr>
        <w:tabs>
          <w:tab w:val="num" w:pos="5760"/>
        </w:tabs>
        <w:ind w:left="5760" w:hanging="360"/>
      </w:pPr>
      <w:rPr>
        <w:rFonts w:ascii="OpenSymbol" w:hAnsi="OpenSymbol" w:cs="OpenSymbol" w:hint="default"/>
        <w:rFonts w:cs="Symbol"/>
      </w:rPr>
    </w:lvl>
    <w:lvl w:ilvl="8">
      <w:start w:val="1"/>
      <w:numFmt w:val="bullet"/>
      <w:lvlText w:val="▪"/>
      <w:lvlPicBulletId w:val="0"/>
      <w:lvlJc w:val="left"/>
      <w:pPr>
        <w:tabs>
          <w:tab w:val="num" w:pos="6480"/>
        </w:tabs>
        <w:ind w:left="6480" w:hanging="360"/>
      </w:pPr>
      <w:rPr>
        <w:rFonts w:ascii="OpenSymbol" w:hAnsi="OpenSymbol" w:cs="OpenSymbol" w:hint="default"/>
        <w:rFonts w:cs="Symbol"/>
      </w:rPr>
    </w:lvl>
  </w:abstractNum>
  <w:abstractNum w:abstractNumId="6">
    <w:lvl w:ilvl="0">
      <w:start w:val="1"/>
      <w:numFmt w:val="bullet"/>
      <w:lvlText w:val=""/>
      <w:lvlJc w:val="left"/>
      <w:pPr>
        <w:tabs>
          <w:tab w:val="num" w:pos="644"/>
        </w:tabs>
        <w:ind w:left="644" w:hanging="360"/>
      </w:pPr>
      <w:rPr>
        <w:rFonts w:ascii="Wingdings" w:hAnsi="Wingdings" w:cs="Wingdings" w:hint="default"/>
        <w:rFonts w:cs="Times New Roman"/>
      </w:rPr>
    </w:lvl>
    <w:lvl w:ilvl="1">
      <w:start w:val="1"/>
      <w:numFmt w:val="bullet"/>
      <w:lvlText w:val=""/>
      <w:lvlJc w:val="left"/>
      <w:pPr>
        <w:tabs>
          <w:tab w:val="num" w:pos="1287"/>
        </w:tabs>
        <w:ind w:left="1287" w:hanging="360"/>
      </w:pPr>
      <w:rPr>
        <w:rFonts w:ascii="Wingdings" w:hAnsi="Wingdings" w:cs="Wingdings" w:hint="default"/>
        <w:rFonts w:cs="Wingdings"/>
      </w:rPr>
    </w:lvl>
    <w:lvl w:ilvl="2">
      <w:start w:val="1"/>
      <w:numFmt w:val="bullet"/>
      <w:lvlText w:val=""/>
      <w:lvlJc w:val="left"/>
      <w:pPr>
        <w:tabs>
          <w:tab w:val="num" w:pos="1647"/>
        </w:tabs>
        <w:ind w:left="1647" w:hanging="360"/>
      </w:pPr>
      <w:rPr>
        <w:rFonts w:ascii="Wingdings" w:hAnsi="Wingdings" w:cs="Wingdings" w:hint="default"/>
        <w:rFonts w:cs="Wingdings"/>
      </w:rPr>
    </w:lvl>
    <w:lvl w:ilvl="3">
      <w:start w:val="1"/>
      <w:numFmt w:val="bullet"/>
      <w:lvlText w:val=""/>
      <w:lvlJc w:val="left"/>
      <w:pPr>
        <w:tabs>
          <w:tab w:val="num" w:pos="2007"/>
        </w:tabs>
        <w:ind w:left="2007" w:hanging="360"/>
      </w:pPr>
      <w:rPr>
        <w:rFonts w:ascii="Symbol" w:hAnsi="Symbol" w:cs="Symbol" w:hint="default"/>
        <w:rFonts w:cs="Symbol"/>
      </w:rPr>
    </w:lvl>
    <w:lvl w:ilvl="4">
      <w:start w:val="1"/>
      <w:numFmt w:val="bullet"/>
      <w:lvlText w:val=""/>
      <w:lvlJc w:val="left"/>
      <w:pPr>
        <w:tabs>
          <w:tab w:val="num" w:pos="2367"/>
        </w:tabs>
        <w:ind w:left="2367" w:hanging="360"/>
      </w:pPr>
      <w:rPr>
        <w:rFonts w:ascii="Symbol" w:hAnsi="Symbol" w:cs="Symbol" w:hint="default"/>
        <w:rFonts w:cs="Symbol"/>
      </w:rPr>
    </w:lvl>
    <w:lvl w:ilvl="5">
      <w:start w:val="1"/>
      <w:numFmt w:val="bullet"/>
      <w:lvlText w:val=""/>
      <w:lvlJc w:val="left"/>
      <w:pPr>
        <w:tabs>
          <w:tab w:val="num" w:pos="2727"/>
        </w:tabs>
        <w:ind w:left="2727" w:hanging="360"/>
      </w:pPr>
      <w:rPr>
        <w:rFonts w:ascii="Wingdings" w:hAnsi="Wingdings" w:cs="Wingdings" w:hint="default"/>
        <w:rFonts w:cs="Wingdings"/>
      </w:rPr>
    </w:lvl>
    <w:lvl w:ilvl="6">
      <w:start w:val="1"/>
      <w:numFmt w:val="bullet"/>
      <w:lvlText w:val=""/>
      <w:lvlJc w:val="left"/>
      <w:pPr>
        <w:tabs>
          <w:tab w:val="num" w:pos="3087"/>
        </w:tabs>
        <w:ind w:left="3087" w:hanging="360"/>
      </w:pPr>
      <w:rPr>
        <w:rFonts w:ascii="Wingdings" w:hAnsi="Wingdings" w:cs="Wingdings" w:hint="default"/>
        <w:rFonts w:cs="Wingdings"/>
      </w:rPr>
    </w:lvl>
    <w:lvl w:ilvl="7">
      <w:start w:val="1"/>
      <w:numFmt w:val="bullet"/>
      <w:lvlText w:val=""/>
      <w:lvlJc w:val="left"/>
      <w:pPr>
        <w:tabs>
          <w:tab w:val="num" w:pos="3447"/>
        </w:tabs>
        <w:ind w:left="3447" w:hanging="360"/>
      </w:pPr>
      <w:rPr>
        <w:rFonts w:ascii="Symbol" w:hAnsi="Symbol" w:cs="Symbol" w:hint="default"/>
        <w:rFonts w:cs="Symbol"/>
      </w:rPr>
    </w:lvl>
    <w:lvl w:ilvl="8">
      <w:start w:val="1"/>
      <w:numFmt w:val="bullet"/>
      <w:lvlText w:val=""/>
      <w:lvlJc w:val="left"/>
      <w:pPr>
        <w:tabs>
          <w:tab w:val="num" w:pos="3807"/>
        </w:tabs>
        <w:ind w:left="3807" w:hanging="360"/>
      </w:pPr>
      <w:rPr>
        <w:rFonts w:ascii="Symbol" w:hAnsi="Symbol" w:cs="Symbol" w:hint="default"/>
        <w:rFonts w:cs="Symbol"/>
      </w:rPr>
    </w:lvl>
  </w:abstractNum>
  <w:abstractNum w:abstractNumId="7">
    <w:lvl w:ilvl="0">
      <w:start w:val="1"/>
      <w:numFmt w:val="bullet"/>
      <w:lvlText w:val=""/>
      <w:lvlPicBulletId w:val="0"/>
      <w:lvlJc w:val="left"/>
      <w:pPr>
        <w:tabs>
          <w:tab w:val="num" w:pos="720"/>
        </w:tabs>
        <w:ind w:left="720" w:hanging="360"/>
      </w:pPr>
      <w:rPr>
        <w:rFonts w:ascii="Symbol" w:hAnsi="Symbol" w:cs="Symbol" w:hint="default"/>
        <w:szCs w:val="22"/>
        <w:rFonts w:cs="Symbol"/>
      </w:rPr>
    </w:lvl>
    <w:lvl w:ilvl="1">
      <w:start w:val="1"/>
      <w:numFmt w:val="bullet"/>
      <w:lvlText w:val="◦"/>
      <w:lvlPicBulletId w:val="0"/>
      <w:lvlJc w:val="left"/>
      <w:pPr>
        <w:tabs>
          <w:tab w:val="num" w:pos="1440"/>
        </w:tabs>
        <w:ind w:left="1440" w:hanging="360"/>
      </w:pPr>
      <w:rPr>
        <w:rFonts w:ascii="OpenSymbol" w:hAnsi="OpenSymbol" w:cs="OpenSymbol" w:hint="default"/>
        <w:szCs w:val="22"/>
        <w:rFonts w:cs="Symbol"/>
      </w:rPr>
    </w:lvl>
    <w:lvl w:ilvl="2">
      <w:start w:val="1"/>
      <w:numFmt w:val="bullet"/>
      <w:lvlText w:val="▪"/>
      <w:lvlPicBulletId w:val="0"/>
      <w:lvlJc w:val="left"/>
      <w:pPr>
        <w:tabs>
          <w:tab w:val="num" w:pos="708"/>
        </w:tabs>
        <w:ind w:left="2160" w:hanging="360"/>
      </w:pPr>
      <w:rPr>
        <w:rFonts w:ascii="OpenSymbol" w:hAnsi="OpenSymbol" w:cs="OpenSymbol" w:hint="default"/>
        <w:szCs w:val="22"/>
        <w:rFonts w:cs="Symbol"/>
      </w:rPr>
    </w:lvl>
    <w:lvl w:ilvl="3">
      <w:start w:val="1"/>
      <w:numFmt w:val="bullet"/>
      <w:lvlText w:val=""/>
      <w:lvlPicBulletId w:val="0"/>
      <w:lvlJc w:val="left"/>
      <w:pPr>
        <w:tabs>
          <w:tab w:val="num" w:pos="2880"/>
        </w:tabs>
        <w:ind w:left="2880" w:hanging="360"/>
      </w:pPr>
      <w:rPr>
        <w:rFonts w:ascii="Symbol" w:hAnsi="Symbol" w:cs="Symbol" w:hint="default"/>
        <w:szCs w:val="22"/>
        <w:rFonts w:cs="Symbol"/>
      </w:rPr>
    </w:lvl>
    <w:lvl w:ilvl="4">
      <w:start w:val="1"/>
      <w:numFmt w:val="bullet"/>
      <w:lvlText w:val="◦"/>
      <w:lvlPicBulletId w:val="0"/>
      <w:lvlJc w:val="left"/>
      <w:pPr>
        <w:tabs>
          <w:tab w:val="num" w:pos="3600"/>
        </w:tabs>
        <w:ind w:left="3600" w:hanging="360"/>
      </w:pPr>
      <w:rPr>
        <w:rFonts w:ascii="OpenSymbol" w:hAnsi="OpenSymbol" w:cs="OpenSymbol" w:hint="default"/>
        <w:szCs w:val="22"/>
        <w:rFonts w:cs="Symbol"/>
      </w:rPr>
    </w:lvl>
    <w:lvl w:ilvl="5">
      <w:start w:val="1"/>
      <w:numFmt w:val="bullet"/>
      <w:lvlText w:val="▪"/>
      <w:lvlPicBulletId w:val="0"/>
      <w:lvlJc w:val="left"/>
      <w:pPr>
        <w:tabs>
          <w:tab w:val="num" w:pos="4320"/>
        </w:tabs>
        <w:ind w:left="4320" w:hanging="360"/>
      </w:pPr>
      <w:rPr>
        <w:rFonts w:ascii="OpenSymbol" w:hAnsi="OpenSymbol" w:cs="OpenSymbol" w:hint="default"/>
        <w:szCs w:val="22"/>
        <w:rFonts w:cs="Symbol"/>
      </w:rPr>
    </w:lvl>
    <w:lvl w:ilvl="6">
      <w:start w:val="1"/>
      <w:numFmt w:val="bullet"/>
      <w:lvlText w:val=""/>
      <w:lvlPicBulletId w:val="0"/>
      <w:lvlJc w:val="left"/>
      <w:pPr>
        <w:tabs>
          <w:tab w:val="num" w:pos="5040"/>
        </w:tabs>
        <w:ind w:left="5040" w:hanging="360"/>
      </w:pPr>
      <w:rPr>
        <w:rFonts w:ascii="Symbol" w:hAnsi="Symbol" w:cs="Symbol" w:hint="default"/>
        <w:szCs w:val="22"/>
        <w:rFonts w:cs="Symbol"/>
      </w:rPr>
    </w:lvl>
    <w:lvl w:ilvl="7">
      <w:start w:val="1"/>
      <w:numFmt w:val="bullet"/>
      <w:lvlText w:val="◦"/>
      <w:lvlPicBulletId w:val="0"/>
      <w:lvlJc w:val="left"/>
      <w:pPr>
        <w:tabs>
          <w:tab w:val="num" w:pos="5760"/>
        </w:tabs>
        <w:ind w:left="5760" w:hanging="360"/>
      </w:pPr>
      <w:rPr>
        <w:rFonts w:ascii="OpenSymbol" w:hAnsi="OpenSymbol" w:cs="OpenSymbol" w:hint="default"/>
        <w:szCs w:val="22"/>
        <w:rFonts w:cs="Symbol"/>
      </w:rPr>
    </w:lvl>
    <w:lvl w:ilvl="8">
      <w:start w:val="1"/>
      <w:numFmt w:val="bullet"/>
      <w:lvlText w:val="▪"/>
      <w:lvlPicBulletId w:val="0"/>
      <w:lvlJc w:val="left"/>
      <w:pPr>
        <w:tabs>
          <w:tab w:val="num" w:pos="6480"/>
        </w:tabs>
        <w:ind w:left="6480" w:hanging="360"/>
      </w:pPr>
      <w:rPr>
        <w:rFonts w:ascii="OpenSymbol" w:hAnsi="OpenSymbol" w:cs="OpenSymbol" w:hint="default"/>
        <w:szCs w:val="22"/>
        <w:rFonts w:cs="Symbol"/>
      </w:rPr>
    </w:lvl>
  </w:abstractNum>
  <w:abstractNum w:abstractNumId="8">
    <w:lvl w:ilvl="0">
      <w:start w:val="1"/>
      <w:numFmt w:val="bullet"/>
      <w:lvlText w:val=""/>
      <w:lvlJc w:val="left"/>
      <w:pPr>
        <w:tabs>
          <w:tab w:val="num" w:pos="1077"/>
        </w:tabs>
        <w:ind w:left="1077" w:hanging="360"/>
      </w:pPr>
      <w:rPr>
        <w:rFonts w:ascii="Wingdings" w:hAnsi="Wingdings" w:cs="Wingdings" w:hint="default"/>
        <w:rFonts w:cs="Times New Roman"/>
      </w:rPr>
    </w:lvl>
    <w:lvl w:ilvl="1">
      <w:start w:val="1"/>
      <w:numFmt w:val="bullet"/>
      <w:lvlText w:val=""/>
      <w:lvlJc w:val="left"/>
      <w:pPr>
        <w:tabs>
          <w:tab w:val="num" w:pos="1437"/>
        </w:tabs>
        <w:ind w:left="1437" w:hanging="360"/>
      </w:pPr>
      <w:rPr>
        <w:rFonts w:ascii="Wingdings" w:hAnsi="Wingdings" w:cs="Wingdings" w:hint="default"/>
        <w:rFonts w:cs="Wingdings"/>
      </w:rPr>
    </w:lvl>
    <w:lvl w:ilvl="2">
      <w:start w:val="1"/>
      <w:numFmt w:val="bullet"/>
      <w:lvlText w:val=""/>
      <w:lvlJc w:val="left"/>
      <w:pPr>
        <w:tabs>
          <w:tab w:val="num" w:pos="1797"/>
        </w:tabs>
        <w:ind w:left="1797" w:hanging="360"/>
      </w:pPr>
      <w:rPr>
        <w:rFonts w:ascii="Wingdings" w:hAnsi="Wingdings" w:cs="Wingdings" w:hint="default"/>
        <w:rFonts w:cs="Wingdings"/>
      </w:rPr>
    </w:lvl>
    <w:lvl w:ilvl="3">
      <w:start w:val="1"/>
      <w:numFmt w:val="bullet"/>
      <w:lvlText w:val=""/>
      <w:lvlJc w:val="left"/>
      <w:pPr>
        <w:tabs>
          <w:tab w:val="num" w:pos="2157"/>
        </w:tabs>
        <w:ind w:left="2157" w:hanging="360"/>
      </w:pPr>
      <w:rPr>
        <w:rFonts w:ascii="Symbol" w:hAnsi="Symbol" w:cs="Symbol" w:hint="default"/>
        <w:rFonts w:cs="Symbol"/>
      </w:rPr>
    </w:lvl>
    <w:lvl w:ilvl="4">
      <w:start w:val="1"/>
      <w:numFmt w:val="bullet"/>
      <w:lvlText w:val=""/>
      <w:lvlJc w:val="left"/>
      <w:pPr>
        <w:tabs>
          <w:tab w:val="num" w:pos="2517"/>
        </w:tabs>
        <w:ind w:left="2517" w:hanging="360"/>
      </w:pPr>
      <w:rPr>
        <w:rFonts w:ascii="Symbol" w:hAnsi="Symbol" w:cs="Symbol" w:hint="default"/>
        <w:rFonts w:cs="Symbol"/>
      </w:rPr>
    </w:lvl>
    <w:lvl w:ilvl="5">
      <w:start w:val="1"/>
      <w:numFmt w:val="bullet"/>
      <w:lvlText w:val=""/>
      <w:lvlJc w:val="left"/>
      <w:pPr>
        <w:tabs>
          <w:tab w:val="num" w:pos="2877"/>
        </w:tabs>
        <w:ind w:left="2877" w:hanging="360"/>
      </w:pPr>
      <w:rPr>
        <w:rFonts w:ascii="Wingdings" w:hAnsi="Wingdings" w:cs="Wingdings" w:hint="default"/>
        <w:rFonts w:cs="Wingdings"/>
      </w:rPr>
    </w:lvl>
    <w:lvl w:ilvl="6">
      <w:start w:val="1"/>
      <w:numFmt w:val="bullet"/>
      <w:lvlText w:val=""/>
      <w:lvlJc w:val="left"/>
      <w:pPr>
        <w:tabs>
          <w:tab w:val="num" w:pos="3237"/>
        </w:tabs>
        <w:ind w:left="3237" w:hanging="360"/>
      </w:pPr>
      <w:rPr>
        <w:rFonts w:ascii="Wingdings" w:hAnsi="Wingdings" w:cs="Wingdings" w:hint="default"/>
        <w:rFonts w:cs="Wingdings"/>
      </w:rPr>
    </w:lvl>
    <w:lvl w:ilvl="7">
      <w:start w:val="1"/>
      <w:numFmt w:val="bullet"/>
      <w:lvlText w:val=""/>
      <w:lvlJc w:val="left"/>
      <w:pPr>
        <w:tabs>
          <w:tab w:val="num" w:pos="3597"/>
        </w:tabs>
        <w:ind w:left="3597" w:hanging="360"/>
      </w:pPr>
      <w:rPr>
        <w:rFonts w:ascii="Symbol" w:hAnsi="Symbol" w:cs="Symbol" w:hint="default"/>
        <w:rFonts w:cs="Symbol"/>
      </w:rPr>
    </w:lvl>
    <w:lvl w:ilvl="8">
      <w:start w:val="1"/>
      <w:numFmt w:val="bullet"/>
      <w:lvlText w:val=""/>
      <w:lvlJc w:val="left"/>
      <w:pPr>
        <w:tabs>
          <w:tab w:val="num" w:pos="3957"/>
        </w:tabs>
        <w:ind w:left="3957" w:hanging="360"/>
      </w:pPr>
      <w:rPr>
        <w:rFonts w:ascii="Symbol" w:hAnsi="Symbol" w:cs="Symbol" w:hint="default"/>
        <w:rFonts w:cs="Symbol"/>
      </w:rPr>
    </w:lvl>
  </w:abstractNum>
  <w:abstractNum w:abstractNumId="9">
    <w:lvl w:ilvl="0">
      <w:start w:val="1"/>
      <w:numFmt w:val="bullet"/>
      <w:lvlText w:val=""/>
      <w:lvlPicBulletId w:val="0"/>
      <w:lvlJc w:val="left"/>
      <w:pPr>
        <w:tabs>
          <w:tab w:val="num" w:pos="720"/>
        </w:tabs>
        <w:ind w:left="720" w:hanging="360"/>
      </w:pPr>
      <w:rPr>
        <w:rFonts w:ascii="Symbol" w:hAnsi="Symbol" w:cs="Symbol" w:hint="default"/>
        <w:rFonts w:cs="Symbol"/>
      </w:rPr>
    </w:lvl>
    <w:lvl w:ilvl="1">
      <w:start w:val="1"/>
      <w:numFmt w:val="bullet"/>
      <w:lvlText w:val="◦"/>
      <w:lvlPicBulletId w:val="0"/>
      <w:lvlJc w:val="left"/>
      <w:pPr>
        <w:tabs>
          <w:tab w:val="num" w:pos="1440"/>
        </w:tabs>
        <w:ind w:left="1440" w:hanging="360"/>
      </w:pPr>
      <w:rPr>
        <w:rFonts w:ascii="OpenSymbol" w:hAnsi="OpenSymbol" w:cs="OpenSymbol" w:hint="default"/>
        <w:rFonts w:cs="Symbol"/>
      </w:rPr>
    </w:lvl>
    <w:lvl w:ilvl="2">
      <w:start w:val="1"/>
      <w:numFmt w:val="bullet"/>
      <w:lvlText w:val="▪"/>
      <w:lvlPicBulletId w:val="0"/>
      <w:lvlJc w:val="left"/>
      <w:pPr>
        <w:tabs>
          <w:tab w:val="num" w:pos="708"/>
        </w:tabs>
        <w:ind w:left="2160" w:hanging="360"/>
      </w:pPr>
      <w:rPr>
        <w:rFonts w:ascii="OpenSymbol" w:hAnsi="OpenSymbol" w:cs="OpenSymbol" w:hint="default"/>
        <w:rFonts w:cs="Symbol"/>
      </w:rPr>
    </w:lvl>
    <w:lvl w:ilvl="3">
      <w:start w:val="1"/>
      <w:numFmt w:val="bullet"/>
      <w:lvlText w:val=""/>
      <w:lvlPicBulletId w:val="0"/>
      <w:lvlJc w:val="left"/>
      <w:pPr>
        <w:tabs>
          <w:tab w:val="num" w:pos="2880"/>
        </w:tabs>
        <w:ind w:left="2880" w:hanging="360"/>
      </w:pPr>
      <w:rPr>
        <w:rFonts w:ascii="Symbol" w:hAnsi="Symbol" w:cs="Symbol" w:hint="default"/>
        <w:rFonts w:cs="Symbol"/>
      </w:rPr>
    </w:lvl>
    <w:lvl w:ilvl="4">
      <w:start w:val="1"/>
      <w:numFmt w:val="bullet"/>
      <w:lvlText w:val="◦"/>
      <w:lvlPicBulletId w:val="0"/>
      <w:lvlJc w:val="left"/>
      <w:pPr>
        <w:tabs>
          <w:tab w:val="num" w:pos="3600"/>
        </w:tabs>
        <w:ind w:left="3600" w:hanging="360"/>
      </w:pPr>
      <w:rPr>
        <w:rFonts w:ascii="OpenSymbol" w:hAnsi="OpenSymbol" w:cs="OpenSymbol" w:hint="default"/>
        <w:rFonts w:cs="Symbol"/>
      </w:rPr>
    </w:lvl>
    <w:lvl w:ilvl="5">
      <w:start w:val="1"/>
      <w:numFmt w:val="bullet"/>
      <w:lvlText w:val="▪"/>
      <w:lvlPicBulletId w:val="0"/>
      <w:lvlJc w:val="left"/>
      <w:pPr>
        <w:tabs>
          <w:tab w:val="num" w:pos="4320"/>
        </w:tabs>
        <w:ind w:left="4320" w:hanging="360"/>
      </w:pPr>
      <w:rPr>
        <w:rFonts w:ascii="OpenSymbol" w:hAnsi="OpenSymbol" w:cs="OpenSymbol" w:hint="default"/>
        <w:rFonts w:cs="Symbol"/>
      </w:rPr>
    </w:lvl>
    <w:lvl w:ilvl="6">
      <w:start w:val="1"/>
      <w:numFmt w:val="bullet"/>
      <w:lvlText w:val=""/>
      <w:lvlPicBulletId w:val="0"/>
      <w:lvlJc w:val="left"/>
      <w:pPr>
        <w:tabs>
          <w:tab w:val="num" w:pos="5040"/>
        </w:tabs>
        <w:ind w:left="5040" w:hanging="360"/>
      </w:pPr>
      <w:rPr>
        <w:rFonts w:ascii="Symbol" w:hAnsi="Symbol" w:cs="Symbol" w:hint="default"/>
        <w:rFonts w:cs="Symbol"/>
      </w:rPr>
    </w:lvl>
    <w:lvl w:ilvl="7">
      <w:start w:val="1"/>
      <w:numFmt w:val="bullet"/>
      <w:lvlText w:val="◦"/>
      <w:lvlPicBulletId w:val="0"/>
      <w:lvlJc w:val="left"/>
      <w:pPr>
        <w:tabs>
          <w:tab w:val="num" w:pos="5760"/>
        </w:tabs>
        <w:ind w:left="5760" w:hanging="360"/>
      </w:pPr>
      <w:rPr>
        <w:rFonts w:ascii="OpenSymbol" w:hAnsi="OpenSymbol" w:cs="OpenSymbol" w:hint="default"/>
        <w:rFonts w:cs="Symbol"/>
      </w:rPr>
    </w:lvl>
    <w:lvl w:ilvl="8">
      <w:start w:val="1"/>
      <w:numFmt w:val="bullet"/>
      <w:lvlText w:val="▪"/>
      <w:lvlPicBulletId w:val="0"/>
      <w:lvlJc w:val="left"/>
      <w:pPr>
        <w:tabs>
          <w:tab w:val="num" w:pos="6480"/>
        </w:tabs>
        <w:ind w:left="6480" w:hanging="360"/>
      </w:pPr>
      <w:rPr>
        <w:rFonts w:ascii="OpenSymbol" w:hAnsi="OpenSymbol" w:cs="OpenSymbol" w:hint="default"/>
        <w:rFonts w:cs="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before="120" w:after="0"/>
      <w:jc w:val="both"/>
    </w:pPr>
    <w:rPr>
      <w:rFonts w:ascii="Arial" w:hAnsi="Arial" w:eastAsia="Times New Roman" w:cs="Arial"/>
      <w:color w:val="auto"/>
      <w:sz w:val="22"/>
      <w:szCs w:val="24"/>
      <w:lang w:val="fr-FR" w:bidi="ar-SA" w:eastAsia="zh-CN"/>
    </w:rPr>
  </w:style>
  <w:style w:type="paragraph" w:styleId="Heading1">
    <w:name w:val="Heading 1"/>
    <w:basedOn w:val="Normal"/>
    <w:next w:val="Normal"/>
    <w:qFormat/>
    <w:pPr>
      <w:keepNext w:val="true"/>
      <w:numPr>
        <w:ilvl w:val="0"/>
        <w:numId w:val="1"/>
      </w:numPr>
      <w:spacing w:lineRule="auto" w:line="360" w:before="240" w:after="240"/>
      <w:outlineLvl w:val="0"/>
    </w:pPr>
    <w:rPr>
      <w:rFonts w:cs="Arial"/>
      <w:b/>
      <w:bCs/>
      <w:caps/>
      <w:sz w:val="28"/>
      <w:szCs w:val="32"/>
      <w:u w:val="single"/>
    </w:rPr>
  </w:style>
  <w:style w:type="paragraph" w:styleId="Heading2">
    <w:name w:val="Heading 2"/>
    <w:basedOn w:val="Normal"/>
    <w:next w:val="Normal"/>
    <w:qFormat/>
    <w:pPr>
      <w:keepNext w:val="true"/>
      <w:numPr>
        <w:ilvl w:val="1"/>
        <w:numId w:val="1"/>
      </w:numPr>
      <w:spacing w:before="240" w:after="120"/>
      <w:ind w:hanging="987"/>
      <w:outlineLvl w:val="1"/>
    </w:pPr>
    <w:rPr>
      <w:rFonts w:cs="Arial"/>
      <w:b/>
      <w:bCs/>
      <w:iCs/>
      <w:sz w:val="24"/>
      <w:szCs w:val="28"/>
      <w:u w:val="single"/>
    </w:rPr>
  </w:style>
  <w:style w:type="paragraph" w:styleId="Heading3">
    <w:name w:val="Heading 3"/>
    <w:basedOn w:val="Normal"/>
    <w:next w:val="Normal"/>
    <w:qFormat/>
    <w:pPr>
      <w:keepNext w:val="true"/>
      <w:numPr>
        <w:ilvl w:val="2"/>
        <w:numId w:val="1"/>
      </w:numPr>
      <w:spacing w:before="240" w:after="60"/>
      <w:outlineLvl w:val="2"/>
    </w:pPr>
    <w:rPr>
      <w:rFonts w:cs="Arial"/>
      <w:b/>
      <w:bCs/>
      <w:sz w:val="24"/>
      <w:szCs w:val="26"/>
      <w:u w:val="single"/>
    </w:rPr>
  </w:style>
  <w:style w:type="paragraph" w:styleId="Heading5">
    <w:name w:val="Heading 5"/>
    <w:basedOn w:val="Normal"/>
    <w:next w:val="Normal"/>
    <w:qFormat/>
    <w:pPr>
      <w:spacing w:before="240" w:after="60"/>
      <w:outlineLvl w:val="4"/>
    </w:pPr>
    <w:rPr>
      <w:rFonts w:ascii="Calibri" w:hAnsi="Calibri" w:cs="Calibri"/>
      <w:b/>
      <w:bCs/>
      <w:i/>
      <w:iCs/>
      <w:sz w:val="26"/>
      <w:szCs w:val="26"/>
      <w:lang w:val="en-GB"/>
    </w:rPr>
  </w:style>
  <w:style w:type="character" w:styleId="WW8Num1z0">
    <w:name w:val="WW8Num1z0"/>
    <w:qFormat/>
    <w:rPr/>
  </w:style>
  <w:style w:type="character" w:styleId="WW8Num2z0">
    <w:name w:val="WW8Num2z0"/>
    <w:qFormat/>
    <w:rPr>
      <w:rFonts w:ascii="Wingdings" w:hAnsi="Wingdings" w:cs="Wingdings"/>
      <w:color w:val="auto"/>
      <w:sz w:val="24"/>
    </w:rPr>
  </w:style>
  <w:style w:type="character" w:styleId="WW8Num3z0">
    <w:name w:val="WW8Num3z0"/>
    <w:qFormat/>
    <w:rPr>
      <w:rFonts w:ascii="Arial" w:hAnsi="Arial" w:eastAsia="Times New Roman" w:cs="Arial"/>
      <w:szCs w:val="22"/>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Cs w:val="22"/>
    </w:rPr>
  </w:style>
  <w:style w:type="character" w:styleId="WW8Num5z0">
    <w:name w:val="WW8Num5z0"/>
    <w:qFormat/>
    <w:rPr>
      <w:b/>
      <w:sz w:val="24"/>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b/>
      <w:sz w:val="24"/>
      <w:szCs w:val="24"/>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Symbol" w:hAnsi="Symbol" w:cs="Symbol"/>
      <w:color w:val="000000"/>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0z4">
    <w:name w:val="WW8Num10z4"/>
    <w:qFormat/>
    <w:rPr>
      <w:rFonts w:ascii="Courier New" w:hAnsi="Courier New" w:cs="Courier New"/>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Arial" w:hAnsi="Arial"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Calibri" w:hAnsi="Calibri" w:eastAsia="Times New Roman"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Wingdings" w:hAnsi="Wingdings" w:cs="Times New Roman"/>
    </w:rPr>
  </w:style>
  <w:style w:type="character" w:styleId="WW8Num22z1">
    <w:name w:val="WW8Num22z1"/>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color w:val="00000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8z0">
    <w:name w:val="WW8Num28z0"/>
    <w:qFormat/>
    <w:rPr>
      <w:rFonts w:ascii="Symbol" w:hAnsi="Symbol" w:cs="Symbol"/>
      <w:szCs w:val="22"/>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b/>
    </w:rPr>
  </w:style>
  <w:style w:type="character" w:styleId="WW8Num31z1">
    <w:name w:val="WW8Num31z1"/>
    <w:qFormat/>
    <w:rPr/>
  </w:style>
  <w:style w:type="character" w:styleId="WW8Num31z2">
    <w:name w:val="WW8Num31z2"/>
    <w:qFormat/>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rFonts w:ascii="Wingdings" w:hAnsi="Wingdings" w:eastAsia="Times New Roman" w:cs="Arial"/>
      <w:sz w:val="36"/>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Arial Narrow" w:hAnsi="Arial Narrow" w:cs="Arial Narrow"/>
      <w:b/>
      <w:i w:val="false"/>
      <w:caps/>
      <w:color w:val="0000FF"/>
      <w:sz w:val="28"/>
    </w:rPr>
  </w:style>
  <w:style w:type="character" w:styleId="WW8Num33z1">
    <w:name w:val="WW8Num33z1"/>
    <w:qFormat/>
    <w:rPr>
      <w:rFonts w:ascii="Arial" w:hAnsi="Arial" w:cs="Arial"/>
      <w:b/>
      <w:i w:val="false"/>
      <w:sz w:val="28"/>
      <w:u w:val="none"/>
    </w:rPr>
  </w:style>
  <w:style w:type="character" w:styleId="WW8Num33z2">
    <w:name w:val="WW8Num33z2"/>
    <w:qFormat/>
    <w:rPr>
      <w:u w:val="none"/>
    </w:rPr>
  </w:style>
  <w:style w:type="character" w:styleId="WW8Num33z3">
    <w:name w:val="WW8Num33z3"/>
    <w:qFormat/>
    <w:rPr/>
  </w:style>
  <w:style w:type="character" w:styleId="WW8Num34z0">
    <w:name w:val="WW8Num34z0"/>
    <w:qFormat/>
    <w:rPr>
      <w:b/>
    </w:rPr>
  </w:style>
  <w:style w:type="character" w:styleId="WW8Num35z0">
    <w:name w:val="WW8Num35z0"/>
    <w:qFormat/>
    <w:rPr>
      <w:rFonts w:ascii="Arial" w:hAnsi="Arial" w:eastAsia="Times New Roman" w:cs="Aria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Times New Roman" w:hAnsi="Times New Roman" w:eastAsia="Times New Roman"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Wingdings" w:hAnsi="Wingdings" w:cs="Times New Roman"/>
    </w:rPr>
  </w:style>
  <w:style w:type="character" w:styleId="WW8Num37z1">
    <w:name w:val="WW8Num37z1"/>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9z0">
    <w:name w:val="WW8Num39z0"/>
    <w:qFormat/>
    <w:rPr>
      <w:rFonts w:ascii="Symbol" w:hAnsi="Symbol" w:cs="Symbol"/>
    </w:rPr>
  </w:style>
  <w:style w:type="character" w:styleId="WW8Num40z0">
    <w:name w:val="WW8Num40z0"/>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Old English Text MT" w:hAnsi="Old English Text MT" w:cs="Old English Text MT"/>
    </w:rPr>
  </w:style>
  <w:style w:type="character" w:styleId="WW8Num42z2">
    <w:name w:val="WW8Num42z2"/>
    <w:qFormat/>
    <w:rPr>
      <w:rFonts w:ascii="Wingdings" w:hAnsi="Wingdings" w:cs="Wingdings"/>
    </w:rPr>
  </w:style>
  <w:style w:type="character" w:styleId="WW8Num42z4">
    <w:name w:val="WW8Num42z4"/>
    <w:qFormat/>
    <w:rPr>
      <w:rFonts w:ascii="Courier New" w:hAnsi="Courier New" w:cs="Courier New"/>
    </w:rPr>
  </w:style>
  <w:style w:type="character" w:styleId="WW8Num43z0">
    <w:name w:val="WW8Num43z0"/>
    <w:qFormat/>
    <w:rPr>
      <w:rFonts w:ascii="Symbol" w:hAnsi="Symbol" w:cs="Symbol"/>
    </w:rPr>
  </w:style>
  <w:style w:type="character" w:styleId="WW8Num44z0">
    <w:name w:val="WW8Num44z0"/>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TextedebullesCar">
    <w:name w:val="Texte de bulles Car"/>
    <w:qFormat/>
    <w:rPr>
      <w:rFonts w:ascii="Tahoma" w:hAnsi="Tahoma" w:cs="Tahoma"/>
      <w:sz w:val="16"/>
      <w:szCs w:val="16"/>
    </w:rPr>
  </w:style>
  <w:style w:type="character" w:styleId="Titre5Car">
    <w:name w:val="Titre 5 Car"/>
    <w:qFormat/>
    <w:rPr>
      <w:rFonts w:ascii="Calibri" w:hAnsi="Calibri" w:eastAsia="Times New Roman" w:cs="Times New Roman"/>
      <w:b/>
      <w:bCs/>
      <w:i/>
      <w:iCs/>
      <w:sz w:val="26"/>
      <w:szCs w:val="26"/>
    </w:rPr>
  </w:style>
  <w:style w:type="character" w:styleId="CorpsdetexteCar">
    <w:name w:val="Corps de texte Car"/>
    <w:qFormat/>
    <w:rPr>
      <w:b/>
      <w:sz w:val="36"/>
    </w:rPr>
  </w:style>
  <w:style w:type="character" w:styleId="RetraitcorpsdetexteCar">
    <w:name w:val="Retrait corps de texte Car"/>
    <w:qFormat/>
    <w:rPr>
      <w:rFonts w:ascii="Arial" w:hAnsi="Arial" w:cs="Arial"/>
      <w:sz w:val="22"/>
      <w:szCs w:val="24"/>
    </w:rPr>
  </w:style>
  <w:style w:type="character" w:styleId="Emphasis">
    <w:name w:val="Emphasis"/>
    <w:qFormat/>
    <w:rPr>
      <w:i/>
      <w:iCs/>
    </w:rPr>
  </w:style>
  <w:style w:type="character" w:styleId="Lienbleu12">
    <w:name w:val="lien_bleu_12"/>
    <w:qFormat/>
    <w:rPr/>
  </w:style>
  <w:style w:type="character" w:styleId="Highlight">
    <w:name w:val="highlight"/>
    <w:qFormat/>
    <w:rPr/>
  </w:style>
  <w:style w:type="character" w:styleId="InternetLink">
    <w:name w:val="Internet Link"/>
    <w:rPr>
      <w:color w:val="0563C1"/>
      <w:u w:val="single"/>
    </w:rPr>
  </w:style>
  <w:style w:type="character" w:styleId="StrongEmphasis">
    <w:name w:val="Strong Emphasis"/>
    <w:qFormat/>
    <w:rPr>
      <w:b/>
      <w:bCs/>
    </w:rPr>
  </w:style>
  <w:style w:type="paragraph" w:styleId="Heading">
    <w:name w:val="Heading"/>
    <w:basedOn w:val="Normal"/>
    <w:next w:val="TextBody"/>
    <w:qFormat/>
    <w:pPr>
      <w:keepLines/>
      <w:spacing w:lineRule="exact" w:line="360" w:before="240" w:after="240"/>
      <w:jc w:val="center"/>
      <w:outlineLvl w:val="0"/>
    </w:pPr>
    <w:rPr>
      <w:rFonts w:ascii="Tahoma" w:hAnsi="Tahoma" w:cs="Tahoma"/>
      <w:b/>
      <w:smallCaps/>
      <w:shadow/>
      <w:color w:val="0000FF"/>
      <w:sz w:val="32"/>
      <w:szCs w:val="20"/>
    </w:rPr>
  </w:style>
  <w:style w:type="paragraph" w:styleId="TextBody">
    <w:name w:val="Body Text"/>
    <w:basedOn w:val="Normal"/>
    <w:pPr>
      <w:spacing w:before="0" w:after="0"/>
      <w:jc w:val="center"/>
    </w:pPr>
    <w:rPr>
      <w:rFonts w:ascii="Times New Roman" w:hAnsi="Times New Roman" w:cs="Times New Roman"/>
      <w:b/>
      <w:sz w:val="36"/>
      <w:szCs w:val="20"/>
      <w:lang w:val="en-GB"/>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1">
    <w:name w:val="Style1"/>
    <w:basedOn w:val="Normal"/>
    <w:qFormat/>
    <w:pPr>
      <w:numPr>
        <w:ilvl w:val="0"/>
        <w:numId w:val="6"/>
      </w:numPr>
      <w:spacing w:before="120" w:after="120"/>
      <w:ind w:left="924" w:hanging="357"/>
    </w:pPr>
    <w:rPr>
      <w:b/>
    </w:rPr>
  </w:style>
  <w:style w:type="paragraph" w:styleId="Style21">
    <w:name w:val="Style2"/>
    <w:basedOn w:val="Style11"/>
    <w:qFormat/>
    <w:pPr>
      <w:numPr>
        <w:ilvl w:val="0"/>
        <w:numId w:val="8"/>
      </w:numPr>
      <w:ind w:left="1264" w:hanging="357"/>
    </w:pPr>
    <w:rPr>
      <w:b w:val="false"/>
    </w:rPr>
  </w:style>
  <w:style w:type="paragraph" w:styleId="Footnote">
    <w:name w:val="Footnote Text"/>
    <w:basedOn w:val="Normal"/>
    <w:pPr>
      <w:keepLines/>
      <w:spacing w:lineRule="exact" w:line="240" w:before="240" w:after="0"/>
    </w:pPr>
    <w:rPr>
      <w:rFonts w:ascii="Arial Narrow" w:hAnsi="Arial Narrow" w:cs="Arial Narrow"/>
      <w:sz w:val="20"/>
      <w:szCs w:val="20"/>
    </w:rPr>
  </w:style>
  <w:style w:type="paragraph" w:styleId="Subtitle">
    <w:name w:val="Subtitle"/>
    <w:basedOn w:val="Normal"/>
    <w:next w:val="TextBody"/>
    <w:qFormat/>
    <w:pPr>
      <w:keepNext w:val="true"/>
      <w:keepLines/>
      <w:spacing w:lineRule="exact" w:line="240" w:before="240" w:after="0"/>
      <w:jc w:val="left"/>
      <w:outlineLvl w:val="1"/>
    </w:pPr>
    <w:rPr>
      <w:b/>
      <w:sz w:val="24"/>
      <w:szCs w:val="20"/>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Retraitcorpsdetexte2">
    <w:name w:val="Retrait corps de texte 2"/>
    <w:basedOn w:val="Normal"/>
    <w:qFormat/>
    <w:pPr>
      <w:spacing w:lineRule="auto" w:line="480" w:before="0" w:after="120"/>
      <w:ind w:left="283" w:hanging="0"/>
      <w:jc w:val="left"/>
    </w:pPr>
    <w:rPr>
      <w:rFonts w:ascii="Times New Roman" w:hAnsi="Times New Roman" w:cs="Times New Roman"/>
      <w:sz w:val="20"/>
      <w:szCs w:val="20"/>
    </w:rPr>
  </w:style>
  <w:style w:type="paragraph" w:styleId="ListeTte">
    <w:name w:val="Liste_Tête"/>
    <w:basedOn w:val="Normal"/>
    <w:qFormat/>
    <w:pPr>
      <w:keepNext w:val="true"/>
      <w:keepLines/>
      <w:spacing w:lineRule="exact" w:line="240" w:before="240" w:after="0"/>
    </w:pPr>
    <w:rPr>
      <w:szCs w:val="20"/>
    </w:rPr>
  </w:style>
  <w:style w:type="paragraph" w:styleId="Listepuces">
    <w:name w:val="Liste à puces"/>
    <w:basedOn w:val="Normal"/>
    <w:qFormat/>
    <w:pPr>
      <w:keepLines/>
      <w:numPr>
        <w:ilvl w:val="0"/>
        <w:numId w:val="2"/>
      </w:numPr>
      <w:spacing w:lineRule="exact" w:line="240" w:before="240" w:after="0"/>
    </w:pPr>
    <w:rPr>
      <w:szCs w:val="20"/>
    </w:rPr>
  </w:style>
  <w:style w:type="paragraph" w:styleId="Textedebulles">
    <w:name w:val="Texte de bulles"/>
    <w:basedOn w:val="Normal"/>
    <w:qFormat/>
    <w:pPr>
      <w:spacing w:before="0" w:after="0"/>
    </w:pPr>
    <w:rPr>
      <w:rFonts w:ascii="Tahoma" w:hAnsi="Tahoma" w:cs="Tahoma"/>
      <w:sz w:val="16"/>
      <w:szCs w:val="16"/>
      <w:lang w:val="en-GB"/>
    </w:rPr>
  </w:style>
  <w:style w:type="paragraph" w:styleId="TextBodyIndent">
    <w:name w:val="Body Text Indent"/>
    <w:basedOn w:val="Normal"/>
    <w:pPr>
      <w:spacing w:before="120" w:after="120"/>
      <w:ind w:left="283" w:hanging="0"/>
    </w:pPr>
    <w:rPr>
      <w:lang w:val="en-GB"/>
    </w:rPr>
  </w:style>
  <w:style w:type="paragraph" w:styleId="Article">
    <w:name w:val="article"/>
    <w:basedOn w:val="Normal"/>
    <w:qFormat/>
    <w:pPr>
      <w:tabs>
        <w:tab w:val="left" w:pos="1701" w:leader="none"/>
        <w:tab w:val="left" w:pos="2835" w:leader="none"/>
      </w:tabs>
      <w:spacing w:before="0" w:after="0"/>
      <w:ind w:left="284" w:hanging="0"/>
    </w:pPr>
    <w:rPr>
      <w:rFonts w:ascii="Times New Roman" w:hAnsi="Times New Roman" w:cs="Times New Roman"/>
      <w:b/>
      <w:bCs/>
      <w:sz w:val="28"/>
      <w:szCs w:val="28"/>
      <w:u w:val="single"/>
    </w:rPr>
  </w:style>
  <w:style w:type="paragraph" w:styleId="Paragraphe1">
    <w:name w:val="paragraphe1"/>
    <w:basedOn w:val="Normal"/>
    <w:qFormat/>
    <w:pPr>
      <w:spacing w:before="0" w:after="0"/>
      <w:ind w:left="567" w:hanging="0"/>
    </w:pPr>
    <w:rPr>
      <w:rFonts w:ascii="Times New Roman" w:hAnsi="Times New Roman" w:cs="Times New Roman"/>
      <w:sz w:val="24"/>
    </w:rPr>
  </w:style>
  <w:style w:type="paragraph" w:styleId="NormalWeb">
    <w:name w:val="Normal (Web)"/>
    <w:basedOn w:val="Normal"/>
    <w:qFormat/>
    <w:pPr>
      <w:spacing w:before="0" w:after="0"/>
      <w:jc w:val="left"/>
    </w:pPr>
    <w:rPr>
      <w:rFonts w:ascii="Times New Roman" w:hAnsi="Times New Roman" w:eastAsia="Calibri" w:cs="Times New Roman"/>
      <w:sz w:val="24"/>
    </w:rPr>
  </w:style>
  <w:style w:type="paragraph" w:styleId="Xmsonormal">
    <w:name w:val="x_msonormal"/>
    <w:basedOn w:val="Normal"/>
    <w:qFormat/>
    <w:pPr>
      <w:spacing w:before="0" w:after="0"/>
      <w:jc w:val="left"/>
    </w:pPr>
    <w:rPr>
      <w:rFonts w:ascii="Times New Roman" w:hAnsi="Times New Roman" w:eastAsia="Calibri" w:cs="Times New Roman"/>
      <w:sz w:val="24"/>
    </w:rPr>
  </w:style>
  <w:style w:type="paragraph" w:styleId="Paragraphedeliste">
    <w:name w:val="Paragraphe de liste"/>
    <w:basedOn w:val="Normal"/>
    <w:qFormat/>
    <w:pPr>
      <w:spacing w:before="0" w:after="0"/>
      <w:ind w:left="720" w:hanging="0"/>
      <w:contextualSpacing/>
      <w:jc w:val="left"/>
    </w:pPr>
    <w:rPr>
      <w:rFonts w:ascii="Times New Roman" w:hAnsi="Times New Roman" w:cs="Times New Roman"/>
      <w:sz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eleaccords.travail-emploi.gouv.fr/"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2023-01-30T18:53:00Z</dcterms:created>
  <dc:creator/>
  <dc:description/>
  <dc:language>en-GB</dc:language>
  <cp:lastModifiedBy/>
  <cp:lastPrinted>2023-01-03T14:52:00Z</cp:lastPrinted>
  <dcterms:modified xsi:type="dcterms:W3CDTF">2023-01-30T18:54:00Z</dcterms:modified>
  <cp:revision>3</cp:revision>
  <dc:subject/>
  <dc:title>ACCORD D'INTERESSEMENT</dc:title>
</cp:coreProperties>
</file>