
<file path=[Content_Types].xml><?xml version="1.0" encoding="utf-8"?>
<Types xmlns="http://schemas.openxmlformats.org/package/2006/content-types">
  <Override PartName="/_rels/.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media/image5.jpeg" ContentType="image/jpeg"/>
  <Override PartName="/word/media/image4.jpeg" ContentType="image/jpeg"/>
  <Override PartName="/word/media/image3.jpeg" ContentType="image/jpeg"/>
  <Override PartName="/word/media/image2.jpeg" ContentType="image/jpeg"/>
  <Override PartName="/word/media/image1.jpeg" ContentType="image/jpeg"/>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right="-24" w:hanging="0"/>
        <w:jc w:val="both"/>
        <w:rPr>
          <w:rFonts w:ascii="Century Gothic" w:hAnsi="Century Gothic" w:cs="Arial"/>
          <w:sz w:val="24"/>
          <w:szCs w:val="24"/>
        </w:rPr>
      </w:pPr>
      <w:r>
        <w:rPr>
          <w:rFonts w:cs="Arial" w:ascii="Century Gothic" w:hAnsi="Century Gothic"/>
          <w:sz w:val="24"/>
          <w:szCs w:val="24"/>
        </w:rPr>
        <w:tab/>
        <w:tab/>
        <w:tab/>
        <w:tab/>
        <w:tab/>
        <w:tab/>
        <w:tab/>
      </w:r>
    </w:p>
    <w:p>
      <w:pPr>
        <w:pStyle w:val="Normal"/>
        <w:ind w:right="-24" w:hanging="0"/>
        <w:jc w:val="both"/>
        <w:rPr>
          <w:rFonts w:ascii="Century Gothic" w:hAnsi="Century Gothic" w:cs="Arial"/>
          <w:sz w:val="32"/>
          <w:szCs w:val="32"/>
        </w:rPr>
      </w:pPr>
      <w:r>
        <w:rPr>
          <w:rFonts w:cs="Arial" w:ascii="Century Gothic" w:hAnsi="Century Gothic"/>
          <w:sz w:val="32"/>
          <w:szCs w:val="32"/>
        </w:rPr>
      </w:r>
    </w:p>
    <w:p>
      <w:pPr>
        <w:pStyle w:val="Normal"/>
        <w:ind w:right="-24" w:hanging="0"/>
        <w:jc w:val="center"/>
        <w:rPr>
          <w:rFonts w:ascii="Century Gothic" w:hAnsi="Century Gothic" w:cs="Arial"/>
          <w:b/>
          <w:b/>
          <w:sz w:val="32"/>
          <w:szCs w:val="32"/>
        </w:rPr>
      </w:pPr>
      <w:r>
        <w:rPr>
          <w:rFonts w:cs="Arial" w:ascii="Century Gothic" w:hAnsi="Century Gothic"/>
          <w:b/>
          <w:sz w:val="32"/>
          <w:szCs w:val="32"/>
        </w:rPr>
        <w:t>PROCES VERBAL</w:t>
      </w:r>
    </w:p>
    <w:p>
      <w:pPr>
        <w:pStyle w:val="Normal"/>
        <w:ind w:right="-24" w:hanging="0"/>
        <w:jc w:val="center"/>
        <w:rPr>
          <w:rFonts w:ascii="Century Gothic" w:hAnsi="Century Gothic" w:cs="Arial"/>
          <w:b/>
          <w:b/>
          <w:sz w:val="32"/>
          <w:szCs w:val="32"/>
        </w:rPr>
      </w:pPr>
      <w:r>
        <w:rPr>
          <w:rFonts w:cs="Arial" w:ascii="Century Gothic" w:hAnsi="Century Gothic"/>
          <w:b/>
          <w:sz w:val="32"/>
          <w:szCs w:val="32"/>
        </w:rPr>
        <w:t>NEGOCIATION OBLIGATOIRE DANS L’ENTREPRISE</w:t>
      </w:r>
    </w:p>
    <w:p>
      <w:pPr>
        <w:pStyle w:val="Normal"/>
        <w:ind w:right="-24" w:hanging="0"/>
        <w:jc w:val="center"/>
        <w:rPr>
          <w:rFonts w:ascii="Century Gothic" w:hAnsi="Century Gothic" w:cs="Arial"/>
          <w:b/>
          <w:b/>
          <w:sz w:val="32"/>
          <w:szCs w:val="32"/>
        </w:rPr>
      </w:pPr>
      <w:r>
        <w:rPr>
          <w:rFonts w:cs="Arial" w:ascii="Century Gothic" w:hAnsi="Century Gothic"/>
          <w:b/>
          <w:sz w:val="32"/>
          <w:szCs w:val="32"/>
        </w:rPr>
        <w:t>09/02/2023</w:t>
      </w:r>
    </w:p>
    <w:p>
      <w:pPr>
        <w:pStyle w:val="Normal"/>
        <w:ind w:right="-24" w:hanging="0"/>
        <w:jc w:val="both"/>
        <w:rPr>
          <w:rFonts w:ascii="Century Gothic" w:hAnsi="Century Gothic" w:cs="Arial"/>
          <w:b/>
          <w:b/>
          <w:sz w:val="24"/>
          <w:szCs w:val="24"/>
        </w:rPr>
      </w:pPr>
      <w:r>
        <w:rPr>
          <w:rFonts w:cs="Arial" w:ascii="Century Gothic" w:hAnsi="Century Gothic"/>
          <w:b/>
          <w:sz w:val="24"/>
          <w:szCs w:val="24"/>
        </w:rPr>
      </w:r>
    </w:p>
    <w:p>
      <w:pPr>
        <w:pStyle w:val="Normal"/>
        <w:ind w:right="-24" w:hanging="0"/>
        <w:jc w:val="both"/>
        <w:rPr>
          <w:rFonts w:ascii="Century Gothic" w:hAnsi="Century Gothic" w:cs="Arial"/>
          <w:sz w:val="24"/>
          <w:szCs w:val="24"/>
        </w:rPr>
      </w:pPr>
      <w:r>
        <w:rPr>
          <w:rFonts w:cs="Arial" w:ascii="Century Gothic" w:hAnsi="Century Gothic"/>
          <w:sz w:val="24"/>
          <w:szCs w:val="24"/>
        </w:rPr>
      </w:r>
    </w:p>
    <w:p>
      <w:pPr>
        <w:pStyle w:val="Normal"/>
        <w:ind w:right="-24" w:hanging="0"/>
        <w:jc w:val="both"/>
        <w:rPr>
          <w:rFonts w:ascii="Century Gothic" w:hAnsi="Century Gothic" w:cs="Arial"/>
        </w:rPr>
      </w:pPr>
      <w:r>
        <w:rPr>
          <w:rFonts w:cs="Arial" w:ascii="Century Gothic" w:hAnsi="Century Gothic"/>
        </w:rPr>
        <w:t xml:space="preserve">ENTRE : </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L’Association pour l’Aide aux Enfants Inadaptés (AEI), enregistrée sous le numéro de SIRET 780 236 535 00 180, dont le Siège Social est situé au 13 rue des 4 fils Paul DOUMER à TERGNIER (02700), représentée par XXX, en sa qualité de Directeur Général,</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 xml:space="preserve">ET :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4"/>
        </w:numPr>
        <w:ind w:left="720" w:right="-24" w:hanging="360"/>
        <w:jc w:val="both"/>
        <w:rPr/>
      </w:pPr>
      <w:r>
        <w:rPr>
          <w:rFonts w:cs="Arial" w:ascii="Century Gothic" w:hAnsi="Century Gothic"/>
        </w:rPr>
        <w:t>L’organisation syndicale représentative Sud Santé 02, représentée par XXX, en sa qualité de Délégué Syndical.</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4"/>
        </w:numPr>
        <w:ind w:left="720" w:right="-24" w:hanging="360"/>
        <w:jc w:val="both"/>
        <w:rPr>
          <w:rFonts w:ascii="Century Gothic" w:hAnsi="Century Gothic" w:cs="Arial"/>
        </w:rPr>
      </w:pPr>
      <w:r>
        <w:rPr>
          <w:rFonts w:cs="Arial" w:ascii="Century Gothic" w:hAnsi="Century Gothic"/>
        </w:rPr>
        <w:t>L’organisation syndicale CFE-CGC, représentée par XXX, en sa qualité de Déléguée Syndicale.</w:t>
      </w:r>
    </w:p>
    <w:p>
      <w:pPr>
        <w:pStyle w:val="Paragraphedeliste"/>
        <w:ind w:left="0" w:right="-24" w:hanging="0"/>
        <w:jc w:val="both"/>
        <w:rPr>
          <w:rFonts w:ascii="Century Gothic" w:hAnsi="Century Gothic" w:cs="Arial"/>
          <w:sz w:val="20"/>
          <w:szCs w:val="20"/>
        </w:rPr>
      </w:pPr>
      <w:r>
        <w:rPr>
          <w:rFonts w:cs="Arial" w:ascii="Century Gothic" w:hAnsi="Century Gothic"/>
          <w:sz w:val="20"/>
          <w:szCs w:val="20"/>
        </w:rPr>
      </w:r>
    </w:p>
    <w:p>
      <w:pPr>
        <w:pStyle w:val="Paragraphedeliste"/>
        <w:ind w:left="0" w:right="-24" w:hanging="0"/>
        <w:jc w:val="both"/>
        <w:rPr>
          <w:rFonts w:ascii="Century Gothic" w:hAnsi="Century Gothic" w:cs="Arial"/>
          <w:sz w:val="20"/>
          <w:szCs w:val="20"/>
        </w:rPr>
      </w:pPr>
      <w:r>
        <w:rPr>
          <w:rFonts w:cs="Arial" w:ascii="Century Gothic" w:hAnsi="Century Gothic"/>
          <w:sz w:val="20"/>
          <w:szCs w:val="20"/>
        </w:rPr>
      </w:r>
    </w:p>
    <w:p>
      <w:pPr>
        <w:pStyle w:val="Normal"/>
        <w:ind w:right="-24" w:hanging="0"/>
        <w:jc w:val="both"/>
        <w:rPr>
          <w:rFonts w:ascii="Century Gothic" w:hAnsi="Century Gothic" w:cs="Arial"/>
          <w:b/>
          <w:b/>
          <w:u w:val="single"/>
        </w:rPr>
      </w:pPr>
      <w:r>
        <w:rPr>
          <w:rFonts w:cs="Arial" w:ascii="Century Gothic" w:hAnsi="Century Gothic"/>
          <w:b/>
          <w:u w:val="single"/>
        </w:rPr>
        <w:t>ARTICLE 1 : SALARIES CONCERNES</w:t>
      </w:r>
    </w:p>
    <w:p>
      <w:pPr>
        <w:pStyle w:val="Normal"/>
        <w:ind w:right="-24" w:hanging="0"/>
        <w:jc w:val="both"/>
        <w:rPr>
          <w:rFonts w:ascii="Century Gothic" w:hAnsi="Century Gothic" w:cs="Arial"/>
          <w:b/>
          <w:b/>
          <w:u w:val="single"/>
        </w:rPr>
      </w:pPr>
      <w:r>
        <w:rPr>
          <w:rFonts w:cs="Arial" w:ascii="Century Gothic" w:hAnsi="Century Gothic"/>
          <w:b/>
          <w:u w:val="single"/>
        </w:rPr>
      </w:r>
    </w:p>
    <w:p>
      <w:pPr>
        <w:pStyle w:val="Normal"/>
        <w:ind w:right="-24" w:hanging="0"/>
        <w:jc w:val="both"/>
        <w:rPr>
          <w:rFonts w:ascii="Century Gothic" w:hAnsi="Century Gothic" w:cs="Arial"/>
        </w:rPr>
      </w:pPr>
      <w:r>
        <w:rPr>
          <w:rFonts w:cs="Arial" w:ascii="Century Gothic" w:hAnsi="Century Gothic"/>
        </w:rPr>
        <w:t xml:space="preserve">Sont concernés par les dispositions du présent accord l’ensemble du personnel de l’Association, répartis au sein des établissements et services suivants :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2"/>
        </w:numPr>
        <w:ind w:left="720" w:right="-24" w:hanging="360"/>
        <w:jc w:val="both"/>
        <w:rPr>
          <w:rFonts w:ascii="Century Gothic" w:hAnsi="Century Gothic" w:cs="Arial"/>
        </w:rPr>
      </w:pPr>
      <w:r>
        <w:rPr>
          <w:rFonts w:cs="Arial" w:ascii="Century Gothic" w:hAnsi="Century Gothic"/>
        </w:rPr>
        <w:t>Le Centre Brunehaut (IME et SESSAD),</w:t>
      </w:r>
    </w:p>
    <w:p>
      <w:pPr>
        <w:pStyle w:val="Normal"/>
        <w:numPr>
          <w:ilvl w:val="0"/>
          <w:numId w:val="12"/>
        </w:numPr>
        <w:ind w:left="720" w:right="-24" w:hanging="360"/>
        <w:jc w:val="both"/>
        <w:rPr>
          <w:rFonts w:ascii="Century Gothic" w:hAnsi="Century Gothic" w:cs="Arial"/>
        </w:rPr>
      </w:pPr>
      <w:r>
        <w:rPr>
          <w:rFonts w:cs="Arial" w:ascii="Century Gothic" w:hAnsi="Century Gothic"/>
        </w:rPr>
        <w:t>L’ESAT Edmond DUFOUR,</w:t>
      </w:r>
    </w:p>
    <w:p>
      <w:pPr>
        <w:pStyle w:val="Normal"/>
        <w:numPr>
          <w:ilvl w:val="0"/>
          <w:numId w:val="12"/>
        </w:numPr>
        <w:ind w:left="720" w:right="-24" w:hanging="360"/>
        <w:jc w:val="both"/>
        <w:rPr>
          <w:rFonts w:ascii="Century Gothic" w:hAnsi="Century Gothic" w:cs="Arial"/>
        </w:rPr>
      </w:pPr>
      <w:r>
        <w:rPr>
          <w:rFonts w:cs="Arial" w:ascii="Century Gothic" w:hAnsi="Century Gothic"/>
        </w:rPr>
        <w:t>Le Service d’Accompagnement à la Vie Sociale,</w:t>
      </w:r>
    </w:p>
    <w:p>
      <w:pPr>
        <w:pStyle w:val="Normal"/>
        <w:numPr>
          <w:ilvl w:val="0"/>
          <w:numId w:val="12"/>
        </w:numPr>
        <w:ind w:left="720" w:right="-24" w:hanging="360"/>
        <w:jc w:val="both"/>
        <w:rPr>
          <w:rFonts w:ascii="Century Gothic" w:hAnsi="Century Gothic" w:cs="Arial"/>
        </w:rPr>
      </w:pPr>
      <w:r>
        <w:rPr>
          <w:rFonts w:cs="Arial" w:ascii="Century Gothic" w:hAnsi="Century Gothic"/>
        </w:rPr>
        <w:t>La Résidence Le Cèdre,</w:t>
      </w:r>
    </w:p>
    <w:p>
      <w:pPr>
        <w:pStyle w:val="Normal"/>
        <w:numPr>
          <w:ilvl w:val="0"/>
          <w:numId w:val="12"/>
        </w:numPr>
        <w:ind w:left="720" w:right="-24" w:hanging="360"/>
        <w:jc w:val="both"/>
        <w:rPr>
          <w:rFonts w:ascii="Century Gothic" w:hAnsi="Century Gothic" w:cs="Arial"/>
        </w:rPr>
      </w:pPr>
      <w:r>
        <w:rPr>
          <w:rFonts w:cs="Arial" w:ascii="Century Gothic" w:hAnsi="Century Gothic"/>
        </w:rPr>
        <w:t>Le Centre d’Habitat de la Résidence du Lac,</w:t>
      </w:r>
    </w:p>
    <w:p>
      <w:pPr>
        <w:pStyle w:val="Normal"/>
        <w:numPr>
          <w:ilvl w:val="0"/>
          <w:numId w:val="12"/>
        </w:numPr>
        <w:ind w:left="720" w:right="-24" w:hanging="360"/>
        <w:jc w:val="both"/>
        <w:rPr>
          <w:rFonts w:ascii="Century Gothic" w:hAnsi="Century Gothic" w:cs="Arial"/>
        </w:rPr>
      </w:pPr>
      <w:r>
        <w:rPr>
          <w:rFonts w:cs="Arial" w:ascii="Century Gothic" w:hAnsi="Century Gothic"/>
        </w:rPr>
        <w:t>Le Siège de l’Association.</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pPr>
      <w:r>
        <w:rPr>
          <w:rFonts w:cs="Arial" w:ascii="Century Gothic" w:hAnsi="Century Gothic"/>
          <w:b/>
          <w:u w:val="single"/>
        </w:rPr>
        <w:t>ARTICLE 2 : THEMES ABORDES</w:t>
      </w:r>
    </w:p>
    <w:p>
      <w:pPr>
        <w:pStyle w:val="Normal"/>
        <w:ind w:right="-24" w:hanging="0"/>
        <w:jc w:val="both"/>
        <w:rPr>
          <w:rFonts w:ascii="Century Gothic" w:hAnsi="Century Gothic" w:cs="Arial"/>
          <w:b/>
          <w:b/>
          <w:u w:val="single"/>
        </w:rPr>
      </w:pPr>
      <w:r>
        <w:rPr>
          <w:rFonts w:cs="Arial" w:ascii="Century Gothic" w:hAnsi="Century Gothic"/>
          <w:b/>
          <w:u w:val="single"/>
        </w:rPr>
      </w:r>
    </w:p>
    <w:p>
      <w:pPr>
        <w:pStyle w:val="Normal"/>
        <w:numPr>
          <w:ilvl w:val="0"/>
          <w:numId w:val="11"/>
        </w:numPr>
        <w:ind w:left="720" w:right="-24" w:hanging="360"/>
        <w:jc w:val="both"/>
        <w:rPr/>
      </w:pPr>
      <w:r>
        <w:rPr>
          <w:rFonts w:cs="Arial" w:ascii="Century Gothic" w:hAnsi="Century Gothic"/>
        </w:rPr>
        <w:t>La rémunération, le temps de travail et le partage de la valeur ajoutée.</w:t>
      </w:r>
    </w:p>
    <w:p>
      <w:pPr>
        <w:pStyle w:val="Normal"/>
        <w:numPr>
          <w:ilvl w:val="0"/>
          <w:numId w:val="11"/>
        </w:numPr>
        <w:ind w:left="720" w:right="-24" w:hanging="360"/>
        <w:jc w:val="both"/>
        <w:rPr>
          <w:rFonts w:ascii="Century Gothic" w:hAnsi="Century Gothic" w:cs="Arial"/>
        </w:rPr>
      </w:pPr>
      <w:r>
        <w:rPr>
          <w:rFonts w:cs="Arial" w:ascii="Century Gothic" w:hAnsi="Century Gothic"/>
        </w:rPr>
        <w:t>L’égalité professionnelle et la qualité de vie au travail.</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3"/>
        </w:numPr>
        <w:ind w:left="1440" w:right="-24" w:hanging="720"/>
        <w:jc w:val="both"/>
        <w:rPr>
          <w:rFonts w:ascii="Century Gothic" w:hAnsi="Century Gothic" w:cs="Arial"/>
          <w:b/>
          <w:b/>
        </w:rPr>
      </w:pPr>
      <w:r>
        <w:rPr>
          <w:rFonts w:cs="Arial" w:ascii="Century Gothic" w:hAnsi="Century Gothic"/>
          <w:b/>
        </w:rPr>
        <w:t>1. Les salaires effectifs</w:t>
      </w:r>
    </w:p>
    <w:p>
      <w:pPr>
        <w:pStyle w:val="Normal"/>
        <w:ind w:right="-24" w:hanging="0"/>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 xml:space="preserve">Il apparaît, en matière salariale que l’AEI applique la Convention Collective Nationale de Travail du 15 mars 1966 en matière de classification, de valeur du point et de toute augmentation conventionnelle liée à des avenants conclus et agréés. </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Par conséquent, il n’y a pas d’écarts de rémunération entre les hommes et les femmes qui ne soient liés à des mesures instituées par la Convention Collective.</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Conformément à l’accord d’entreprise pour l’égalité de traitement entre les hommes et les femmes conclu le 22 février 2022, l’Association œuvre pour sa stricte application.</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t>Eventail des rémunérations par sexe et par catégorie professionnelle</w:t>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tbl>
      <w:tblPr>
        <w:tblW w:w="6906" w:type="dxa"/>
        <w:jc w:val="center"/>
        <w:tblInd w:w="0" w:type="dxa"/>
        <w:tblBorders/>
        <w:tblCellMar>
          <w:top w:w="0" w:type="dxa"/>
          <w:left w:w="70" w:type="dxa"/>
          <w:bottom w:w="0" w:type="dxa"/>
          <w:right w:w="70" w:type="dxa"/>
        </w:tblCellMar>
      </w:tblPr>
      <w:tblGrid>
        <w:gridCol w:w="3398"/>
        <w:gridCol w:w="1701"/>
        <w:gridCol w:w="1807"/>
      </w:tblGrid>
      <w:tr>
        <w:trPr>
          <w:trHeight w:val="330" w:hRule="atLeast"/>
        </w:trPr>
        <w:tc>
          <w:tcPr>
            <w:tcW w:w="3398" w:type="dxa"/>
            <w:tcBorders/>
            <w:shd w:fill="auto" w:val="clear"/>
          </w:tcPr>
          <w:p>
            <w:pPr>
              <w:pStyle w:val="Normal"/>
              <w:overflowPunct w:val="true"/>
              <w:autoSpaceDE w:val="true"/>
              <w:snapToGrid w:val="false"/>
              <w:ind w:right="-24" w:hanging="0"/>
              <w:jc w:val="center"/>
              <w:textAlignment w:val="auto"/>
              <w:rPr>
                <w:rFonts w:ascii="Century Gothic" w:hAnsi="Century Gothic" w:cs="Century Gothic"/>
              </w:rPr>
            </w:pPr>
            <w:r>
              <w:rPr>
                <w:rFonts w:cs="Century Gothic" w:ascii="Century Gothic" w:hAnsi="Century Gothic"/>
              </w:rPr>
            </w:r>
          </w:p>
        </w:tc>
        <w:tc>
          <w:tcPr>
            <w:tcW w:w="350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Salaire MOYEN</w:t>
            </w:r>
          </w:p>
        </w:tc>
      </w:tr>
      <w:tr>
        <w:trPr>
          <w:trHeight w:val="330" w:hRule="atLeast"/>
        </w:trPr>
        <w:tc>
          <w:tcPr>
            <w:tcW w:w="3398" w:type="dxa"/>
            <w:tcBorders>
              <w:top w:val="single" w:sz="8" w:space="0" w:color="000000"/>
              <w:left w:val="single" w:sz="8" w:space="0" w:color="000000"/>
              <w:bottom w:val="single" w:sz="8" w:space="0" w:color="000000"/>
              <w:insideH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Catégories</w:t>
            </w:r>
          </w:p>
        </w:tc>
        <w:tc>
          <w:tcPr>
            <w:tcW w:w="1701" w:type="dxa"/>
            <w:tcBorders>
              <w:top w:val="single" w:sz="8" w:space="0" w:color="000000"/>
              <w:left w:val="single" w:sz="8" w:space="0" w:color="000000"/>
              <w:bottom w:val="single" w:sz="8" w:space="0" w:color="000000"/>
              <w:insideH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F</w:t>
            </w:r>
          </w:p>
        </w:tc>
        <w:tc>
          <w:tcPr>
            <w:tcW w:w="1807" w:type="dxa"/>
            <w:tcBorders>
              <w:top w:val="single" w:sz="8" w:space="0" w:color="000000"/>
              <w:left w:val="single" w:sz="4" w:space="0" w:color="000000"/>
              <w:bottom w:val="single" w:sz="8" w:space="0" w:color="000000"/>
              <w:right w:val="single" w:sz="8" w:space="0" w:color="000000"/>
              <w:insideH w:val="single" w:sz="8" w:space="0" w:color="000000"/>
              <w:insideV w:val="single" w:sz="8" w:space="0" w:color="000000"/>
            </w:tcBorders>
            <w:shd w:fill="auto" w:val="clear"/>
            <w:tcMar>
              <w:left w:w="65"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H</w:t>
            </w:r>
          </w:p>
        </w:tc>
      </w:tr>
      <w:tr>
        <w:trPr>
          <w:trHeight w:val="345" w:hRule="atLeast"/>
        </w:trPr>
        <w:tc>
          <w:tcPr>
            <w:tcW w:w="3398"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Direction / Encadrement</w:t>
            </w:r>
          </w:p>
        </w:tc>
        <w:tc>
          <w:tcPr>
            <w:tcW w:w="1701" w:type="dxa"/>
            <w:tcBorders>
              <w:top w:val="single" w:sz="8" w:space="0" w:color="000000"/>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3 696</w:t>
            </w:r>
          </w:p>
        </w:tc>
        <w:tc>
          <w:tcPr>
            <w:tcW w:w="1807" w:type="dxa"/>
            <w:tcBorders>
              <w:top w:val="single" w:sz="8" w:space="0" w:color="000000"/>
              <w:left w:val="single" w:sz="8" w:space="0" w:color="000000"/>
              <w:bottom w:val="single" w:sz="4" w:space="0" w:color="000000"/>
              <w:right w:val="single" w:sz="8" w:space="0" w:color="000000"/>
              <w:insideH w:val="single" w:sz="4" w:space="0" w:color="000000"/>
              <w:insideV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 xml:space="preserve">4 211 </w:t>
            </w:r>
            <w:r>
              <w:rPr>
                <w:rFonts w:cs="Calibri" w:ascii="Century Gothic" w:hAnsi="Century Gothic"/>
                <w:color w:val="000000"/>
                <w:sz w:val="16"/>
                <w:szCs w:val="16"/>
              </w:rPr>
              <w:t>(+14%)</w:t>
            </w:r>
          </w:p>
        </w:tc>
      </w:tr>
      <w:tr>
        <w:trPr>
          <w:trHeight w:val="345" w:hRule="atLeast"/>
        </w:trPr>
        <w:tc>
          <w:tcPr>
            <w:tcW w:w="3398"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Administration / Gestion</w:t>
            </w:r>
          </w:p>
        </w:tc>
        <w:tc>
          <w:tcPr>
            <w:tcW w:w="1701"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2 441</w:t>
            </w:r>
          </w:p>
        </w:tc>
        <w:tc>
          <w:tcPr>
            <w:tcW w:w="1807" w:type="dxa"/>
            <w:tcBorders>
              <w:left w:val="single" w:sz="8" w:space="0" w:color="000000"/>
              <w:bottom w:val="single" w:sz="4" w:space="0" w:color="000000"/>
              <w:right w:val="single" w:sz="8" w:space="0" w:color="000000"/>
              <w:insideH w:val="single" w:sz="4" w:space="0" w:color="000000"/>
              <w:insideV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 xml:space="preserve">1 339 </w:t>
            </w:r>
            <w:r>
              <w:rPr>
                <w:rFonts w:cs="Calibri" w:ascii="Century Gothic" w:hAnsi="Century Gothic"/>
                <w:color w:val="000000"/>
                <w:sz w:val="16"/>
                <w:szCs w:val="16"/>
              </w:rPr>
              <w:t>(-45%)</w:t>
            </w:r>
          </w:p>
        </w:tc>
      </w:tr>
      <w:tr>
        <w:trPr>
          <w:trHeight w:val="345" w:hRule="atLeast"/>
        </w:trPr>
        <w:tc>
          <w:tcPr>
            <w:tcW w:w="3398"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Educatif</w:t>
            </w:r>
          </w:p>
        </w:tc>
        <w:tc>
          <w:tcPr>
            <w:tcW w:w="1701"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2 077</w:t>
            </w:r>
          </w:p>
        </w:tc>
        <w:tc>
          <w:tcPr>
            <w:tcW w:w="1807" w:type="dxa"/>
            <w:tcBorders>
              <w:left w:val="single" w:sz="8" w:space="0" w:color="000000"/>
              <w:bottom w:val="single" w:sz="4" w:space="0" w:color="000000"/>
              <w:right w:val="single" w:sz="8" w:space="0" w:color="000000"/>
              <w:insideH w:val="single" w:sz="4" w:space="0" w:color="000000"/>
              <w:insideV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 xml:space="preserve">2 148 </w:t>
            </w:r>
            <w:r>
              <w:rPr>
                <w:rFonts w:cs="Calibri" w:ascii="Century Gothic" w:hAnsi="Century Gothic"/>
                <w:color w:val="000000"/>
                <w:sz w:val="16"/>
                <w:szCs w:val="16"/>
              </w:rPr>
              <w:t>(+3%)</w:t>
            </w:r>
          </w:p>
        </w:tc>
      </w:tr>
      <w:tr>
        <w:trPr>
          <w:trHeight w:val="345" w:hRule="atLeast"/>
        </w:trPr>
        <w:tc>
          <w:tcPr>
            <w:tcW w:w="3398"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Psychologues / Médical / Paramédical</w:t>
            </w:r>
          </w:p>
        </w:tc>
        <w:tc>
          <w:tcPr>
            <w:tcW w:w="1701"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1 485</w:t>
            </w:r>
          </w:p>
        </w:tc>
        <w:tc>
          <w:tcPr>
            <w:tcW w:w="1807" w:type="dxa"/>
            <w:tcBorders>
              <w:left w:val="single" w:sz="8" w:space="0" w:color="000000"/>
              <w:bottom w:val="single" w:sz="4" w:space="0" w:color="000000"/>
              <w:right w:val="single" w:sz="8" w:space="0" w:color="000000"/>
              <w:insideH w:val="single" w:sz="4" w:space="0" w:color="000000"/>
              <w:insideV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 xml:space="preserve">1 871 </w:t>
            </w:r>
            <w:r>
              <w:rPr>
                <w:rFonts w:cs="Calibri" w:ascii="Century Gothic" w:hAnsi="Century Gothic"/>
                <w:color w:val="000000"/>
                <w:sz w:val="16"/>
                <w:szCs w:val="16"/>
              </w:rPr>
              <w:t>(+26%)</w:t>
            </w:r>
          </w:p>
        </w:tc>
      </w:tr>
      <w:tr>
        <w:trPr>
          <w:trHeight w:val="345" w:hRule="atLeast"/>
        </w:trPr>
        <w:tc>
          <w:tcPr>
            <w:tcW w:w="3398"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Services Généraux</w:t>
            </w:r>
          </w:p>
        </w:tc>
        <w:tc>
          <w:tcPr>
            <w:tcW w:w="1701" w:type="dxa"/>
            <w:tcBorders>
              <w:left w:val="single" w:sz="8" w:space="0" w:color="000000"/>
              <w:bottom w:val="single" w:sz="4" w:space="0" w:color="000000"/>
              <w:insideH w:val="single" w:sz="4"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1 484</w:t>
            </w:r>
          </w:p>
        </w:tc>
        <w:tc>
          <w:tcPr>
            <w:tcW w:w="1807" w:type="dxa"/>
            <w:tcBorders>
              <w:left w:val="single" w:sz="8" w:space="0" w:color="000000"/>
              <w:bottom w:val="single" w:sz="4" w:space="0" w:color="000000"/>
              <w:right w:val="single" w:sz="8" w:space="0" w:color="000000"/>
              <w:insideH w:val="single" w:sz="4" w:space="0" w:color="000000"/>
              <w:insideV w:val="single" w:sz="8" w:space="0" w:color="000000"/>
            </w:tcBorders>
            <w:shd w:fill="auto" w:val="clear"/>
            <w:tcMar>
              <w:left w:w="60"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 xml:space="preserve">1 729 </w:t>
            </w:r>
            <w:r>
              <w:rPr>
                <w:rFonts w:cs="Calibri" w:ascii="Century Gothic" w:hAnsi="Century Gothic"/>
                <w:color w:val="000000"/>
                <w:sz w:val="16"/>
                <w:szCs w:val="16"/>
              </w:rPr>
              <w:t>(+17%)</w:t>
            </w:r>
          </w:p>
        </w:tc>
      </w:tr>
    </w:tbl>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i/>
          <w:i/>
          <w:iCs/>
          <w:color w:val="000000"/>
          <w:sz w:val="18"/>
          <w:szCs w:val="18"/>
        </w:rPr>
      </w:pPr>
      <w:r>
        <w:rPr>
          <w:rFonts w:cs="Calibri" w:ascii="Century Gothic" w:hAnsi="Century Gothic"/>
          <w:i/>
          <w:iCs/>
          <w:color w:val="000000"/>
          <w:sz w:val="18"/>
          <w:szCs w:val="18"/>
          <w:u w:val="single"/>
        </w:rPr>
        <w:t>Mode de calcul du salaire moyen</w:t>
      </w:r>
      <w:r>
        <w:rPr>
          <w:rFonts w:cs="Calibri" w:ascii="Century Gothic" w:hAnsi="Century Gothic"/>
          <w:i/>
          <w:iCs/>
          <w:color w:val="000000"/>
          <w:sz w:val="18"/>
          <w:szCs w:val="18"/>
        </w:rPr>
        <w:t> </w:t>
      </w:r>
    </w:p>
    <w:p>
      <w:pPr>
        <w:pStyle w:val="Normal"/>
        <w:numPr>
          <w:ilvl w:val="0"/>
          <w:numId w:val="9"/>
        </w:numPr>
        <w:overflowPunct w:val="true"/>
        <w:autoSpaceDE w:val="true"/>
        <w:ind w:left="720" w:right="-24" w:hanging="360"/>
        <w:jc w:val="both"/>
        <w:textAlignment w:val="auto"/>
        <w:rPr>
          <w:rFonts w:ascii="Century Gothic" w:hAnsi="Century Gothic" w:cs="Arial"/>
          <w:i/>
          <w:i/>
          <w:iCs/>
          <w:sz w:val="18"/>
          <w:szCs w:val="18"/>
        </w:rPr>
      </w:pPr>
      <w:r>
        <w:rPr>
          <w:rFonts w:cs="Calibri" w:ascii="Century Gothic" w:hAnsi="Century Gothic"/>
          <w:i/>
          <w:iCs/>
          <w:color w:val="000000"/>
          <w:sz w:val="18"/>
          <w:szCs w:val="18"/>
        </w:rPr>
        <w:t>Montant moyen du salaire brut mensuel = total des salaires bruts hors prime exceptionnelle au 31/12/2021 / total du nombre de mois de présence </w:t>
      </w:r>
    </w:p>
    <w:p>
      <w:pPr>
        <w:pStyle w:val="Normal"/>
        <w:numPr>
          <w:ilvl w:val="0"/>
          <w:numId w:val="9"/>
        </w:numPr>
        <w:overflowPunct w:val="true"/>
        <w:autoSpaceDE w:val="true"/>
        <w:ind w:left="720" w:right="-24" w:hanging="360"/>
        <w:jc w:val="both"/>
        <w:textAlignment w:val="auto"/>
        <w:rPr>
          <w:rFonts w:ascii="Century Gothic" w:hAnsi="Century Gothic" w:cs="Arial"/>
          <w:i/>
          <w:i/>
          <w:iCs/>
          <w:sz w:val="18"/>
          <w:szCs w:val="18"/>
        </w:rPr>
      </w:pPr>
      <w:r>
        <w:rPr>
          <w:rFonts w:cs="Calibri" w:ascii="Century Gothic" w:hAnsi="Century Gothic"/>
          <w:i/>
          <w:iCs/>
          <w:color w:val="000000"/>
          <w:sz w:val="18"/>
          <w:szCs w:val="18"/>
        </w:rPr>
        <w:t>Période prise en compte : du 01/01/2021 au 31/12/2021</w:t>
      </w:r>
    </w:p>
    <w:p>
      <w:pPr>
        <w:pStyle w:val="Normal"/>
        <w:numPr>
          <w:ilvl w:val="0"/>
          <w:numId w:val="9"/>
        </w:numPr>
        <w:overflowPunct w:val="true"/>
        <w:autoSpaceDE w:val="true"/>
        <w:ind w:left="720" w:right="-24" w:hanging="360"/>
        <w:jc w:val="both"/>
        <w:textAlignment w:val="auto"/>
        <w:rPr/>
      </w:pPr>
      <w:r>
        <w:rPr>
          <w:rFonts w:cs="Arial" w:ascii="Century Gothic" w:hAnsi="Century Gothic"/>
          <w:i/>
          <w:iCs/>
          <w:sz w:val="18"/>
          <w:szCs w:val="18"/>
        </w:rPr>
        <w:t>Le calcul ne concerne que les salariés présents au 31/12/2021</w:t>
      </w:r>
    </w:p>
    <w:p>
      <w:pPr>
        <w:pStyle w:val="Normal"/>
        <w:ind w:right="-24" w:hanging="0"/>
        <w:jc w:val="both"/>
        <w:rPr>
          <w:rFonts w:ascii="Century Gothic" w:hAnsi="Century Gothic" w:cs="Arial"/>
          <w:i/>
          <w:i/>
          <w:iCs/>
          <w:sz w:val="18"/>
          <w:szCs w:val="18"/>
        </w:rPr>
      </w:pPr>
      <w:r>
        <w:rPr>
          <w:rFonts w:cs="Arial" w:ascii="Century Gothic" w:hAnsi="Century Gothic"/>
          <w:i/>
          <w:iCs/>
          <w:sz w:val="18"/>
          <w:szCs w:val="18"/>
        </w:rPr>
      </w:r>
    </w:p>
    <w:p>
      <w:pPr>
        <w:pStyle w:val="Normal"/>
        <w:ind w:right="-24" w:hanging="0"/>
        <w:jc w:val="both"/>
        <w:rPr>
          <w:rFonts w:ascii="Century Gothic" w:hAnsi="Century Gothic" w:cs="Arial"/>
        </w:rPr>
      </w:pPr>
      <w:r>
        <w:rPr>
          <w:rFonts w:cs="Arial" w:ascii="Century Gothic" w:hAnsi="Century Gothic"/>
        </w:rPr>
        <w:t>A travers ce tableau, nous observons des différences de traitement (au sens rémunération du terme) entre le salaire moyen des hommes et celui des femmes.</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Pour autant, nous appliquons de la même manière, aussi bien pour les femmes que pour les hommes, les dispositions de notre convention collective (CCN 66 du15 /03/1966) et nous appliquons les grilles de rémunération conformément à l’ancienneté et au poste occupé par le ou la salarié(e).</w:t>
      </w:r>
    </w:p>
    <w:p>
      <w:pPr>
        <w:pStyle w:val="Normal"/>
        <w:ind w:right="-24" w:hanging="0"/>
        <w:jc w:val="both"/>
        <w:rPr>
          <w:rFonts w:ascii="Century Gothic" w:hAnsi="Century Gothic" w:cs="Arial"/>
        </w:rPr>
      </w:pPr>
      <w:r>
        <w:rPr>
          <w:rFonts w:cs="Arial" w:ascii="Century Gothic" w:hAnsi="Century Gothic"/>
        </w:rPr>
        <w:t>La valeur du point est fixée à 3,82 € brut sur l’exercice 2021.</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pPr>
      <w:r>
        <w:rPr>
          <w:rFonts w:cs="Arial" w:ascii="Century Gothic" w:hAnsi="Century Gothic"/>
        </w:rPr>
        <w:t xml:space="preserve">Ces différences s’expliquent de la manière suivante :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3"/>
        </w:numPr>
        <w:ind w:left="720" w:right="-24" w:hanging="360"/>
        <w:jc w:val="both"/>
        <w:rPr>
          <w:rFonts w:ascii="Century Gothic" w:hAnsi="Century Gothic" w:cs="Arial"/>
        </w:rPr>
      </w:pPr>
      <w:r>
        <w:rPr>
          <w:rFonts w:cs="Arial" w:ascii="Century Gothic" w:hAnsi="Century Gothic"/>
          <w:b/>
          <w:bCs/>
        </w:rPr>
        <w:t>Catégorie « Direction / Encadrement »</w:t>
      </w:r>
      <w:r>
        <w:rPr>
          <w:rFonts w:cs="Arial" w:ascii="Century Gothic" w:hAnsi="Century Gothic"/>
        </w:rPr>
        <w:t xml:space="preserve"> : </w:t>
      </w:r>
    </w:p>
    <w:p>
      <w:pPr>
        <w:pStyle w:val="Normal"/>
        <w:ind w:left="72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 xml:space="preserve">Sur l’année 2021, cette catégorie inclut les fonctions suivantes : directeurs (DG, DAF, directions d’établissements et de services) et chefs de services (administratifs et éducatifs). </w:t>
      </w:r>
    </w:p>
    <w:p>
      <w:pPr>
        <w:pStyle w:val="Normal"/>
        <w:ind w:left="144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Dans cette catégorie, on note un nombre plus élevé de salariés de sexe masculin aux postes relevant d’une qualification plus élevée, qui sont les mieux rémunérés par la CC66 dans cette catégorie.</w:t>
      </w:r>
    </w:p>
    <w:p>
      <w:pPr>
        <w:pStyle w:val="Normal"/>
        <w:ind w:left="359" w:right="-24" w:hanging="0"/>
        <w:jc w:val="both"/>
        <w:rPr>
          <w:rFonts w:ascii="Century Gothic" w:hAnsi="Century Gothic" w:cs="Arial"/>
        </w:rPr>
      </w:pPr>
      <w:r>
        <w:rPr>
          <w:rFonts w:cs="Arial" w:ascii="Century Gothic" w:hAnsi="Century Gothic"/>
        </w:rPr>
      </w:r>
    </w:p>
    <w:p>
      <w:pPr>
        <w:pStyle w:val="Normal"/>
        <w:ind w:left="359" w:right="-24" w:hanging="0"/>
        <w:jc w:val="both"/>
        <w:rPr>
          <w:rFonts w:ascii="Century Gothic" w:hAnsi="Century Gothic" w:cs="Arial"/>
        </w:rPr>
      </w:pPr>
      <w:r>
        <w:rPr>
          <w:rFonts w:cs="Arial" w:ascii="Century Gothic" w:hAnsi="Century Gothic"/>
        </w:rPr>
      </w:r>
    </w:p>
    <w:p>
      <w:pPr>
        <w:pStyle w:val="Normal"/>
        <w:ind w:left="359" w:right="-24" w:hanging="0"/>
        <w:jc w:val="both"/>
        <w:rPr>
          <w:rFonts w:ascii="Century Gothic" w:hAnsi="Century Gothic" w:cs="Arial"/>
        </w:rPr>
      </w:pPr>
      <w:r>
        <w:rPr>
          <w:rFonts w:cs="Arial" w:ascii="Century Gothic" w:hAnsi="Century Gothic"/>
        </w:rPr>
      </w:r>
    </w:p>
    <w:p>
      <w:pPr>
        <w:pStyle w:val="Normal"/>
        <w:ind w:left="359" w:right="-24" w:hanging="0"/>
        <w:jc w:val="both"/>
        <w:rPr>
          <w:rFonts w:ascii="Century Gothic" w:hAnsi="Century Gothic" w:cs="Arial"/>
        </w:rPr>
      </w:pPr>
      <w:r>
        <w:rPr>
          <w:rFonts w:cs="Arial" w:ascii="Century Gothic" w:hAnsi="Century Gothic"/>
        </w:rPr>
      </w:r>
    </w:p>
    <w:p>
      <w:pPr>
        <w:pStyle w:val="Normal"/>
        <w:ind w:left="359"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3"/>
        </w:numPr>
        <w:ind w:left="720" w:right="-24" w:hanging="360"/>
        <w:jc w:val="both"/>
        <w:rPr>
          <w:rFonts w:ascii="Century Gothic" w:hAnsi="Century Gothic" w:cs="Arial"/>
        </w:rPr>
      </w:pPr>
      <w:r>
        <w:rPr>
          <w:rFonts w:cs="Arial" w:ascii="Century Gothic" w:hAnsi="Century Gothic"/>
          <w:b/>
          <w:bCs/>
        </w:rPr>
        <w:t>Catégorie « Administration / Gestion »</w:t>
      </w:r>
      <w:r>
        <w:rPr>
          <w:rFonts w:cs="Arial" w:ascii="Century Gothic" w:hAnsi="Century Gothic"/>
        </w:rPr>
        <w:t xml:space="preserve"> : </w:t>
      </w:r>
    </w:p>
    <w:p>
      <w:pPr>
        <w:pStyle w:val="Normal"/>
        <w:ind w:left="72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 xml:space="preserve">Sur l’année 2021, cette catégorie inclut les fonctions suivantes : agent administratif, agent administratif principal, technicien qualifié, technicien supérieur. </w:t>
      </w:r>
    </w:p>
    <w:p>
      <w:pPr>
        <w:pStyle w:val="Normal"/>
        <w:ind w:left="144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Dans cette catégorie, on note un nombre plus élevé de salariées de sexe féminin. Les salariées exercent leurs activités sur des postes relevant d’une qualification plus élevée et donc sont mieux rémunérés par la CC66.</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3"/>
        </w:numPr>
        <w:ind w:left="720" w:right="-24" w:hanging="360"/>
        <w:jc w:val="both"/>
        <w:rPr>
          <w:rFonts w:ascii="Century Gothic" w:hAnsi="Century Gothic" w:cs="Arial"/>
        </w:rPr>
      </w:pPr>
      <w:r>
        <w:rPr>
          <w:rFonts w:cs="Arial" w:ascii="Century Gothic" w:hAnsi="Century Gothic"/>
          <w:b/>
          <w:bCs/>
        </w:rPr>
        <w:t>Catégorie « Educatif »</w:t>
      </w:r>
      <w:r>
        <w:rPr>
          <w:rFonts w:cs="Arial" w:ascii="Century Gothic" w:hAnsi="Century Gothic"/>
        </w:rPr>
        <w:t xml:space="preserve"> : </w:t>
      </w:r>
    </w:p>
    <w:p>
      <w:pPr>
        <w:pStyle w:val="Normal"/>
        <w:ind w:left="72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Sur l’année 2021, cette catégorie inclut les fonctions suivantes : aide médico-psychologique, accompagnant éducatif et social, moniteur-éducateur, éducateur spécialisé, moniteur d’atelier 1</w:t>
      </w:r>
      <w:r>
        <w:rPr>
          <w:rFonts w:cs="Arial" w:ascii="Century Gothic" w:hAnsi="Century Gothic"/>
          <w:vertAlign w:val="superscript"/>
        </w:rPr>
        <w:t>ère</w:t>
      </w:r>
      <w:r>
        <w:rPr>
          <w:rFonts w:cs="Arial" w:ascii="Century Gothic" w:hAnsi="Century Gothic"/>
        </w:rPr>
        <w:t xml:space="preserve"> et 2</w:t>
      </w:r>
      <w:r>
        <w:rPr>
          <w:rFonts w:cs="Arial" w:ascii="Century Gothic" w:hAnsi="Century Gothic"/>
          <w:vertAlign w:val="superscript"/>
        </w:rPr>
        <w:t>ème</w:t>
      </w:r>
      <w:r>
        <w:rPr>
          <w:rFonts w:cs="Arial" w:ascii="Century Gothic" w:hAnsi="Century Gothic"/>
        </w:rPr>
        <w:t xml:space="preserve"> classe, éducateur technique spécialisé, éducateur sportif. </w:t>
      </w:r>
    </w:p>
    <w:p>
      <w:pPr>
        <w:pStyle w:val="Normal"/>
        <w:ind w:left="144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Dans cette catégorie, la différence observée n’est pas significative (3%).</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3"/>
        </w:numPr>
        <w:ind w:left="720" w:right="-24" w:hanging="360"/>
        <w:jc w:val="both"/>
        <w:rPr>
          <w:rFonts w:ascii="Century Gothic" w:hAnsi="Century Gothic" w:cs="Arial"/>
        </w:rPr>
      </w:pPr>
      <w:r>
        <w:rPr>
          <w:rFonts w:cs="Arial" w:ascii="Century Gothic" w:hAnsi="Century Gothic"/>
          <w:b/>
          <w:bCs/>
        </w:rPr>
        <w:t>Catégorie « Psychologues / Médical / Paramédical »</w:t>
      </w:r>
      <w:r>
        <w:rPr>
          <w:rFonts w:cs="Arial" w:ascii="Century Gothic" w:hAnsi="Century Gothic"/>
        </w:rPr>
        <w:t xml:space="preserve"> : </w:t>
      </w:r>
    </w:p>
    <w:p>
      <w:pPr>
        <w:pStyle w:val="Normal"/>
        <w:ind w:left="72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Sur l’année 2021, cette catégorie inclut les fonctions suivantes : psychologue, médecin, médecin psychiatre, infirmier, psychomotricien, orthophoniste.</w:t>
      </w:r>
    </w:p>
    <w:p>
      <w:pPr>
        <w:pStyle w:val="Normal"/>
        <w:ind w:left="144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 xml:space="preserve">Cette catégorie est essentiellement composée de salariées de sexe féminin, positionnées pour majeure partie sur des temps partiels inférieurs à 0,50 ETP, en lien avec les budgets accordés.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3"/>
        </w:numPr>
        <w:ind w:left="720" w:right="-24" w:hanging="360"/>
        <w:jc w:val="both"/>
        <w:rPr>
          <w:rFonts w:ascii="Century Gothic" w:hAnsi="Century Gothic" w:cs="Arial"/>
        </w:rPr>
      </w:pPr>
      <w:r>
        <w:rPr>
          <w:rFonts w:cs="Arial" w:ascii="Century Gothic" w:hAnsi="Century Gothic"/>
          <w:b/>
          <w:bCs/>
        </w:rPr>
        <w:t>Catégorie « Services Généraux »</w:t>
      </w:r>
      <w:r>
        <w:rPr>
          <w:rFonts w:cs="Arial" w:ascii="Century Gothic" w:hAnsi="Century Gothic"/>
        </w:rPr>
        <w:t xml:space="preserve"> : </w:t>
      </w:r>
    </w:p>
    <w:p>
      <w:pPr>
        <w:pStyle w:val="Normal"/>
        <w:ind w:left="72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 xml:space="preserve">Sur l’année 2021, cette catégorie inclut les fonctions suivantes : agent de service intérieur, agent technique, agent technique supérieur, ouvrier qualifié, maître de maison, surveillant de nuit qualifié. </w:t>
      </w:r>
    </w:p>
    <w:p>
      <w:pPr>
        <w:pStyle w:val="Normal"/>
        <w:ind w:left="1440" w:right="-24" w:hanging="0"/>
        <w:jc w:val="both"/>
        <w:rPr>
          <w:rFonts w:ascii="Century Gothic" w:hAnsi="Century Gothic" w:cs="Arial"/>
        </w:rPr>
      </w:pPr>
      <w:r>
        <w:rPr>
          <w:rFonts w:cs="Arial" w:ascii="Century Gothic" w:hAnsi="Century Gothic"/>
        </w:rPr>
      </w:r>
    </w:p>
    <w:p>
      <w:pPr>
        <w:pStyle w:val="Normal"/>
        <w:numPr>
          <w:ilvl w:val="1"/>
          <w:numId w:val="13"/>
        </w:numPr>
        <w:ind w:left="1440" w:right="-24" w:hanging="360"/>
        <w:jc w:val="both"/>
        <w:rPr>
          <w:rFonts w:ascii="Century Gothic" w:hAnsi="Century Gothic" w:cs="Arial"/>
        </w:rPr>
      </w:pPr>
      <w:r>
        <w:rPr>
          <w:rFonts w:cs="Arial" w:ascii="Century Gothic" w:hAnsi="Century Gothic"/>
        </w:rPr>
        <w:t xml:space="preserve">Dans cette catégorie, on note un nombre plus élevé de salariées de sexe féminin à temps partiel, ainsi qu’un nombre plus important de salariés de sexe masculin sur des postes relevant d’une qualification plus élevée, qui sont les mieux rémunérés par la CC66 dans cette catégorie. </w:t>
      </w:r>
    </w:p>
    <w:p>
      <w:pPr>
        <w:pStyle w:val="Paragraphedeliste"/>
        <w:rPr>
          <w:rFonts w:ascii="Century Gothic" w:hAnsi="Century Gothic" w:cs="Arial"/>
        </w:rPr>
      </w:pPr>
      <w:r>
        <w:rPr>
          <w:rFonts w:cs="Arial" w:ascii="Century Gothic" w:hAnsi="Century Gothic"/>
        </w:rPr>
      </w:r>
    </w:p>
    <w:p>
      <w:pPr>
        <w:pStyle w:val="Normal"/>
        <w:ind w:left="1440"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10"/>
        </w:numPr>
        <w:ind w:left="1440" w:right="-24" w:hanging="720"/>
        <w:jc w:val="both"/>
        <w:rPr/>
      </w:pPr>
      <w:r>
        <w:rPr>
          <w:rFonts w:cs="Arial" w:ascii="Century Gothic" w:hAnsi="Century Gothic"/>
          <w:b/>
        </w:rPr>
        <w:t>2. La durée effective, l’organisation du temps de travail et la réduction du temps de travail</w:t>
      </w:r>
    </w:p>
    <w:p>
      <w:pPr>
        <w:pStyle w:val="Normal"/>
        <w:ind w:right="-24" w:hanging="0"/>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Au regard du nombre de salariés travaillant à temps partiel dans l’Association, une attention sera portée pour toute demande de changement de quotité de temps de travail.</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Il est à noter que l’Association œuvre à l’égalité de traitement dans la prise de congés dits trimestriels relevant du secteur enfance et trouvant leur équivalent en Congés Payés Supplémentaires pour les salariés travaillant aux pôles travail protégé et hébergement.</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t>Durée du travail par sexe et par catégorie professionnelle</w:t>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tbl>
      <w:tblPr>
        <w:tblW w:w="10580" w:type="dxa"/>
        <w:jc w:val="left"/>
        <w:tblInd w:w="-5" w:type="dxa"/>
        <w:tblBorders/>
        <w:tblCellMar>
          <w:top w:w="0" w:type="dxa"/>
          <w:left w:w="108" w:type="dxa"/>
          <w:bottom w:w="0" w:type="dxa"/>
          <w:right w:w="108" w:type="dxa"/>
        </w:tblCellMar>
      </w:tblPr>
      <w:tblGrid>
        <w:gridCol w:w="2100"/>
        <w:gridCol w:w="1201"/>
        <w:gridCol w:w="990"/>
        <w:gridCol w:w="1197"/>
        <w:gridCol w:w="992"/>
        <w:gridCol w:w="1201"/>
        <w:gridCol w:w="846"/>
        <w:gridCol w:w="1197"/>
        <w:gridCol w:w="856"/>
      </w:tblGrid>
      <w:tr>
        <w:trPr>
          <w:trHeight w:val="736" w:hRule="atLeast"/>
        </w:trPr>
        <w:tc>
          <w:tcPr>
            <w:tcW w:w="2100" w:type="dxa"/>
            <w:tcBorders/>
            <w:shd w:fill="auto" w:val="clear"/>
          </w:tcPr>
          <w:p>
            <w:pPr>
              <w:pStyle w:val="Normal"/>
              <w:overflowPunct w:val="true"/>
              <w:autoSpaceDE w:val="true"/>
              <w:snapToGrid w:val="false"/>
              <w:ind w:right="-24" w:hanging="0"/>
              <w:jc w:val="both"/>
              <w:textAlignment w:val="auto"/>
              <w:rPr>
                <w:rFonts w:ascii="Century Gothic" w:hAnsi="Century Gothic" w:cs="Calibri"/>
                <w:color w:val="000000"/>
              </w:rPr>
            </w:pPr>
            <w:r>
              <w:rPr>
                <w:rFonts w:cs="Calibri" w:ascii="Century Gothic" w:hAnsi="Century Gothic"/>
                <w:color w:val="000000"/>
              </w:rPr>
            </w:r>
          </w:p>
        </w:tc>
        <w:tc>
          <w:tcPr>
            <w:tcW w:w="4380" w:type="dxa"/>
            <w:gridSpan w:val="4"/>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Temps complets</w:t>
            </w:r>
          </w:p>
        </w:tc>
        <w:tc>
          <w:tcPr>
            <w:tcW w:w="4100"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Temps partiels</w:t>
            </w:r>
          </w:p>
        </w:tc>
      </w:tr>
      <w:tr>
        <w:trPr>
          <w:trHeight w:val="699" w:hRule="atLeast"/>
        </w:trPr>
        <w:tc>
          <w:tcPr>
            <w:tcW w:w="2100" w:type="dxa"/>
            <w:tcBorders/>
            <w:shd w:fill="auto" w:val="clear"/>
          </w:tcPr>
          <w:p>
            <w:pPr>
              <w:pStyle w:val="Normal"/>
              <w:overflowPunct w:val="true"/>
              <w:autoSpaceDE w:val="true"/>
              <w:snapToGrid w:val="false"/>
              <w:ind w:right="-24" w:hanging="0"/>
              <w:jc w:val="both"/>
              <w:textAlignment w:val="auto"/>
              <w:rPr>
                <w:rFonts w:ascii="Century Gothic" w:hAnsi="Century Gothic" w:cs="Calibri"/>
                <w:b/>
                <w:b/>
                <w:bCs/>
                <w:color w:val="000000"/>
              </w:rPr>
            </w:pPr>
            <w:r>
              <w:rPr>
                <w:rFonts w:cs="Calibri" w:ascii="Century Gothic" w:hAnsi="Century Gothic"/>
                <w:b/>
                <w:bCs/>
                <w:color w:val="000000"/>
              </w:rPr>
            </w:r>
          </w:p>
        </w:tc>
        <w:tc>
          <w:tcPr>
            <w:tcW w:w="2191"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Femmes</w:t>
            </w:r>
          </w:p>
        </w:tc>
        <w:tc>
          <w:tcPr>
            <w:tcW w:w="2189"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Hommes</w:t>
            </w:r>
          </w:p>
        </w:tc>
        <w:tc>
          <w:tcPr>
            <w:tcW w:w="2047"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Femmes</w:t>
            </w:r>
          </w:p>
        </w:tc>
        <w:tc>
          <w:tcPr>
            <w:tcW w:w="2053"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Hommes</w:t>
            </w:r>
          </w:p>
        </w:tc>
      </w:tr>
      <w:tr>
        <w:trPr>
          <w:trHeight w:val="949" w:hRule="atLeast"/>
        </w:trPr>
        <w:tc>
          <w:tcPr>
            <w:tcW w:w="2100" w:type="dxa"/>
            <w:tcBorders/>
            <w:shd w:fill="auto" w:val="clear"/>
          </w:tcPr>
          <w:p>
            <w:pPr>
              <w:pStyle w:val="Normal"/>
              <w:overflowPunct w:val="true"/>
              <w:autoSpaceDE w:val="true"/>
              <w:snapToGrid w:val="false"/>
              <w:ind w:right="-24" w:hanging="0"/>
              <w:jc w:val="both"/>
              <w:textAlignment w:val="auto"/>
              <w:rPr>
                <w:rFonts w:ascii="Century Gothic" w:hAnsi="Century Gothic" w:cs="Calibri"/>
                <w:color w:val="000000"/>
              </w:rPr>
            </w:pPr>
            <w:r>
              <w:rPr>
                <w:rFonts w:cs="Calibri" w:ascii="Century Gothic" w:hAnsi="Century Gothic"/>
                <w:color w:val="000000"/>
              </w:rPr>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Nombre de salariées</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 xml:space="preserve">% </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Nombre de salariés</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 xml:space="preserve">% </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Nombre de salariées</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 xml:space="preserve">% </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Nombre de salariés</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 xml:space="preserve">% </w:t>
            </w:r>
          </w:p>
        </w:tc>
      </w:tr>
      <w:tr>
        <w:trPr>
          <w:trHeight w:val="743" w:hRule="atLeast"/>
        </w:trPr>
        <w:tc>
          <w:tcPr>
            <w:tcW w:w="210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Direction / Encadrement</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33,33%</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66,67%</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r>
      <w:tr>
        <w:trPr>
          <w:trHeight w:val="743" w:hRule="atLeast"/>
        </w:trPr>
        <w:tc>
          <w:tcPr>
            <w:tcW w:w="210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Administration / Gestion</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12</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100%</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66,66%</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33,33%</w:t>
            </w:r>
          </w:p>
        </w:tc>
      </w:tr>
      <w:tr>
        <w:trPr>
          <w:trHeight w:val="421" w:hRule="atLeast"/>
        </w:trPr>
        <w:tc>
          <w:tcPr>
            <w:tcW w:w="210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Educatif</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54</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55,67%</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43</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44,33%</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87,50%</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12,50%</w:t>
            </w:r>
          </w:p>
        </w:tc>
      </w:tr>
      <w:tr>
        <w:trPr>
          <w:trHeight w:val="1115" w:hRule="atLeast"/>
        </w:trPr>
        <w:tc>
          <w:tcPr>
            <w:tcW w:w="210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Psychologues / Médical / Paramédical</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100%</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11</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91,67%</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8,33%</w:t>
            </w:r>
          </w:p>
        </w:tc>
      </w:tr>
      <w:tr>
        <w:trPr>
          <w:trHeight w:val="421" w:hRule="atLeast"/>
        </w:trPr>
        <w:tc>
          <w:tcPr>
            <w:tcW w:w="210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Services Généraux</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38,10%</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13</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61,90%</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18</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64,29%</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10</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35,71%</w:t>
            </w:r>
          </w:p>
        </w:tc>
      </w:tr>
      <w:tr>
        <w:trPr>
          <w:trHeight w:val="405" w:hRule="atLeast"/>
        </w:trPr>
        <w:tc>
          <w:tcPr>
            <w:tcW w:w="210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sz w:val="18"/>
                <w:szCs w:val="18"/>
              </w:rPr>
            </w:pPr>
            <w:r>
              <w:rPr>
                <w:rFonts w:cs="Calibri" w:ascii="Century Gothic" w:hAnsi="Century Gothic"/>
                <w:b/>
                <w:bCs/>
                <w:color w:val="000000"/>
                <w:sz w:val="18"/>
                <w:szCs w:val="18"/>
              </w:rPr>
              <w:t>TOTAL</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81</w:t>
            </w:r>
          </w:p>
        </w:tc>
        <w:tc>
          <w:tcPr>
            <w:tcW w:w="990"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55,86%</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64</w:t>
            </w:r>
          </w:p>
        </w:tc>
        <w:tc>
          <w:tcPr>
            <w:tcW w:w="99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44,14%</w:t>
            </w:r>
          </w:p>
        </w:tc>
        <w:tc>
          <w:tcPr>
            <w:tcW w:w="1201"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38</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74,51%</w:t>
            </w:r>
          </w:p>
        </w:tc>
        <w:tc>
          <w:tcPr>
            <w:tcW w:w="11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13</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25,49%</w:t>
            </w:r>
          </w:p>
        </w:tc>
      </w:tr>
    </w:tbl>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Arial"/>
          <w:i/>
          <w:i/>
          <w:iCs/>
          <w:sz w:val="18"/>
          <w:szCs w:val="18"/>
        </w:rPr>
      </w:pPr>
      <w:r>
        <w:rPr>
          <w:rFonts w:cs="Calibri" w:ascii="Century Gothic" w:hAnsi="Century Gothic"/>
          <w:i/>
          <w:iCs/>
          <w:color w:val="000000"/>
          <w:sz w:val="18"/>
          <w:szCs w:val="18"/>
          <w:u w:val="single"/>
        </w:rPr>
        <w:t>Mode de calcul</w:t>
      </w:r>
      <w:r>
        <w:rPr>
          <w:rFonts w:cs="Calibri" w:ascii="Century Gothic" w:hAnsi="Century Gothic"/>
          <w:i/>
          <w:iCs/>
          <w:color w:val="000000"/>
          <w:sz w:val="18"/>
          <w:szCs w:val="18"/>
        </w:rPr>
        <w:t xml:space="preserve"> : </w:t>
      </w:r>
      <w:bookmarkStart w:id="0" w:name="_Hlk126049939"/>
      <w:bookmarkEnd w:id="0"/>
      <w:r>
        <w:rPr>
          <w:rFonts w:cs="Calibri" w:ascii="Century Gothic" w:hAnsi="Century Gothic"/>
          <w:i/>
          <w:iCs/>
          <w:color w:val="000000"/>
          <w:sz w:val="18"/>
          <w:szCs w:val="18"/>
        </w:rPr>
        <w:t>Situation des salariés présents au 31/12/2021</w:t>
      </w:r>
    </w:p>
    <w:p>
      <w:pPr>
        <w:pStyle w:val="Normal"/>
        <w:overflowPunct w:val="true"/>
        <w:autoSpaceDE w:val="true"/>
        <w:ind w:right="-24" w:hanging="0"/>
        <w:jc w:val="both"/>
        <w:textAlignment w:val="auto"/>
        <w:rPr>
          <w:rFonts w:ascii="Century Gothic" w:hAnsi="Century Gothic" w:cs="Calibri"/>
          <w:b/>
          <w:b/>
          <w:bCs/>
          <w:i/>
          <w:i/>
          <w:iCs/>
          <w:color w:val="000000"/>
          <w:sz w:val="18"/>
          <w:szCs w:val="18"/>
        </w:rPr>
      </w:pPr>
      <w:r>
        <w:rPr>
          <w:rFonts w:cs="Calibri" w:ascii="Century Gothic" w:hAnsi="Century Gothic"/>
          <w:b/>
          <w:bCs/>
          <w:i/>
          <w:iCs/>
          <w:color w:val="000000"/>
          <w:sz w:val="18"/>
          <w:szCs w:val="18"/>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t xml:space="preserve">On note qu’il existe des différences entre salariées de sexe féminin et de salariés de sexe masculin :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numPr>
          <w:ilvl w:val="0"/>
          <w:numId w:val="2"/>
        </w:numPr>
        <w:overflowPunct w:val="true"/>
        <w:autoSpaceDE w:val="true"/>
        <w:ind w:left="720" w:right="-24" w:hanging="360"/>
        <w:jc w:val="both"/>
        <w:textAlignment w:val="auto"/>
        <w:rPr>
          <w:rFonts w:ascii="Century Gothic" w:hAnsi="Century Gothic" w:cs="Calibri"/>
          <w:color w:val="000000"/>
        </w:rPr>
      </w:pPr>
      <w:r>
        <w:rPr>
          <w:rFonts w:cs="Calibri" w:ascii="Century Gothic" w:hAnsi="Century Gothic"/>
          <w:color w:val="000000"/>
        </w:rPr>
        <w:t xml:space="preserve">55,86 % des emplois à temps complet sont occupés par des salariées de sexe féminin, avec notamment deux catégories professionnelles dans lesquelles l’écart est très significatif : Administration / Gestion et Psychologues / Médical / Paramédical.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numPr>
          <w:ilvl w:val="0"/>
          <w:numId w:val="2"/>
        </w:numPr>
        <w:overflowPunct w:val="true"/>
        <w:autoSpaceDE w:val="true"/>
        <w:ind w:left="720" w:right="-24" w:hanging="360"/>
        <w:jc w:val="both"/>
        <w:textAlignment w:val="auto"/>
        <w:rPr>
          <w:rFonts w:ascii="Century Gothic" w:hAnsi="Century Gothic" w:cs="Calibri"/>
          <w:color w:val="000000"/>
        </w:rPr>
      </w:pPr>
      <w:r>
        <w:rPr>
          <w:rFonts w:cs="Calibri" w:ascii="Century Gothic" w:hAnsi="Century Gothic"/>
          <w:color w:val="000000"/>
        </w:rPr>
        <w:t xml:space="preserve">74,51 % des emplois à temps partiel sont occupés par des salariées de sexe féminin, avec ici également deux catégories professionnelles dans lesquelles l’écart est très significatif : Psychologues / Médical / Paramédical et Educatif. </w:t>
      </w:r>
    </w:p>
    <w:p>
      <w:pPr>
        <w:pStyle w:val="Normal"/>
        <w:overflowPunct w:val="true"/>
        <w:autoSpaceDE w:val="true"/>
        <w:ind w:right="-24" w:hanging="0"/>
        <w:jc w:val="both"/>
        <w:textAlignment w:val="auto"/>
        <w:rPr>
          <w:rFonts w:ascii="Century Gothic" w:hAnsi="Century Gothic" w:cs="Calibri"/>
          <w:color w:val="000000"/>
        </w:rPr>
      </w:pPr>
      <w:r>
        <w:rPr>
          <w:rFonts w:eastAsia="Century Gothic" w:cs="Century Gothic" w:ascii="Century Gothic" w:hAnsi="Century Gothic"/>
          <w:color w:val="000000"/>
        </w:rPr>
        <w:t xml:space="preserve">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right="-24" w:hanging="0"/>
        <w:jc w:val="both"/>
        <w:textAlignment w:val="auto"/>
        <w:rPr/>
      </w:pPr>
      <w:r>
        <w:rPr>
          <w:rFonts w:cs="Calibri" w:ascii="Century Gothic" w:hAnsi="Century Gothic"/>
          <w:color w:val="000000"/>
        </w:rPr>
        <w:t xml:space="preserve">Dans l’analyse de ces différences, plusieurs éléments sont à prendre en considération :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numPr>
          <w:ilvl w:val="0"/>
          <w:numId w:val="7"/>
        </w:numPr>
        <w:overflowPunct w:val="true"/>
        <w:autoSpaceDE w:val="true"/>
        <w:ind w:left="720" w:right="-24" w:hanging="360"/>
        <w:jc w:val="both"/>
        <w:textAlignment w:val="auto"/>
        <w:rPr>
          <w:rFonts w:ascii="Century Gothic" w:hAnsi="Century Gothic" w:cs="Calibri"/>
          <w:color w:val="000000"/>
        </w:rPr>
      </w:pPr>
      <w:r>
        <w:rPr>
          <w:rFonts w:cs="Calibri" w:ascii="Century Gothic" w:hAnsi="Century Gothic"/>
          <w:color w:val="000000"/>
        </w:rPr>
        <w:t xml:space="preserve">La disponibilité des postes à temps plein n’est pas la même d’un point de vue budgétaire, en fonction des catégories professionnelles. Par exemple, 100 % des postes de la catégorie Direction / Encadrement sont proposés à temps plein, alors que 57,14 % des postes de la catégorie Services </w:t>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t xml:space="preserve">Généraux sont proposés à temps partiel du fait de la répartition de ces postes sur différents établissements et budgets au sein de l’AEI. </w:t>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left="720"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numPr>
          <w:ilvl w:val="0"/>
          <w:numId w:val="7"/>
        </w:numPr>
        <w:overflowPunct w:val="true"/>
        <w:autoSpaceDE w:val="true"/>
        <w:ind w:left="720" w:right="-24" w:hanging="360"/>
        <w:jc w:val="both"/>
        <w:textAlignment w:val="auto"/>
        <w:rPr>
          <w:rFonts w:ascii="Century Gothic" w:hAnsi="Century Gothic" w:cs="Calibri"/>
          <w:color w:val="000000"/>
        </w:rPr>
      </w:pPr>
      <w:r>
        <w:rPr>
          <w:rFonts w:cs="Calibri" w:ascii="Century Gothic" w:hAnsi="Century Gothic"/>
          <w:color w:val="000000"/>
        </w:rPr>
        <w:t>Pour certaines catégories professionnelles, les différences constatées sont à mettre en lien avec des différences préexistantes dans la disponibilité des candidats sur le marché de l’emploi. Sont concernées notamment les catégories Administration / Gestion et Psychologue / Médical / Paramédical.</w:t>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t>Organisation du travail par sexe et par catégorie professionnelle</w:t>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tbl>
      <w:tblPr>
        <w:tblW w:w="10638" w:type="dxa"/>
        <w:jc w:val="left"/>
        <w:tblInd w:w="-5" w:type="dxa"/>
        <w:tblBorders/>
        <w:tblCellMar>
          <w:top w:w="0" w:type="dxa"/>
          <w:left w:w="108" w:type="dxa"/>
          <w:bottom w:w="0" w:type="dxa"/>
          <w:right w:w="108" w:type="dxa"/>
        </w:tblCellMar>
      </w:tblPr>
      <w:tblGrid>
        <w:gridCol w:w="2114"/>
        <w:gridCol w:w="1209"/>
        <w:gridCol w:w="996"/>
        <w:gridCol w:w="1205"/>
        <w:gridCol w:w="998"/>
        <w:gridCol w:w="1209"/>
        <w:gridCol w:w="846"/>
        <w:gridCol w:w="1205"/>
        <w:gridCol w:w="856"/>
      </w:tblGrid>
      <w:tr>
        <w:trPr>
          <w:trHeight w:val="520" w:hRule="atLeast"/>
        </w:trPr>
        <w:tc>
          <w:tcPr>
            <w:tcW w:w="2114" w:type="dxa"/>
            <w:tcBorders/>
            <w:shd w:fill="auto" w:val="clear"/>
          </w:tcPr>
          <w:p>
            <w:pPr>
              <w:pStyle w:val="Normal"/>
              <w:overflowPunct w:val="true"/>
              <w:autoSpaceDE w:val="true"/>
              <w:snapToGrid w:val="false"/>
              <w:ind w:right="-24" w:hanging="0"/>
              <w:jc w:val="both"/>
              <w:textAlignment w:val="auto"/>
              <w:rPr>
                <w:rFonts w:ascii="Century Gothic" w:hAnsi="Century Gothic" w:cs="Calibri"/>
                <w:color w:val="000000"/>
              </w:rPr>
            </w:pPr>
            <w:r>
              <w:rPr>
                <w:rFonts w:cs="Calibri" w:ascii="Century Gothic" w:hAnsi="Century Gothic"/>
                <w:color w:val="000000"/>
              </w:rPr>
            </w:r>
          </w:p>
        </w:tc>
        <w:tc>
          <w:tcPr>
            <w:tcW w:w="4408" w:type="dxa"/>
            <w:gridSpan w:val="4"/>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Travail de nuit</w:t>
            </w:r>
          </w:p>
        </w:tc>
        <w:tc>
          <w:tcPr>
            <w:tcW w:w="4116"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Travail le week-end</w:t>
            </w:r>
          </w:p>
        </w:tc>
      </w:tr>
      <w:tr>
        <w:trPr>
          <w:trHeight w:val="494" w:hRule="atLeast"/>
        </w:trPr>
        <w:tc>
          <w:tcPr>
            <w:tcW w:w="2114" w:type="dxa"/>
            <w:tcBorders/>
            <w:shd w:fill="auto" w:val="clear"/>
          </w:tcPr>
          <w:p>
            <w:pPr>
              <w:pStyle w:val="Normal"/>
              <w:overflowPunct w:val="true"/>
              <w:autoSpaceDE w:val="true"/>
              <w:snapToGrid w:val="false"/>
              <w:ind w:right="-24" w:hanging="0"/>
              <w:jc w:val="both"/>
              <w:textAlignment w:val="auto"/>
              <w:rPr>
                <w:rFonts w:ascii="Century Gothic" w:hAnsi="Century Gothic" w:cs="Calibri"/>
                <w:b/>
                <w:b/>
                <w:bCs/>
                <w:color w:val="000000"/>
              </w:rPr>
            </w:pPr>
            <w:r>
              <w:rPr>
                <w:rFonts w:cs="Calibri" w:ascii="Century Gothic" w:hAnsi="Century Gothic"/>
                <w:b/>
                <w:bCs/>
                <w:color w:val="000000"/>
              </w:rPr>
            </w:r>
          </w:p>
        </w:tc>
        <w:tc>
          <w:tcPr>
            <w:tcW w:w="2205"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Femmes</w:t>
            </w:r>
          </w:p>
        </w:tc>
        <w:tc>
          <w:tcPr>
            <w:tcW w:w="2203"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Hommes</w:t>
            </w:r>
          </w:p>
        </w:tc>
        <w:tc>
          <w:tcPr>
            <w:tcW w:w="2055"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Femmes</w:t>
            </w:r>
          </w:p>
        </w:tc>
        <w:tc>
          <w:tcPr>
            <w:tcW w:w="2061"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Hommes</w:t>
            </w:r>
          </w:p>
        </w:tc>
      </w:tr>
      <w:tr>
        <w:trPr>
          <w:trHeight w:val="671" w:hRule="atLeast"/>
        </w:trPr>
        <w:tc>
          <w:tcPr>
            <w:tcW w:w="2114" w:type="dxa"/>
            <w:tcBorders/>
            <w:shd w:fill="auto" w:val="clear"/>
          </w:tcPr>
          <w:p>
            <w:pPr>
              <w:pStyle w:val="Normal"/>
              <w:overflowPunct w:val="true"/>
              <w:autoSpaceDE w:val="true"/>
              <w:snapToGrid w:val="false"/>
              <w:ind w:right="-24" w:hanging="0"/>
              <w:jc w:val="both"/>
              <w:textAlignment w:val="auto"/>
              <w:rPr>
                <w:rFonts w:ascii="Century Gothic" w:hAnsi="Century Gothic" w:cs="Calibri"/>
                <w:color w:val="000000"/>
              </w:rPr>
            </w:pPr>
            <w:r>
              <w:rPr>
                <w:rFonts w:cs="Calibri" w:ascii="Century Gothic" w:hAnsi="Century Gothic"/>
                <w:color w:val="000000"/>
              </w:rPr>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t>Nombre de salariées</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sz w:val="18"/>
                <w:szCs w:val="18"/>
              </w:rPr>
              <w:t xml:space="preserve">% </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t>Nombre de salariés</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sz w:val="18"/>
                <w:szCs w:val="18"/>
              </w:rPr>
              <w:t xml:space="preserve">% </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t>Nombre de salariées</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sz w:val="18"/>
                <w:szCs w:val="18"/>
              </w:rPr>
              <w:t xml:space="preserve">% </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t>Nombre de salariés</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sz w:val="18"/>
                <w:szCs w:val="18"/>
              </w:rPr>
              <w:t xml:space="preserve">% </w:t>
            </w:r>
          </w:p>
        </w:tc>
      </w:tr>
      <w:tr>
        <w:trPr>
          <w:trHeight w:val="525" w:hRule="atLeast"/>
        </w:trPr>
        <w:tc>
          <w:tcPr>
            <w:tcW w:w="211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Direction / Encadrement</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r>
      <w:tr>
        <w:trPr>
          <w:trHeight w:val="525" w:hRule="atLeast"/>
        </w:trPr>
        <w:tc>
          <w:tcPr>
            <w:tcW w:w="211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Administration / Gestion</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r>
      <w:tr>
        <w:trPr>
          <w:trHeight w:val="298" w:hRule="atLeast"/>
        </w:trPr>
        <w:tc>
          <w:tcPr>
            <w:tcW w:w="211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Educatif</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50%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8</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50%</w:t>
            </w:r>
          </w:p>
        </w:tc>
      </w:tr>
      <w:tr>
        <w:trPr>
          <w:trHeight w:val="788" w:hRule="atLeast"/>
        </w:trPr>
        <w:tc>
          <w:tcPr>
            <w:tcW w:w="211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Psychologues / Médical / Paramédical</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0%</w:t>
            </w:r>
          </w:p>
        </w:tc>
      </w:tr>
      <w:tr>
        <w:trPr>
          <w:trHeight w:val="298" w:hRule="atLeast"/>
        </w:trPr>
        <w:tc>
          <w:tcPr>
            <w:tcW w:w="211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Services Généraux</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25%</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75%</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9</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69,23%</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30,77%</w:t>
            </w:r>
          </w:p>
        </w:tc>
      </w:tr>
      <w:tr>
        <w:trPr>
          <w:trHeight w:val="286" w:hRule="atLeast"/>
        </w:trPr>
        <w:tc>
          <w:tcPr>
            <w:tcW w:w="211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sz w:val="18"/>
                <w:szCs w:val="18"/>
              </w:rPr>
            </w:pPr>
            <w:r>
              <w:rPr>
                <w:rFonts w:cs="Calibri" w:ascii="Century Gothic" w:hAnsi="Century Gothic"/>
                <w:b/>
                <w:bCs/>
                <w:color w:val="000000"/>
                <w:sz w:val="18"/>
                <w:szCs w:val="18"/>
              </w:rPr>
              <w:t>TOTAL</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w:t>
            </w:r>
          </w:p>
        </w:tc>
        <w:tc>
          <w:tcPr>
            <w:tcW w:w="99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25%</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w:t>
            </w:r>
          </w:p>
        </w:tc>
        <w:tc>
          <w:tcPr>
            <w:tcW w:w="998"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75%</w:t>
            </w:r>
          </w:p>
        </w:tc>
        <w:tc>
          <w:tcPr>
            <w:tcW w:w="1209"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20</w:t>
            </w:r>
          </w:p>
        </w:tc>
        <w:tc>
          <w:tcPr>
            <w:tcW w:w="84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60,61%</w:t>
            </w:r>
          </w:p>
        </w:tc>
        <w:tc>
          <w:tcPr>
            <w:tcW w:w="1205"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13</w:t>
            </w:r>
          </w:p>
        </w:tc>
        <w:tc>
          <w:tcPr>
            <w:tcW w:w="8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39,39%</w:t>
            </w:r>
          </w:p>
        </w:tc>
      </w:tr>
    </w:tbl>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Arial"/>
          <w:i/>
          <w:i/>
          <w:iCs/>
          <w:sz w:val="18"/>
          <w:szCs w:val="18"/>
        </w:rPr>
      </w:pPr>
      <w:r>
        <w:rPr>
          <w:rFonts w:cs="Calibri" w:ascii="Century Gothic" w:hAnsi="Century Gothic"/>
          <w:i/>
          <w:iCs/>
          <w:color w:val="000000"/>
          <w:sz w:val="18"/>
          <w:szCs w:val="18"/>
          <w:u w:val="single"/>
        </w:rPr>
        <w:t>Mode de calcul</w:t>
      </w:r>
      <w:r>
        <w:rPr>
          <w:rFonts w:cs="Calibri" w:ascii="Century Gothic" w:hAnsi="Century Gothic"/>
          <w:i/>
          <w:iCs/>
          <w:color w:val="000000"/>
          <w:sz w:val="18"/>
          <w:szCs w:val="18"/>
        </w:rPr>
        <w:t> : Situation des salariés présents au 31/12/2021</w:t>
      </w:r>
    </w:p>
    <w:p>
      <w:pPr>
        <w:pStyle w:val="Normal"/>
        <w:overflowPunct w:val="true"/>
        <w:autoSpaceDE w:val="true"/>
        <w:ind w:right="-24" w:hanging="0"/>
        <w:jc w:val="both"/>
        <w:textAlignment w:val="auto"/>
        <w:rPr>
          <w:rFonts w:ascii="Century Gothic" w:hAnsi="Century Gothic" w:cs="Calibri"/>
          <w:b/>
          <w:b/>
          <w:bCs/>
          <w:i/>
          <w:i/>
          <w:iCs/>
          <w:color w:val="000000"/>
          <w:sz w:val="18"/>
          <w:szCs w:val="18"/>
        </w:rPr>
      </w:pPr>
      <w:r>
        <w:rPr>
          <w:rFonts w:cs="Calibri" w:ascii="Century Gothic" w:hAnsi="Century Gothic"/>
          <w:b/>
          <w:bCs/>
          <w:i/>
          <w:iCs/>
          <w:color w:val="000000"/>
          <w:sz w:val="18"/>
          <w:szCs w:val="18"/>
        </w:rPr>
      </w:r>
    </w:p>
    <w:p>
      <w:pPr>
        <w:pStyle w:val="Normal"/>
        <w:overflowPunct w:val="true"/>
        <w:autoSpaceDE w:val="true"/>
        <w:ind w:right="-24" w:hanging="0"/>
        <w:jc w:val="both"/>
        <w:textAlignment w:val="auto"/>
        <w:rPr>
          <w:rFonts w:ascii="Century Gothic" w:hAnsi="Century Gothic" w:cs="Calibri"/>
          <w:b/>
          <w:b/>
          <w:bCs/>
          <w:color w:val="000000"/>
        </w:rPr>
      </w:pPr>
      <w:r>
        <w:rPr>
          <w:rFonts w:cs="Calibri" w:ascii="Century Gothic" w:hAnsi="Century Gothic"/>
          <w:b/>
          <w:bCs/>
          <w:color w:val="000000"/>
        </w:rPr>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t xml:space="preserve">Concernant </w:t>
      </w:r>
      <w:r>
        <w:rPr>
          <w:rFonts w:cs="Calibri" w:ascii="Century Gothic" w:hAnsi="Century Gothic"/>
          <w:b/>
          <w:bCs/>
          <w:color w:val="000000"/>
        </w:rPr>
        <w:t>le travail de nuit</w:t>
      </w:r>
      <w:r>
        <w:rPr>
          <w:rFonts w:cs="Calibri" w:ascii="Century Gothic" w:hAnsi="Century Gothic"/>
          <w:color w:val="000000"/>
        </w:rPr>
        <w:t xml:space="preserve">, on note des différences avec 75% des postes occupés par des salariés de sexe masculin.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t xml:space="preserve">Dans notre Association, le travail de nuit ne concerne que la fonction « Surveillant de nuit », qui s’exerce dans les structures avec hébergement (Internat du Centre Brunehaut, Résidence Le Cèdre et Résidence du Lac).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t xml:space="preserve">Concernant </w:t>
      </w:r>
      <w:r>
        <w:rPr>
          <w:rFonts w:cs="Calibri" w:ascii="Century Gothic" w:hAnsi="Century Gothic"/>
          <w:b/>
          <w:bCs/>
          <w:color w:val="000000"/>
        </w:rPr>
        <w:t>le travail le week-end</w:t>
      </w:r>
      <w:r>
        <w:rPr>
          <w:rFonts w:cs="Calibri" w:ascii="Century Gothic" w:hAnsi="Century Gothic"/>
          <w:color w:val="000000"/>
        </w:rPr>
        <w:t xml:space="preserve">, il existe également des différences de diverses origines, avec 60,61% des postes concernés par le travail le week-end qui sont occupés par des salariées de sexe féminin. </w:t>
      </w:r>
    </w:p>
    <w:p>
      <w:pPr>
        <w:pStyle w:val="Normal"/>
        <w:overflowPunct w:val="true"/>
        <w:autoSpaceDE w:val="true"/>
        <w:ind w:right="-24" w:hanging="0"/>
        <w:jc w:val="both"/>
        <w:textAlignment w:val="auto"/>
        <w:rPr>
          <w:rFonts w:ascii="Century Gothic" w:hAnsi="Century Gothic" w:cs="Calibri"/>
          <w:color w:val="000000"/>
        </w:rPr>
      </w:pPr>
      <w:r>
        <w:rPr>
          <w:rFonts w:cs="Calibri" w:ascii="Century Gothic" w:hAnsi="Century Gothic"/>
          <w:color w:val="000000"/>
        </w:rPr>
      </w:r>
    </w:p>
    <w:p>
      <w:pPr>
        <w:pStyle w:val="Normal"/>
        <w:overflowPunct w:val="true"/>
        <w:autoSpaceDE w:val="true"/>
        <w:ind w:right="-24" w:hanging="0"/>
        <w:jc w:val="both"/>
        <w:textAlignment w:val="auto"/>
        <w:rPr>
          <w:rFonts w:ascii="Century Gothic" w:hAnsi="Century Gothic" w:cs="Arial"/>
        </w:rPr>
      </w:pPr>
      <w:r>
        <w:rPr>
          <w:rFonts w:cs="Calibri" w:ascii="Century Gothic" w:hAnsi="Century Gothic"/>
          <w:color w:val="000000"/>
        </w:rPr>
        <w:t xml:space="preserve">Dans notre Association, le travail le week-end ne s’exerce que sur les deux structures d’hébergement pour adultes (Résidence Le Cèdre et Résidence du Lac), ainsi que parfois sur l’Equipe Mobile pour enfants et adolescents en situation complexe. </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left="708" w:right="-24" w:hanging="0"/>
        <w:jc w:val="both"/>
        <w:rPr/>
      </w:pPr>
      <w:r>
        <w:rPr>
          <w:rFonts w:cs="Arial" w:ascii="Century Gothic" w:hAnsi="Century Gothic"/>
          <w:b/>
        </w:rPr>
        <w:t>II</w:t>
        <w:tab/>
        <w:t>1. L’égalité professionnelle entre les hommes et les femmes</w:t>
      </w:r>
    </w:p>
    <w:p>
      <w:pPr>
        <w:pStyle w:val="Normal"/>
        <w:ind w:right="-24" w:hanging="0"/>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Conformément à l’accord d’entreprise signé le 22 février 2022, l’Association et les organisations syndicales confirment leur attachement au respect du principe écrit dans le Code du Travail et de la Sécurité Sociale sur l’égalité entre les hommes et les femmes.</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t>Effectif global par type de contrat et par sexe</w:t>
      </w:r>
    </w:p>
    <w:p>
      <w:pPr>
        <w:pStyle w:val="Normal"/>
        <w:ind w:right="-24" w:hanging="0"/>
        <w:jc w:val="center"/>
        <w:rPr>
          <w:rFonts w:ascii="Century Gothic" w:hAnsi="Century Gothic" w:cs="Arial"/>
          <w:b/>
          <w:b/>
          <w:bCs/>
        </w:rPr>
      </w:pPr>
      <w:r>
        <w:rPr>
          <w:rFonts w:cs="Arial" w:ascii="Century Gothic" w:hAnsi="Century Gothic"/>
          <w:b/>
          <w:bCs/>
        </w:rPr>
      </w:r>
    </w:p>
    <w:p>
      <w:pPr>
        <w:pStyle w:val="Normal"/>
        <w:ind w:right="-24" w:hanging="0"/>
        <w:jc w:val="center"/>
        <w:rPr>
          <w:rFonts w:ascii="Century Gothic" w:hAnsi="Century Gothic" w:cs="Arial"/>
          <w:b/>
          <w:b/>
          <w:bCs/>
        </w:rPr>
      </w:pPr>
      <w:r>
        <w:rPr>
          <w:rFonts w:cs="Arial" w:ascii="Century Gothic" w:hAnsi="Century Gothic"/>
          <w:b/>
          <w:bCs/>
        </w:rPr>
      </w:r>
    </w:p>
    <w:tbl>
      <w:tblPr>
        <w:tblW w:w="7761" w:type="dxa"/>
        <w:jc w:val="left"/>
        <w:tblInd w:w="1521" w:type="dxa"/>
        <w:tblBorders/>
        <w:tblCellMar>
          <w:top w:w="0" w:type="dxa"/>
          <w:left w:w="108" w:type="dxa"/>
          <w:bottom w:w="0" w:type="dxa"/>
          <w:right w:w="108" w:type="dxa"/>
        </w:tblCellMar>
      </w:tblPr>
      <w:tblGrid>
        <w:gridCol w:w="1252"/>
        <w:gridCol w:w="1373"/>
        <w:gridCol w:w="1423"/>
        <w:gridCol w:w="1143"/>
        <w:gridCol w:w="1416"/>
        <w:gridCol w:w="1154"/>
      </w:tblGrid>
      <w:tr>
        <w:trPr>
          <w:trHeight w:val="451" w:hRule="atLeast"/>
        </w:trPr>
        <w:tc>
          <w:tcPr>
            <w:tcW w:w="1252" w:type="dxa"/>
            <w:tcBorders/>
            <w:shd w:fill="auto" w:val="clear"/>
          </w:tcPr>
          <w:p>
            <w:pPr>
              <w:pStyle w:val="Normal"/>
              <w:overflowPunct w:val="true"/>
              <w:autoSpaceDE w:val="true"/>
              <w:snapToGrid w:val="false"/>
              <w:ind w:right="-24" w:hanging="0"/>
              <w:jc w:val="center"/>
              <w:textAlignment w:val="auto"/>
              <w:rPr>
                <w:rFonts w:ascii="Century Gothic" w:hAnsi="Century Gothic" w:cs="Calibri"/>
                <w:color w:val="000000"/>
              </w:rPr>
            </w:pPr>
            <w:r>
              <w:rPr>
                <w:rFonts w:cs="Calibri" w:ascii="Century Gothic" w:hAnsi="Century Gothic"/>
                <w:color w:val="000000"/>
              </w:rPr>
            </w:r>
          </w:p>
        </w:tc>
        <w:tc>
          <w:tcPr>
            <w:tcW w:w="1373"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EFFECTIF GLOBAL</w:t>
            </w:r>
          </w:p>
        </w:tc>
        <w:tc>
          <w:tcPr>
            <w:tcW w:w="2566" w:type="dxa"/>
            <w:gridSpan w:val="2"/>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Femmes</w:t>
            </w:r>
          </w:p>
        </w:tc>
        <w:tc>
          <w:tcPr>
            <w:tcW w:w="2570"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Hommes</w:t>
            </w:r>
          </w:p>
        </w:tc>
      </w:tr>
      <w:tr>
        <w:trPr>
          <w:trHeight w:val="613" w:hRule="atLeast"/>
        </w:trPr>
        <w:tc>
          <w:tcPr>
            <w:tcW w:w="1252" w:type="dxa"/>
            <w:tcBorders/>
            <w:shd w:fill="auto" w:val="clear"/>
          </w:tcPr>
          <w:p>
            <w:pPr>
              <w:pStyle w:val="Normal"/>
              <w:overflowPunct w:val="true"/>
              <w:autoSpaceDE w:val="true"/>
              <w:snapToGrid w:val="false"/>
              <w:ind w:right="-24" w:hanging="0"/>
              <w:jc w:val="center"/>
              <w:textAlignment w:val="auto"/>
              <w:rPr>
                <w:rFonts w:ascii="Century Gothic" w:hAnsi="Century Gothic" w:cs="Calibri"/>
                <w:color w:val="000000"/>
              </w:rPr>
            </w:pPr>
            <w:r>
              <w:rPr>
                <w:rFonts w:cs="Calibri" w:ascii="Century Gothic" w:hAnsi="Century Gothic"/>
                <w:color w:val="000000"/>
              </w:rPr>
            </w:r>
          </w:p>
        </w:tc>
        <w:tc>
          <w:tcPr>
            <w:tcW w:w="1373"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snapToGrid w:val="fals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r>
          </w:p>
        </w:tc>
        <w:tc>
          <w:tcPr>
            <w:tcW w:w="142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t>Nombre de salariées</w:t>
            </w:r>
          </w:p>
        </w:tc>
        <w:tc>
          <w:tcPr>
            <w:tcW w:w="114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sz w:val="18"/>
                <w:szCs w:val="18"/>
              </w:rPr>
              <w:t>%</w:t>
            </w:r>
          </w:p>
        </w:tc>
        <w:tc>
          <w:tcPr>
            <w:tcW w:w="1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6"/>
                <w:szCs w:val="16"/>
              </w:rPr>
            </w:pPr>
            <w:r>
              <w:rPr>
                <w:rFonts w:cs="Calibri" w:ascii="Century Gothic" w:hAnsi="Century Gothic"/>
                <w:color w:val="000000"/>
                <w:sz w:val="16"/>
                <w:szCs w:val="16"/>
              </w:rPr>
              <w:t>Nombre de salariés</w:t>
            </w:r>
          </w:p>
        </w:tc>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sz w:val="18"/>
                <w:szCs w:val="18"/>
              </w:rPr>
              <w:t>%</w:t>
            </w:r>
          </w:p>
        </w:tc>
      </w:tr>
      <w:tr>
        <w:trPr>
          <w:trHeight w:val="480" w:hRule="atLeast"/>
        </w:trPr>
        <w:tc>
          <w:tcPr>
            <w:tcW w:w="125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CDI</w:t>
            </w:r>
          </w:p>
        </w:tc>
        <w:tc>
          <w:tcPr>
            <w:tcW w:w="137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181</w:t>
            </w:r>
          </w:p>
        </w:tc>
        <w:tc>
          <w:tcPr>
            <w:tcW w:w="142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108</w:t>
            </w:r>
          </w:p>
        </w:tc>
        <w:tc>
          <w:tcPr>
            <w:tcW w:w="114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59,67%</w:t>
            </w:r>
          </w:p>
        </w:tc>
        <w:tc>
          <w:tcPr>
            <w:tcW w:w="1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73</w:t>
            </w:r>
          </w:p>
        </w:tc>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40,33%</w:t>
            </w:r>
          </w:p>
        </w:tc>
      </w:tr>
      <w:tr>
        <w:trPr>
          <w:trHeight w:val="480" w:hRule="atLeast"/>
        </w:trPr>
        <w:tc>
          <w:tcPr>
            <w:tcW w:w="125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sz w:val="18"/>
                <w:szCs w:val="18"/>
              </w:rPr>
            </w:pPr>
            <w:r>
              <w:rPr>
                <w:rFonts w:cs="Calibri" w:ascii="Century Gothic" w:hAnsi="Century Gothic"/>
                <w:color w:val="000000"/>
                <w:sz w:val="18"/>
                <w:szCs w:val="18"/>
              </w:rPr>
              <w:t>CDD</w:t>
            </w:r>
          </w:p>
        </w:tc>
        <w:tc>
          <w:tcPr>
            <w:tcW w:w="137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15</w:t>
            </w:r>
          </w:p>
        </w:tc>
        <w:tc>
          <w:tcPr>
            <w:tcW w:w="142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11</w:t>
            </w:r>
          </w:p>
        </w:tc>
        <w:tc>
          <w:tcPr>
            <w:tcW w:w="114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73,33%</w:t>
            </w:r>
          </w:p>
        </w:tc>
        <w:tc>
          <w:tcPr>
            <w:tcW w:w="1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4</w:t>
            </w:r>
          </w:p>
        </w:tc>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26,67%</w:t>
            </w:r>
          </w:p>
        </w:tc>
      </w:tr>
      <w:tr>
        <w:trPr>
          <w:trHeight w:val="261" w:hRule="atLeast"/>
        </w:trPr>
        <w:tc>
          <w:tcPr>
            <w:tcW w:w="1252"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sz w:val="18"/>
                <w:szCs w:val="18"/>
              </w:rPr>
            </w:pPr>
            <w:r>
              <w:rPr>
                <w:rFonts w:cs="Calibri" w:ascii="Century Gothic" w:hAnsi="Century Gothic"/>
                <w:b/>
                <w:bCs/>
                <w:color w:val="000000"/>
                <w:sz w:val="18"/>
                <w:szCs w:val="18"/>
              </w:rPr>
              <w:t>TOTAL</w:t>
            </w:r>
          </w:p>
        </w:tc>
        <w:tc>
          <w:tcPr>
            <w:tcW w:w="137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b/>
                <w:b/>
                <w:bCs/>
                <w:color w:val="000000"/>
              </w:rPr>
            </w:pPr>
            <w:r>
              <w:rPr>
                <w:rFonts w:cs="Calibri" w:ascii="Century Gothic" w:hAnsi="Century Gothic"/>
                <w:b/>
                <w:bCs/>
                <w:color w:val="000000"/>
              </w:rPr>
              <w:t>196</w:t>
            </w:r>
          </w:p>
        </w:tc>
        <w:tc>
          <w:tcPr>
            <w:tcW w:w="142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119</w:t>
            </w:r>
          </w:p>
        </w:tc>
        <w:tc>
          <w:tcPr>
            <w:tcW w:w="1143"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60,71%</w:t>
            </w:r>
          </w:p>
        </w:tc>
        <w:tc>
          <w:tcPr>
            <w:tcW w:w="1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77</w:t>
            </w:r>
          </w:p>
        </w:tc>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overflowPunct w:val="true"/>
              <w:autoSpaceDE w:val="true"/>
              <w:ind w:right="-24" w:hanging="0"/>
              <w:jc w:val="center"/>
              <w:textAlignment w:val="auto"/>
              <w:rPr>
                <w:rFonts w:ascii="Century Gothic" w:hAnsi="Century Gothic" w:cs="Calibri"/>
                <w:color w:val="000000"/>
              </w:rPr>
            </w:pPr>
            <w:r>
              <w:rPr>
                <w:rFonts w:cs="Calibri" w:ascii="Century Gothic" w:hAnsi="Century Gothic"/>
                <w:color w:val="000000"/>
              </w:rPr>
              <w:t>39,29%</w:t>
            </w:r>
          </w:p>
        </w:tc>
      </w:tr>
    </w:tbl>
    <w:p>
      <w:pPr>
        <w:pStyle w:val="Normal"/>
        <w:ind w:right="-24" w:hanging="0"/>
        <w:jc w:val="center"/>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rPr>
      </w:pPr>
      <w:r>
        <w:rPr>
          <w:rFonts w:cs="Arial" w:ascii="Century Gothic" w:hAnsi="Century Gothic"/>
        </w:rPr>
        <w:t xml:space="preserve">Au niveau du type de contrat, on note les éléments suivants :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6"/>
        </w:numPr>
        <w:ind w:left="720" w:right="-24" w:hanging="360"/>
        <w:jc w:val="both"/>
        <w:rPr>
          <w:rFonts w:ascii="Century Gothic" w:hAnsi="Century Gothic" w:cs="Arial"/>
        </w:rPr>
      </w:pPr>
      <w:r>
        <w:rPr>
          <w:rFonts w:cs="Arial" w:ascii="Century Gothic" w:hAnsi="Century Gothic"/>
        </w:rPr>
        <w:t xml:space="preserve">59,67% des emplois en CDI sont occupés par des salariées de sexe féminin, en lien avec la répartition globale femmes / hommes (60,71% de salariées de sexe féminin, tous types de contrats confondus).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6"/>
        </w:numPr>
        <w:ind w:left="720" w:right="-24" w:hanging="360"/>
        <w:jc w:val="both"/>
        <w:rPr>
          <w:rFonts w:ascii="Century Gothic" w:hAnsi="Century Gothic" w:cs="Arial"/>
        </w:rPr>
      </w:pPr>
      <w:r>
        <w:rPr>
          <w:rFonts w:cs="Arial" w:ascii="Century Gothic" w:hAnsi="Century Gothic"/>
        </w:rPr>
        <w:t xml:space="preserve">En revanche, il existe une différence au niveau des CDD, puisque 73,33% des emplois en CDD sont occupés par des salariées de sexe féminin. </w:t>
      </w:r>
    </w:p>
    <w:p>
      <w:pPr>
        <w:pStyle w:val="Normal"/>
        <w:ind w:right="-24" w:hanging="0"/>
        <w:jc w:val="center"/>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right="-24" w:hanging="0"/>
        <w:jc w:val="both"/>
        <w:rPr>
          <w:rFonts w:ascii="Century Gothic" w:hAnsi="Century Gothic" w:cs="Arial"/>
          <w:b/>
          <w:b/>
          <w:bCs/>
        </w:rPr>
      </w:pPr>
      <w:r>
        <w:rPr>
          <w:rFonts w:cs="Arial" w:ascii="Century Gothic" w:hAnsi="Century Gothic"/>
          <w:b/>
          <w:bCs/>
        </w:rPr>
      </w:r>
    </w:p>
    <w:p>
      <w:pPr>
        <w:pStyle w:val="Normal"/>
        <w:ind w:left="705" w:right="-24" w:hanging="0"/>
        <w:jc w:val="both"/>
        <w:rPr>
          <w:rFonts w:ascii="Century Gothic" w:hAnsi="Century Gothic" w:cs="Arial"/>
          <w:b/>
          <w:b/>
        </w:rPr>
      </w:pPr>
      <w:r>
        <w:rPr>
          <w:rFonts w:cs="Arial" w:ascii="Century Gothic" w:hAnsi="Century Gothic"/>
          <w:b/>
        </w:rPr>
        <w:t>II</w:t>
        <w:tab/>
        <w:t>2. L’insertion professionnelle et le maintien dans l’emploi des personnes handicapées</w:t>
      </w:r>
    </w:p>
    <w:p>
      <w:pPr>
        <w:pStyle w:val="Normal"/>
        <w:ind w:right="-24" w:hanging="0"/>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Dans le cadre de l’article R5212-1 du Code du Travail et de la loi du 11 février 2005 pour l’égalité des droits et des chances, la participation et la citoyenneté des personnes handicapées, l’AEI a décidé de poursuivre et approfondir la politique engagée en faveur de l’égalité des chances et de l’intégration professionnelle des personnes en situation de handicap.</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pPr>
      <w:r>
        <w:rPr>
          <w:rFonts w:cs="Arial" w:ascii="Century Gothic" w:hAnsi="Century Gothic"/>
        </w:rPr>
        <w:t>Les actions engagées sont :</w:t>
      </w:r>
    </w:p>
    <w:p>
      <w:pPr>
        <w:pStyle w:val="Normal"/>
        <w:ind w:right="-24" w:hanging="0"/>
        <w:jc w:val="both"/>
        <w:rPr>
          <w:rFonts w:ascii="Century Gothic" w:hAnsi="Century Gothic" w:cs="Arial"/>
        </w:rPr>
      </w:pPr>
      <w:r>
        <w:rPr>
          <w:rFonts w:cs="Arial" w:ascii="Century Gothic" w:hAnsi="Century Gothic"/>
        </w:rPr>
      </w:r>
    </w:p>
    <w:p>
      <w:pPr>
        <w:pStyle w:val="Normal"/>
        <w:numPr>
          <w:ilvl w:val="0"/>
          <w:numId w:val="8"/>
        </w:numPr>
        <w:ind w:left="720" w:right="-24" w:hanging="360"/>
        <w:jc w:val="both"/>
        <w:rPr/>
      </w:pPr>
      <w:r>
        <w:rPr>
          <w:rFonts w:cs="Arial" w:ascii="Century Gothic" w:hAnsi="Century Gothic"/>
        </w:rPr>
        <w:t>Le maintien et le développement de l’emploi des personnels en situation de handicap au travers du recrutement,</w:t>
      </w:r>
    </w:p>
    <w:p>
      <w:pPr>
        <w:pStyle w:val="Normal"/>
        <w:numPr>
          <w:ilvl w:val="0"/>
          <w:numId w:val="8"/>
        </w:numPr>
        <w:ind w:left="720" w:right="-24" w:hanging="360"/>
        <w:jc w:val="both"/>
        <w:rPr/>
      </w:pPr>
      <w:r>
        <w:rPr>
          <w:rFonts w:cs="Arial" w:ascii="Century Gothic" w:hAnsi="Century Gothic"/>
        </w:rPr>
        <w:t>Le développement d’actions en direction des salariés en situation de handicap,</w:t>
      </w:r>
    </w:p>
    <w:p>
      <w:pPr>
        <w:pStyle w:val="Normal"/>
        <w:numPr>
          <w:ilvl w:val="0"/>
          <w:numId w:val="8"/>
        </w:numPr>
        <w:ind w:left="720" w:right="-24" w:hanging="360"/>
        <w:jc w:val="both"/>
        <w:rPr/>
      </w:pPr>
      <w:r>
        <w:rPr>
          <w:rFonts w:cs="Arial" w:ascii="Century Gothic" w:hAnsi="Century Gothic"/>
        </w:rPr>
        <w:t>Les salariés handicapés bénéficient d’une évolution de carrière et de rémunération dans les mêmes conditions que les autres salariés eu égard à leurs compétences et aptitudes,</w:t>
      </w:r>
    </w:p>
    <w:p>
      <w:pPr>
        <w:pStyle w:val="Normal"/>
        <w:numPr>
          <w:ilvl w:val="0"/>
          <w:numId w:val="8"/>
        </w:numPr>
        <w:ind w:left="720" w:right="-24" w:hanging="360"/>
        <w:jc w:val="both"/>
        <w:rPr/>
      </w:pPr>
      <w:r>
        <w:rPr>
          <w:rFonts w:cs="Arial" w:ascii="Century Gothic" w:hAnsi="Century Gothic"/>
        </w:rPr>
        <w:t>L’aide au dossier handicap.</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pPr>
      <w:r>
        <w:rPr>
          <w:rFonts w:cs="Arial" w:ascii="Century Gothic" w:hAnsi="Century Gothic"/>
        </w:rPr>
        <w:t xml:space="preserve">Sur l’année 2021, l’AEI a employé </w:t>
      </w:r>
      <w:r>
        <w:rPr>
          <w:rFonts w:cs="Arial" w:ascii="Century Gothic" w:hAnsi="Century Gothic"/>
          <w:b/>
          <w:bCs/>
        </w:rPr>
        <w:t xml:space="preserve">7 </w:t>
      </w:r>
      <w:r>
        <w:rPr>
          <w:rFonts w:cs="Arial" w:ascii="Century Gothic" w:hAnsi="Century Gothic"/>
        </w:rPr>
        <w:t>personnes en situation de handicap. Ces chiffres n’évoquent que les personnes qui font état de leur situation de handicap.</w:t>
      </w:r>
    </w:p>
    <w:p>
      <w:pPr>
        <w:pStyle w:val="Normal"/>
        <w:ind w:right="-24" w:hanging="0"/>
        <w:jc w:val="both"/>
        <w:rPr>
          <w:rFonts w:ascii="Century Gothic" w:hAnsi="Century Gothic" w:cs="Arial"/>
        </w:rPr>
      </w:pPr>
      <w:r>
        <w:rPr>
          <w:rFonts w:cs="Arial" w:ascii="Century Gothic" w:hAnsi="Century Gothic"/>
        </w:rPr>
        <w:t>Aucune discrimination n’est faite à l’embauche, à la formation, à la promotion professionnelle et aux conditions de travail.</w:t>
      </w:r>
    </w:p>
    <w:p>
      <w:pPr>
        <w:pStyle w:val="Normal"/>
        <w:ind w:right="-24" w:hanging="0"/>
        <w:jc w:val="both"/>
        <w:rPr/>
      </w:pPr>
      <w:r>
        <w:rPr>
          <w:rFonts w:cs="Arial" w:ascii="Century Gothic" w:hAnsi="Century Gothic"/>
        </w:rPr>
        <w:t>L’accent est mis sur la formation des personnes de niveau 3 et 4 et des personnes handicapées.</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left="708" w:right="-24" w:hanging="0"/>
        <w:jc w:val="both"/>
        <w:rPr>
          <w:rFonts w:ascii="Century Gothic" w:hAnsi="Century Gothic" w:cs="Arial"/>
        </w:rPr>
      </w:pPr>
      <w:r>
        <w:rPr>
          <w:rFonts w:cs="Arial" w:ascii="Century Gothic" w:hAnsi="Century Gothic"/>
          <w:b/>
        </w:rPr>
        <w:t>II</w:t>
        <w:tab/>
        <w:t xml:space="preserve">3. QVT : Le droit d’expression </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L’Association, les Instances Représentatives du Personnel ainsi que les organisations syndicales restent vigilantes et bienveillantes au maintien d’espaces d’expression et de communication.</w:t>
      </w:r>
    </w:p>
    <w:p>
      <w:pPr>
        <w:pStyle w:val="Normal"/>
        <w:ind w:right="-24" w:hanging="0"/>
        <w:jc w:val="both"/>
        <w:rPr>
          <w:rFonts w:ascii="Century Gothic" w:hAnsi="Century Gothic" w:cs="Arial"/>
        </w:rPr>
      </w:pPr>
      <w:r>
        <w:rPr>
          <w:rFonts w:cs="Arial" w:ascii="Century Gothic" w:hAnsi="Century Gothic"/>
        </w:rPr>
      </w:r>
    </w:p>
    <w:p>
      <w:pPr>
        <w:pStyle w:val="Normal"/>
        <w:ind w:left="708" w:right="-24" w:hanging="0"/>
        <w:jc w:val="both"/>
        <w:rPr>
          <w:rFonts w:ascii="Century Gothic" w:hAnsi="Century Gothic" w:cs="Arial"/>
          <w:b/>
          <w:b/>
        </w:rPr>
      </w:pPr>
      <w:r>
        <w:rPr>
          <w:rFonts w:cs="Arial" w:ascii="Century Gothic" w:hAnsi="Century Gothic"/>
          <w:b/>
        </w:rPr>
      </w:r>
    </w:p>
    <w:p>
      <w:pPr>
        <w:pStyle w:val="Normal"/>
        <w:ind w:left="708" w:right="-24" w:hanging="0"/>
        <w:jc w:val="both"/>
        <w:rPr>
          <w:rFonts w:ascii="Century Gothic" w:hAnsi="Century Gothic" w:cs="Arial"/>
        </w:rPr>
      </w:pPr>
      <w:r>
        <w:rPr>
          <w:rFonts w:cs="Arial" w:ascii="Century Gothic" w:hAnsi="Century Gothic"/>
          <w:b/>
        </w:rPr>
        <w:t>II</w:t>
        <w:tab/>
        <w:t>4. QVT : Le droit à la déconnexion</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Au cours de réunions, la Direction veille au respect du droit à la déconnexion et notamment chez les collaborateurs cadres.</w:t>
      </w:r>
    </w:p>
    <w:p>
      <w:pPr>
        <w:pStyle w:val="Normal"/>
        <w:ind w:right="-24" w:hanging="0"/>
        <w:jc w:val="both"/>
        <w:rPr>
          <w:rFonts w:ascii="Century Gothic" w:hAnsi="Century Gothic" w:cs="Arial"/>
        </w:rPr>
      </w:pPr>
      <w:r>
        <w:rPr>
          <w:rFonts w:cs="Arial" w:ascii="Century Gothic" w:hAnsi="Century Gothic"/>
        </w:rPr>
        <w:t>L’accent est mis notamment sur l’utilisation de la boîte mail et du téléphone portable (pas de sollicitation pendant les périodes de congés et de week-end).</w:t>
      </w:r>
    </w:p>
    <w:p>
      <w:pPr>
        <w:pStyle w:val="Normal"/>
        <w:ind w:right="-24" w:hanging="0"/>
        <w:jc w:val="both"/>
        <w:rPr>
          <w:rFonts w:ascii="Century Gothic" w:hAnsi="Century Gothic" w:cs="Arial"/>
        </w:rPr>
      </w:pPr>
      <w:r>
        <w:rPr>
          <w:rFonts w:cs="Arial" w:ascii="Century Gothic" w:hAnsi="Century Gothic"/>
        </w:rPr>
      </w:r>
    </w:p>
    <w:p>
      <w:pPr>
        <w:pStyle w:val="Normal"/>
        <w:ind w:left="708" w:right="-24" w:firstLine="708"/>
        <w:jc w:val="both"/>
        <w:rPr>
          <w:rFonts w:ascii="Century Gothic" w:hAnsi="Century Gothic" w:cs="Arial"/>
          <w:b/>
          <w:b/>
        </w:rPr>
      </w:pPr>
      <w:r>
        <w:rPr>
          <w:rFonts w:cs="Arial" w:ascii="Century Gothic" w:hAnsi="Century Gothic"/>
          <w:b/>
        </w:rPr>
      </w:r>
    </w:p>
    <w:p>
      <w:pPr>
        <w:pStyle w:val="Normal"/>
        <w:ind w:left="708" w:right="-24" w:firstLine="708"/>
        <w:jc w:val="both"/>
        <w:rPr/>
      </w:pPr>
      <w:r>
        <w:rPr>
          <w:rFonts w:cs="Arial" w:ascii="Century Gothic" w:hAnsi="Century Gothic"/>
          <w:b/>
        </w:rPr>
        <w:t xml:space="preserve">Suivi de la situation et plan d’amélioration </w:t>
      </w:r>
    </w:p>
    <w:p>
      <w:pPr>
        <w:pStyle w:val="Normal"/>
        <w:ind w:left="708" w:right="-24" w:firstLine="708"/>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 xml:space="preserve">Les signataires s’engagent respectivement à mener un travail de suivi de la situation et à élaborer conjointement un plan d’actions visant à réduire les différents écarts constatés. </w:t>
      </w:r>
    </w:p>
    <w:p>
      <w:pPr>
        <w:pStyle w:val="Normal"/>
        <w:ind w:right="-24" w:hanging="0"/>
        <w:jc w:val="both"/>
        <w:rPr>
          <w:rFonts w:ascii="Century Gothic" w:hAnsi="Century Gothic" w:cs="Arial"/>
        </w:rPr>
      </w:pPr>
      <w:r>
        <w:rPr>
          <w:rFonts w:cs="Arial" w:ascii="Century Gothic" w:hAnsi="Century Gothic"/>
        </w:rPr>
      </w:r>
    </w:p>
    <w:p>
      <w:pPr>
        <w:pStyle w:val="Normal"/>
        <w:ind w:left="708" w:right="-24" w:firstLine="708"/>
        <w:jc w:val="both"/>
        <w:rPr>
          <w:rFonts w:ascii="Century Gothic" w:hAnsi="Century Gothic" w:cs="Arial"/>
          <w:b/>
          <w:b/>
        </w:rPr>
      </w:pPr>
      <w:r>
        <w:rPr>
          <w:rFonts w:cs="Arial" w:ascii="Century Gothic" w:hAnsi="Century Gothic"/>
          <w:b/>
        </w:rPr>
      </w:r>
    </w:p>
    <w:p>
      <w:pPr>
        <w:pStyle w:val="Normal"/>
        <w:ind w:left="708" w:right="-24" w:firstLine="708"/>
        <w:jc w:val="both"/>
        <w:rPr>
          <w:rFonts w:ascii="Century Gothic" w:hAnsi="Century Gothic" w:cs="Arial"/>
          <w:b/>
          <w:b/>
        </w:rPr>
      </w:pPr>
      <w:r>
        <w:rPr>
          <w:rFonts w:cs="Arial" w:ascii="Century Gothic" w:hAnsi="Century Gothic"/>
          <w:b/>
        </w:rPr>
        <w:t>Durée d’application</w:t>
      </w:r>
    </w:p>
    <w:p>
      <w:pPr>
        <w:pStyle w:val="Normal"/>
        <w:ind w:left="1418" w:right="-24" w:hanging="0"/>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Le présent accord s’applique jusqu’à la signature de la prochaine NOE.</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left="1418" w:right="-24" w:hanging="0"/>
        <w:jc w:val="both"/>
        <w:rPr>
          <w:rFonts w:ascii="Century Gothic" w:hAnsi="Century Gothic" w:cs="Arial"/>
          <w:b/>
          <w:b/>
        </w:rPr>
      </w:pPr>
      <w:r>
        <w:rPr>
          <w:rFonts w:cs="Arial" w:ascii="Century Gothic" w:hAnsi="Century Gothic"/>
          <w:b/>
        </w:rPr>
        <w:t>Dépôt</w:t>
      </w:r>
    </w:p>
    <w:p>
      <w:pPr>
        <w:pStyle w:val="Normal"/>
        <w:ind w:right="-24" w:hanging="0"/>
        <w:jc w:val="both"/>
        <w:rPr>
          <w:rFonts w:ascii="Century Gothic" w:hAnsi="Century Gothic" w:cs="Arial"/>
          <w:b/>
          <w:b/>
        </w:rPr>
      </w:pPr>
      <w:r>
        <w:rPr>
          <w:rFonts w:cs="Arial" w:ascii="Century Gothic" w:hAnsi="Century Gothic"/>
          <w:b/>
        </w:rPr>
      </w:r>
    </w:p>
    <w:p>
      <w:pPr>
        <w:pStyle w:val="Normal"/>
        <w:ind w:right="-24" w:hanging="0"/>
        <w:jc w:val="both"/>
        <w:rPr>
          <w:rFonts w:ascii="Century Gothic" w:hAnsi="Century Gothic" w:cs="Arial"/>
        </w:rPr>
      </w:pPr>
      <w:r>
        <w:rPr>
          <w:rFonts w:cs="Arial" w:ascii="Century Gothic" w:hAnsi="Century Gothic"/>
        </w:rPr>
        <w:t>Le présent accord sera, à la diligence de l’entreprise, déposé en ligne sur la plateforme TéléAccords du Ministère du Travail et adressé par courrier à l’inspection du travail.</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pPr>
      <w:r>
        <w:rPr>
          <w:rFonts w:cs="Arial" w:ascii="Century Gothic" w:hAnsi="Century Gothic"/>
        </w:rPr>
        <w:t>Il sera également remis un exemplaire au greffe du Conseil de Prud’hommes.</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Fait à TERGNIER, le 09/02/2023, en 3 exemplaires dont un pour chaque partie.</w:t>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r>
    </w:p>
    <w:p>
      <w:pPr>
        <w:pStyle w:val="Normal"/>
        <w:ind w:right="-24" w:hanging="0"/>
        <w:jc w:val="both"/>
        <w:rPr>
          <w:rFonts w:ascii="Century Gothic" w:hAnsi="Century Gothic" w:cs="Arial"/>
        </w:rPr>
      </w:pPr>
      <w:r>
        <w:rPr>
          <w:rFonts w:cs="Arial" w:ascii="Century Gothic" w:hAnsi="Century Gothic"/>
        </w:rPr>
        <w:t>XXX</w:t>
        <w:tab/>
        <w:tab/>
        <w:tab/>
        <w:tab/>
        <w:tab/>
        <w:tab/>
        <w:t>XXX</w:t>
        <w:tab/>
        <w:tab/>
        <w:tab/>
        <w:tab/>
        <w:tab/>
        <w:t>XXX</w:t>
      </w:r>
    </w:p>
    <w:p>
      <w:pPr>
        <w:pStyle w:val="Normal"/>
        <w:ind w:right="-24" w:hanging="0"/>
        <w:jc w:val="both"/>
        <w:rPr>
          <w:rFonts w:ascii="Century Gothic" w:hAnsi="Century Gothic" w:cs="Arial"/>
        </w:rPr>
      </w:pPr>
      <w:r>
        <w:rPr>
          <w:rFonts w:cs="Arial" w:ascii="Century Gothic" w:hAnsi="Century Gothic"/>
        </w:rPr>
        <w:t>Déléguée Syndicale</w:t>
        <w:tab/>
        <w:tab/>
        <w:tab/>
        <w:tab/>
        <w:t>Délégué Syndical</w:t>
        <w:tab/>
        <w:tab/>
        <w:tab/>
        <w:t>Directeur Général AEI</w:t>
      </w:r>
    </w:p>
    <w:p>
      <w:pPr>
        <w:pStyle w:val="Normal"/>
        <w:ind w:right="-24" w:hanging="0"/>
        <w:jc w:val="both"/>
        <w:rPr>
          <w:rFonts w:ascii="Century Gothic" w:hAnsi="Century Gothic" w:cs="Arial"/>
        </w:rPr>
      </w:pPr>
      <w:r>
        <w:rPr>
          <w:rFonts w:cs="Arial" w:ascii="Century Gothic" w:hAnsi="Century Gothic"/>
        </w:rPr>
        <w:t>CFE-CGC</w:t>
        <w:tab/>
        <w:tab/>
      </w:r>
      <w:r>
        <w:rPr>
          <w:rFonts w:cs="Arial" w:ascii="Century Gothic" w:hAnsi="Century Gothic"/>
          <w:sz w:val="24"/>
          <w:szCs w:val="24"/>
        </w:rPr>
        <w:tab/>
        <w:tab/>
        <w:tab/>
      </w:r>
      <w:r>
        <w:rPr>
          <w:rFonts w:cs="Arial" w:ascii="Century Gothic" w:hAnsi="Century Gothic"/>
        </w:rPr>
        <w:t>Sud Santé 02</w:t>
        <w:tab/>
        <w:tab/>
        <w:tab/>
        <w:tab/>
        <w:tab/>
      </w:r>
    </w:p>
    <w:sectPr>
      <w:headerReference w:type="default" r:id="rId2"/>
      <w:headerReference w:type="first" r:id="rId3"/>
      <w:footerReference w:type="default" r:id="rId4"/>
      <w:footerReference w:type="first" r:id="rId5"/>
      <w:type w:val="nextPage"/>
      <w:pgSz w:w="11906" w:h="16838"/>
      <w:pgMar w:left="720" w:right="720" w:header="0" w:top="720" w:footer="278" w:bottom="720" w:gutter="0"/>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Wingdings">
    <w:charset w:val="02"/>
    <w:family w:val="auto"/>
    <w:pitch w:val="variable"/>
  </w:font>
  <w:font w:name="Century Gothic">
    <w:charset w:val="00"/>
    <w:family w:val="swiss"/>
    <w:pitch w:val="variable"/>
  </w:font>
  <w:font w:name="Liberation Sans">
    <w:altName w:val="Arial"/>
    <w:charset w:val="01"/>
    <w:family w:val="swiss"/>
    <w:pitch w:val="variable"/>
  </w:font>
  <w:font w:name="Calibri">
    <w:charset w:val="00"/>
    <w:family w:val="swiss"/>
    <w:pitch w:val="variable"/>
  </w:font>
  <w:font w:name="Arial Black">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left" w:pos="2293" w:leader="none"/>
        <w:tab w:val="center" w:pos="4536" w:leader="none"/>
        <w:tab w:val="right" w:pos="11199" w:leader="none"/>
      </w:tabs>
      <w:ind w:right="-283" w:hanging="0"/>
      <w:jc w:val="center"/>
      <w:rPr/>
    </w:pPr>
    <w:r>
      <w:rPr>
        <w:rFonts w:eastAsia="Arial Black" w:cs="Arial Black" w:ascii="Arial Black" w:hAnsi="Arial Black"/>
        <w:color w:val="00CCFF"/>
        <w:sz w:val="28"/>
        <w:szCs w:val="28"/>
      </w:rPr>
      <w:t xml:space="preserve">                                                                                                  </w:t>
    </w:r>
    <w:r>
      <w:rPr>
        <w:rFonts w:cs="Arial Black" w:ascii="Arial Black" w:hAnsi="Arial Black"/>
        <w:color w:val="00CCFF"/>
        <w:sz w:val="28"/>
        <w:szCs w:val="28"/>
      </w:rPr>
      <w:drawing>
        <wp:inline distT="0" distB="0" distL="0" distR="0">
          <wp:extent cx="605790" cy="946150"/>
          <wp:effectExtent l="0" t="0" r="0" b="0"/>
          <wp:docPr id="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descr=""/>
                  <pic:cNvPicPr>
                    <a:picLocks noChangeAspect="1" noChangeArrowheads="1"/>
                  </pic:cNvPicPr>
                </pic:nvPicPr>
                <pic:blipFill>
                  <a:blip r:embed="rId1"/>
                  <a:srcRect l="85950" t="-1" r="4256" b="87587"/>
                  <a:stretch>
                    <a:fillRect/>
                  </a:stretch>
                </pic:blipFill>
                <pic:spPr bwMode="auto">
                  <a:xfrm>
                    <a:off x="0" y="0"/>
                    <a:ext cx="605790" cy="946150"/>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tab/>
    </w:r>
    <w:r>
      <w:rPr>
        <w:rFonts w:cs="Century Gothic" w:ascii="Century Gothic" w:hAnsi="Century Gothic"/>
        <w:sz w:val="18"/>
      </w:rPr>
      <w:t xml:space="preserve"> </w:t>
    </w:r>
  </w:p>
  <w:p>
    <w:pPr>
      <w:pStyle w:val="Footer"/>
      <w:rPr/>
    </w:pPr>
    <w:r>
      <w:rPr/>
      <w:tab/>
    </w:r>
    <w:r>
      <w:rPr/>
      <w:tab/>
      <w:tab/>
      <w:tab/>
      <w:tab/>
      <w:tab/>
      <w:tab/>
      <w:tab/>
      <w:tab/>
      <w:tab/>
    </w:r>
    <w:r>
      <w:rPr>
        <w:rFonts w:cs="Arial Black" w:ascii="Arial Black" w:hAnsi="Arial Black"/>
        <w:color w:val="00CCFF"/>
        <w:sz w:val="28"/>
        <w:szCs w:val="28"/>
      </w:rPr>
      <w:drawing>
        <wp:inline distT="0" distB="0" distL="0" distR="0">
          <wp:extent cx="1818640" cy="1068705"/>
          <wp:effectExtent l="0" t="0" r="0" b="0"/>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1"/>
                  <a:srcRect l="63439" t="82303" r="-1" b="2952"/>
                  <a:stretch>
                    <a:fillRect/>
                  </a:stretch>
                </pic:blipFill>
                <pic:spPr bwMode="auto">
                  <a:xfrm>
                    <a:off x="0" y="0"/>
                    <a:ext cx="1818640" cy="1068705"/>
                  </a:xfrm>
                  <a:prstGeom prst="rect">
                    <a:avLst/>
                  </a:prstGeom>
                </pic:spPr>
              </pic:pic>
            </a:graphicData>
          </a:graphic>
        </wp:inline>
      </w:drawing>
    </w:r>
    <w:r>
      <w:rPr>
        <w:rFonts w:cs="Arial Black" w:ascii="Arial Black" w:hAnsi="Arial Black"/>
        <w:color w:val="00CCFF"/>
        <w:sz w:val="28"/>
        <w:szCs w:val="28"/>
      </w:rPr>
      <w:tab/>
    </w:r>
    <w:r>
      <mc:AlternateContent>
        <mc:Choice Requires="wps">
          <w:drawing>
            <wp:anchor behindDoc="1" distT="0" distB="0" distL="114935" distR="114935" simplePos="0" locked="0" layoutInCell="1" allowOverlap="1" relativeHeight="11">
              <wp:simplePos x="0" y="0"/>
              <wp:positionH relativeFrom="column">
                <wp:posOffset>-643255</wp:posOffset>
              </wp:positionH>
              <wp:positionV relativeFrom="paragraph">
                <wp:posOffset>606425</wp:posOffset>
              </wp:positionV>
              <wp:extent cx="5093970" cy="307340"/>
              <wp:effectExtent l="0" t="0" r="0" b="0"/>
              <wp:wrapNone/>
              <wp:docPr id="6" name="Frame1"/>
              <a:graphic xmlns:a="http://schemas.openxmlformats.org/drawingml/2006/main">
                <a:graphicData uri="http://schemas.microsoft.com/office/word/2010/wordprocessingShape">
                  <wps:wsp>
                    <wps:cNvSpPr txBox="1"/>
                    <wps:spPr>
                      <a:xfrm>
                        <a:off x="0" y="0"/>
                        <a:ext cx="5093970" cy="307340"/>
                      </a:xfrm>
                      <a:prstGeom prst="rect"/>
                      <a:solidFill>
                        <a:srgbClr val="FFFFFF"/>
                      </a:solidFill>
                      <a:ln w="9525">
                        <a:solidFill>
                          <a:srgbClr val="FFFFFF"/>
                        </a:solidFill>
                      </a:ln>
                    </wps:spPr>
                    <wps:txbx>
                      <w:txbxContent>
                        <w:p>
                          <w:pPr>
                            <w:pStyle w:val="Normal"/>
                            <w:jc w:val="center"/>
                            <w:rPr>
                              <w:sz w:val="16"/>
                              <w:szCs w:val="16"/>
                            </w:rPr>
                          </w:pPr>
                          <w:r>
                            <w:rPr>
                              <w:rFonts w:cs="Century Gothic" w:ascii="Century Gothic" w:hAnsi="Century Gothic"/>
                              <w:sz w:val="16"/>
                              <w:szCs w:val="16"/>
                            </w:rPr>
                            <w:t>13 rue des 4 fils Paul Doumer – BP 29 – 02700 TERGNIER • Tél : 03 23 57 05 05</w:t>
                          </w:r>
                        </w:p>
                      </w:txbxContent>
                    </wps:txbx>
                    <wps:bodyPr anchor="t" lIns="91440" tIns="45720" rIns="91440" bIns="45720">
                      <a:noAutofit/>
                    </wps:bodyPr>
                  </wps:wsp>
                </a:graphicData>
              </a:graphic>
            </wp:anchor>
          </w:drawing>
        </mc:Choice>
        <mc:Fallback>
          <w:pict>
            <v:rect fillcolor="#FFFFFF" strokecolor="#FFFFFF" strokeweight="0pt" style="position:absolute;rotation:0;width:401.1pt;height:24.2pt;mso-wrap-distance-left:9.05pt;mso-wrap-distance-right:9.05pt;margin-top:47.75pt;mso-position-vertical-relative:text;margin-left:-50.65pt;mso-position-horizontal-relative:text">
              <v:textbox>
                <w:txbxContent>
                  <w:p>
                    <w:pPr>
                      <w:pStyle w:val="Normal"/>
                      <w:jc w:val="center"/>
                      <w:rPr>
                        <w:sz w:val="16"/>
                        <w:szCs w:val="16"/>
                      </w:rPr>
                    </w:pPr>
                    <w:r>
                      <w:rPr>
                        <w:rFonts w:cs="Century Gothic" w:ascii="Century Gothic" w:hAnsi="Century Gothic"/>
                        <w:sz w:val="16"/>
                        <w:szCs w:val="16"/>
                      </w:rPr>
                      <w:t>13 rue des 4 fils Paul Doumer – BP 29 – 02700 TERGNIER • Tél : 03 23 57 05 05</w:t>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993" w:right="-1133" w:hanging="0"/>
      <w:rPr/>
    </w:pPr>
    <w:r>
      <w:drawing>
        <wp:anchor behindDoc="1" distT="0" distB="0" distL="114935" distR="114935" simplePos="0" locked="0" layoutInCell="1" allowOverlap="1" relativeHeight="17">
          <wp:simplePos x="0" y="0"/>
          <wp:positionH relativeFrom="page">
            <wp:posOffset>-88900</wp:posOffset>
          </wp:positionH>
          <wp:positionV relativeFrom="page">
            <wp:posOffset>-76200</wp:posOffset>
          </wp:positionV>
          <wp:extent cx="1360805" cy="1261110"/>
          <wp:effectExtent l="0" t="0" r="0" b="0"/>
          <wp:wrapTight wrapText="bothSides">
            <wp:wrapPolygon edited="0">
              <wp:start x="-25" y="0"/>
              <wp:lineTo x="-25" y="21555"/>
              <wp:lineTo x="21600" y="21555"/>
              <wp:lineTo x="21600" y="0"/>
              <wp:lineTo x="-25" y="0"/>
            </wp:wrapPolygon>
          </wp:wrapTight>
          <wp:docPr id="1"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descr=""/>
                  <pic:cNvPicPr>
                    <a:picLocks noChangeAspect="1" noChangeArrowheads="1"/>
                  </pic:cNvPicPr>
                </pic:nvPicPr>
                <pic:blipFill>
                  <a:blip r:embed="rId1"/>
                  <a:srcRect l="-1" t="-1" r="81907" b="88147"/>
                  <a:stretch>
                    <a:fillRect/>
                  </a:stretch>
                </pic:blipFill>
                <pic:spPr bwMode="auto">
                  <a:xfrm>
                    <a:off x="0" y="0"/>
                    <a:ext cx="1360805" cy="1261110"/>
                  </a:xfrm>
                  <a:prstGeom prst="rect">
                    <a:avLst/>
                  </a:prstGeom>
                </pic:spPr>
              </pic:pic>
            </a:graphicData>
          </a:graphic>
        </wp:anchor>
      </w:drawing>
    </w:r>
    <w:r>
      <w:rPr>
        <w:rFonts w:cs="Arial Black" w:ascii="Arial Black" w:hAnsi="Arial Black"/>
        <w:color w:val="00CCFF"/>
        <w:sz w:val="16"/>
        <w:szCs w:val="16"/>
      </w:rPr>
      <w:tab/>
    </w:r>
    <w:r>
      <w:rPr>
        <w:rFonts w:cs="Arial Black" w:ascii="Arial Black" w:hAnsi="Arial Black"/>
        <w:color w:val="00CCFF"/>
        <w:sz w:val="16"/>
        <w:szCs w:val="16"/>
      </w:rPr>
      <w:t xml:space="preserve">                                                 </w:t>
      <w:tab/>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993" w:hanging="0"/>
      <w:rPr/>
    </w:pPr>
    <w:r>
      <w:rPr>
        <w:rFonts w:cs="Arial Black" w:ascii="Arial Black" w:hAnsi="Arial Black"/>
        <w:color w:val="00CCFF"/>
        <w:sz w:val="28"/>
        <w:szCs w:val="28"/>
      </w:rPr>
      <w:drawing>
        <wp:inline distT="0" distB="0" distL="0" distR="0">
          <wp:extent cx="4055110" cy="1436370"/>
          <wp:effectExtent l="0" t="0" r="0" b="0"/>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1"/>
                  <a:srcRect l="-1" t="-1" r="13063" b="78277"/>
                  <a:stretch>
                    <a:fillRect/>
                  </a:stretch>
                </pic:blipFill>
                <pic:spPr bwMode="auto">
                  <a:xfrm>
                    <a:off x="0" y="0"/>
                    <a:ext cx="4055110" cy="1436370"/>
                  </a:xfrm>
                  <a:prstGeom prst="rect">
                    <a:avLst/>
                  </a:prstGeom>
                </pic:spPr>
              </pic:pic>
            </a:graphicData>
          </a:graphic>
        </wp:inline>
      </w:drawing>
    </w:r>
    <w:r>
      <w:rPr>
        <w:rFonts w:cs="Arial Black" w:ascii="Arial Black" w:hAnsi="Arial Black"/>
        <w:color w:val="00CCFF"/>
        <w:sz w:val="28"/>
        <w:szCs w:val="28"/>
      </w:rPr>
      <w:tab/>
      <w:tab/>
      <w:tab/>
      <w:tab/>
      <w:tab/>
      <w:tab/>
    </w:r>
    <w:r>
      <w:rPr>
        <w:rFonts w:cs="Arial Black" w:ascii="Arial Black" w:hAnsi="Arial Black"/>
        <w:color w:val="00CCFF"/>
        <w:sz w:val="28"/>
        <w:szCs w:val="28"/>
      </w:rPr>
      <w:drawing>
        <wp:inline distT="0" distB="0" distL="0" distR="0">
          <wp:extent cx="472440" cy="1436370"/>
          <wp:effectExtent l="0" t="0" r="0" b="0"/>
          <wp:docPr id="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descr=""/>
                  <pic:cNvPicPr>
                    <a:picLocks noChangeAspect="1" noChangeArrowheads="1"/>
                  </pic:cNvPicPr>
                </pic:nvPicPr>
                <pic:blipFill>
                  <a:blip r:embed="rId2"/>
                  <a:srcRect l="85950" t="-1" r="4256" b="78277"/>
                  <a:stretch>
                    <a:fillRect/>
                  </a:stretch>
                </pic:blipFill>
                <pic:spPr bwMode="auto">
                  <a:xfrm>
                    <a:off x="0" y="0"/>
                    <a:ext cx="472440" cy="143637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pStyle w:val="Heading5"/>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rFonts w:cs="Symbol"/>
      </w:rPr>
    </w:lvl>
  </w:abstractNum>
  <w:abstractNum w:abstractNumId="3">
    <w:lvl w:ilvl="0">
      <w:start w:val="1"/>
      <w:numFmt w:val="upperRoman"/>
      <w:lvlText w:val="%1."/>
      <w:lvlJc w:val="left"/>
      <w:pPr>
        <w:ind w:left="1440" w:hanging="720"/>
      </w:pPr>
      <w:rPr/>
    </w:lvl>
  </w:abstractNum>
  <w:abstractNum w:abstractNumId="4">
    <w:lvl w:ilvl="0">
      <w:start w:val="1"/>
      <w:numFmt w:val="bullet"/>
      <w:lvlText w:val=""/>
      <w:lvlJc w:val="left"/>
      <w:pPr>
        <w:ind w:left="720" w:hanging="360"/>
      </w:pPr>
      <w:rPr>
        <w:rFonts w:ascii="Wingdings" w:hAnsi="Wingdings" w:cs="Wingdings" w:hint="default"/>
        <w:rFonts w:cs="Wingdings"/>
      </w:rPr>
    </w:lvl>
  </w:abstractNum>
  <w:abstractNum w:abstractNumId="5">
    <w:lvl w:ilvl="0">
      <w:start w:val="13"/>
      <w:numFmt w:val="bullet"/>
      <w:lvlText w:val="-"/>
      <w:lvlJc w:val="left"/>
      <w:pPr>
        <w:tabs>
          <w:tab w:val="num" w:pos="720"/>
        </w:tabs>
        <w:ind w:left="720" w:hanging="360"/>
      </w:pPr>
      <w:rPr>
        <w:rFonts w:ascii="Times New Roman" w:hAnsi="Times New Roman" w:cs="Times New Roman" w:hint="default"/>
        <w:rFonts w:cs="Times New Roman"/>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Symbol" w:hAnsi="Symbol" w:cs="Symbol" w:hint="default"/>
        <w:rFonts w:cs="Symbol"/>
      </w:rPr>
    </w:lvl>
  </w:abstractNum>
  <w:abstractNum w:abstractNumId="8">
    <w:lvl w:ilvl="0">
      <w:start w:val="1"/>
      <w:numFmt w:val="bullet"/>
      <w:lvlText w:val=""/>
      <w:lvlJc w:val="left"/>
      <w:pPr>
        <w:ind w:left="72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Symbol" w:hAnsi="Symbol" w:cs="Symbol" w:hint="default"/>
        <w:sz w:val="18"/>
        <w:szCs w:val="18"/>
        <w:rFonts w:cs="Symbol"/>
      </w:rPr>
    </w:lvl>
  </w:abstractNum>
  <w:abstractNum w:abstractNumId="10">
    <w:lvl w:ilvl="0">
      <w:start w:val="1"/>
      <w:numFmt w:val="upperRoman"/>
      <w:lvlText w:val="%1."/>
      <w:lvlJc w:val="left"/>
      <w:pPr>
        <w:ind w:left="1440" w:hanging="720"/>
      </w:pPr>
      <w:rPr>
        <w:b/>
        <w:rFonts w:ascii="Century Gothic" w:hAnsi="Century Gothic" w:cs="Arial"/>
      </w:rPr>
    </w:lvl>
  </w:abstractNum>
  <w:abstractNum w:abstractNumId="11">
    <w:lvl w:ilvl="0">
      <w:start w:val="1"/>
      <w:numFmt w:val="upperRoman"/>
      <w:lvlText w:val="%1."/>
      <w:lvlJc w:val="right"/>
      <w:pPr>
        <w:ind w:left="720" w:hanging="360"/>
      </w:pPr>
      <w:rPr>
        <w:rFonts w:ascii="Century Gothic" w:hAnsi="Century Gothic" w:cs="Arial"/>
      </w:rPr>
    </w:lvl>
  </w:abstractNum>
  <w:abstractNum w:abstractNumId="12">
    <w:lvl w:ilvl="0">
      <w:start w:val="1"/>
      <w:numFmt w:val="bullet"/>
      <w:lvlText w:val=""/>
      <w:lvlJc w:val="left"/>
      <w:pPr>
        <w:ind w:left="720" w:hanging="360"/>
      </w:pPr>
      <w:rPr>
        <w:rFonts w:ascii="Wingdings" w:hAnsi="Wingdings" w:cs="Wingdings" w:hint="default"/>
        <w:rFonts w:cs="Wingdings"/>
      </w:rPr>
    </w:lvl>
  </w:abstractNum>
  <w:abstractNum w:abstractNumId="1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overflowPunct w:val="true"/>
      <w:textAlignment w:val="auto"/>
      <w:outlineLvl w:val="0"/>
    </w:pPr>
    <w:rPr>
      <w:rFonts w:ascii="Tahoma" w:hAnsi="Tahoma" w:cs="Tahoma"/>
      <w:b/>
      <w:bCs/>
      <w:sz w:val="28"/>
      <w:szCs w:val="24"/>
      <w:lang w:val="en-GB"/>
    </w:rPr>
  </w:style>
  <w:style w:type="paragraph" w:styleId="Heading5">
    <w:name w:val="Heading 5"/>
    <w:basedOn w:val="Normal"/>
    <w:next w:val="Normal"/>
    <w:qFormat/>
    <w:pPr>
      <w:numPr>
        <w:ilvl w:val="4"/>
        <w:numId w:val="1"/>
      </w:numPr>
      <w:overflowPunct w:val="true"/>
      <w:autoSpaceDE w:val="true"/>
      <w:spacing w:before="240" w:after="60"/>
      <w:jc w:val="both"/>
      <w:textAlignment w:val="auto"/>
      <w:outlineLvl w:val="4"/>
    </w:pPr>
    <w:rPr>
      <w:rFonts w:ascii="Arial" w:hAnsi="Arial" w:cs="Arial"/>
      <w:b/>
      <w:bCs/>
      <w:i/>
      <w:iCs/>
      <w:sz w:val="26"/>
      <w:szCs w:val="26"/>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Wingdings" w:hAnsi="Wingdings" w:cs="Wingdings"/>
    </w:rPr>
  </w:style>
  <w:style w:type="character" w:styleId="WW8Num2z3">
    <w:name w:val="WW8Num2z3"/>
    <w:qFormat/>
    <w:rPr>
      <w:rFonts w:ascii="Symbol" w:hAnsi="Symbol" w:cs="Symbol"/>
    </w:rPr>
  </w:style>
  <w:style w:type="character" w:styleId="WW8Num2z4">
    <w:name w:val="WW8Num2z4"/>
    <w:qFormat/>
    <w:rPr>
      <w:rFonts w:ascii="Courier New" w:hAnsi="Courier New" w:cs="Courier New"/>
    </w:rPr>
  </w:style>
  <w:style w:type="character" w:styleId="WW8Num3z0">
    <w:name w:val="WW8Num3z0"/>
    <w:qFormat/>
    <w:rPr>
      <w:rFonts w:ascii="Arial" w:hAnsi="Arial"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b/>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Symbol" w:hAnsi="Symbol" w:cs="Symbol"/>
      <w:sz w:val="18"/>
      <w:szCs w:val="1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Century Gothic" w:hAnsi="Century Gothic" w:cs="Arial"/>
      <w:b/>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b/>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rFonts w:ascii="Century Gothic" w:hAnsi="Century Gothic" w:cs="Arial"/>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Policepardfaut">
    <w:name w:val="Police par défaut"/>
    <w:qFormat/>
    <w:rPr/>
  </w:style>
  <w:style w:type="character" w:styleId="InternetLink">
    <w:name w:val="Internet Link"/>
    <w:rPr>
      <w:color w:val="0000FF"/>
      <w:u w:val="single"/>
    </w:rPr>
  </w:style>
  <w:style w:type="character" w:styleId="Titre1Car">
    <w:name w:val="Titre 1 Car"/>
    <w:qFormat/>
    <w:rPr>
      <w:rFonts w:ascii="Tahoma" w:hAnsi="Tahoma" w:cs="Tahoma"/>
      <w:b/>
      <w:bCs/>
      <w:sz w:val="28"/>
      <w:szCs w:val="24"/>
    </w:rPr>
  </w:style>
  <w:style w:type="character" w:styleId="Titre5Car">
    <w:name w:val="Titre 5 Car"/>
    <w:qFormat/>
    <w:rPr>
      <w:rFonts w:ascii="Arial" w:hAnsi="Arial" w:cs="Arial"/>
      <w:b/>
      <w:bCs/>
      <w:i/>
      <w:iCs/>
      <w:sz w:val="26"/>
      <w:szCs w:val="26"/>
    </w:rPr>
  </w:style>
  <w:style w:type="character" w:styleId="PieddepageCar">
    <w:name w:val="Pied de page Car"/>
    <w:basedOn w:val="Policepardfau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Listepuces2">
    <w:name w:val="Liste à puces 2"/>
    <w:basedOn w:val="Normal"/>
    <w:qFormat/>
    <w:pPr>
      <w:numPr>
        <w:ilvl w:val="0"/>
        <w:numId w:val="5"/>
      </w:numPr>
      <w:overflowPunct w:val="true"/>
      <w:autoSpaceDE w:val="true"/>
      <w:jc w:val="both"/>
      <w:textAlignment w:val="auto"/>
    </w:pPr>
    <w:rPr>
      <w:rFonts w:ascii="Arial" w:hAnsi="Arial" w:cs="Arial"/>
      <w:sz w:val="22"/>
      <w:szCs w:val="24"/>
    </w:rPr>
  </w:style>
  <w:style w:type="paragraph" w:styleId="Paragraphedeliste">
    <w:name w:val="Paragraphe de liste"/>
    <w:basedOn w:val="Normal"/>
    <w:qFormat/>
    <w:pPr>
      <w:overflowPunct w:val="true"/>
      <w:autoSpaceDE w:val="true"/>
      <w:ind w:left="720" w:hanging="0"/>
      <w:textAlignment w:val="auto"/>
    </w:pPr>
    <w:rPr>
      <w:rFonts w:ascii="Calibri" w:hAnsi="Calibri" w:eastAsia="Calibri" w:cs="Calibri"/>
      <w:sz w:val="22"/>
      <w:szCs w:val="2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4.jpeg"/>
</Relationships>
</file>

<file path=word/_rels/footer2.xml.rels><?xml version="1.0" encoding="UTF-8"?>
<Relationships xmlns="http://schemas.openxmlformats.org/package/2006/relationships"><Relationship Id="rId1" Type="http://schemas.openxmlformats.org/officeDocument/2006/relationships/image" Target="media/image5.jpeg"/>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
</Relationships>
</file>

<file path=docProps/app.xml><?xml version="1.0" encoding="utf-8"?>
<Properties xmlns="http://schemas.openxmlformats.org/officeDocument/2006/extended-properties" xmlns:vt="http://schemas.openxmlformats.org/officeDocument/2006/docPropsVTypes">
  <Template>02-1 Papier en-tête AEI + LOGO</Template>
  <TotalTime>3</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2023-02-14T09:07:00Z</dcterms:created>
  <dc:creator/>
  <dc:description/>
  <dc:language>en-GB</dc:language>
  <cp:lastModifiedBy/>
  <cp:lastPrinted>2019-12-12T15:14:00Z</cp:lastPrinted>
  <dcterms:modified xsi:type="dcterms:W3CDTF">2023-02-14T09:09:00Z</dcterms:modified>
  <cp:revision>3</cp:revision>
  <dc:subject/>
  <dc:title>ASSOCIATION POUR L’AIDE AUX ENFANTS INADAPTES</dc:title>
</cp:coreProperties>
</file>