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body>
    <w:p>
      <w:pPr>
        <w:pStyle w:val="Normal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Autospacing="1" w:beforeAutospacing="1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AVENANT N°1 À L’ACCORD D’ENTREPRISE SUR LA DURÉE, L’AMÉNAGEMENT ET L’ORGANISATION DU TEMPS DE TRAVAIL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Entre les soussignés :</w:t>
      </w:r>
    </w:p>
    <w:p>
      <w:pPr>
        <w:pStyle w:val="Normal"/>
        <w:numPr>
          <w:ilvl w:val="0"/>
          <w:numId w:val="1"/>
        </w:numPr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 xml:space="preserve">L’ UES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INOXA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, dont le siège social est </w:t>
      </w: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 xml:space="preserve">situé </w:t>
      </w: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Neuville Saint Amand</w:t>
      </w: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 xml:space="preserve">, représentée par Monsieur XXXXXX, </w:t>
      </w: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Directeur,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D’une part,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et</w:t>
      </w:r>
    </w:p>
    <w:p>
      <w:pPr>
        <w:pStyle w:val="Normal"/>
        <w:numPr>
          <w:ilvl w:val="0"/>
          <w:numId w:val="2"/>
        </w:numPr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color w:themeColor="text1" w:val="000000"/>
          <w:sz w:val="24"/>
          <w:szCs w:val="24"/>
          <w:lang w:eastAsia="fr-FR"/>
        </w:rPr>
        <w:t>Madame XXXXXX</w:t>
      </w: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, Déléguée syndicale CFDT,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D’autre part,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color w:themeColor="text1" w:val="000000"/>
          <w:sz w:val="24"/>
          <w:szCs w:val="24"/>
          <w:lang w:eastAsia="fr-FR"/>
        </w:rPr>
        <w:t>IL A ÉTÉ CONVENU CE QUI SUIT :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</w:pPr>
      <w:r>
        <w:rPr/>
        <mc:AlternateContent>
          <mc:Choice Requires="wps">
            <w:drawing>
              <wp:inline distB="0" distL="0" distR="0" distT="0">
                <wp:extent cx="5761355" cy="19685"/>
                <wp:effectExtent b="0" l="0" r="0" t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fillcolor="#a0a0a0" id="shape_0" o:allowincell="f" stroked="f" style="position:absolute;margin-left:0pt;margin-top:-1.55pt;width:453.55pt;height:1.45pt;mso-wrap-style:none;v-text-anchor:middle;mso-position-horizontal:center;mso-position-vertical:top">
                <v:fill color2="#5f5f5f" o:detectmouseclick="t" type="solid"/>
                <v:stroke color="#3465a4" endcap="flat" joinstyle="round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afterAutospacing="1" w:beforeAutospacing="1" w:line="240" w:lineRule="auto"/>
        <w:outlineLvl w:val="2"/>
        <w:rPr>
          <w:rFonts w:ascii="Times New Roman" w:cs="Times New Roman" w:eastAsia="Times New Roman" w:hAnsi="Times New Roman"/>
          <w:b/>
          <w:b/>
          <w:bCs/>
          <w:color w:themeColor="text1" w:val="000000"/>
          <w:sz w:val="27"/>
          <w:szCs w:val="27"/>
          <w:lang w:eastAsia="fr-FR"/>
        </w:rPr>
      </w:pPr>
      <w:r>
        <w:rPr>
          <w:rFonts w:ascii="Times New Roman" w:cs="Times New Roman" w:eastAsia="Times New Roman" w:hAnsi="Times New Roman"/>
          <w:b/>
          <w:bCs/>
          <w:color w:themeColor="text1" w:val="000000"/>
          <w:sz w:val="27"/>
          <w:szCs w:val="27"/>
          <w:lang w:eastAsia="fr-FR"/>
        </w:rPr>
        <w:t>PRÉAMBULE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color w:themeColor="text1" w:val="000000"/>
          <w:sz w:val="24"/>
          <w:szCs w:val="24"/>
          <w:lang w:eastAsia="fr-FR"/>
        </w:rPr>
        <w:t>Le présent avenant s’inscrit dans la continuité de l’Accord d’entreprise sur la durée, l’aménagement et l’organisation du temps de travail signé le 10 juin 2020      (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ci-après « l’Accord »). Il a pour objet :</w:t>
      </w:r>
    </w:p>
    <w:p>
      <w:pPr>
        <w:pStyle w:val="Normal"/>
        <w:numPr>
          <w:ilvl w:val="0"/>
          <w:numId w:val="3"/>
        </w:numPr>
        <w:spacing w:after="0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D’étendre le régime du forfait annuel en jours à une nouvelle catégorie de salariés, à savoir les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agents de maîtrise autonomes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, conformément à l’article L. 3121-58 du Code du travail.</w:t>
      </w:r>
    </w:p>
    <w:p>
      <w:pPr>
        <w:pStyle w:val="Normal"/>
        <w:numPr>
          <w:ilvl w:val="0"/>
          <w:numId w:val="3"/>
        </w:numPr>
        <w:spacing w:afterAutospacing="1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D’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augmenter le contingent annuel d’heures supplémentaires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, qui passe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220 heures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260 heures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.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Les dispositions de l’Accord non expressément modifiées par le présent avenant demeurent inchangées et continuent de produire tous leurs effets.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/>
        <mc:AlternateContent>
          <mc:Choice Requires="wps">
            <w:drawing>
              <wp:inline distB="0" distL="0" distR="0" distT="0">
                <wp:extent cx="5761355" cy="19685"/>
                <wp:effectExtent b="0" l="0" r="0" t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fillcolor="#a0a0a0" id="shape_0" o:allowincell="f" stroked="f" style="position:absolute;margin-left:0pt;margin-top:-1.55pt;width:453.55pt;height:1.45pt;mso-wrap-style:none;v-text-anchor:middle;mso-position-horizontal:center;mso-position-vertical:top">
                <v:fill color2="#5f5f5f" o:detectmouseclick="t" type="solid"/>
                <v:stroke color="#3465a4" endcap="flat" joinstyle="round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afterAutospacing="1" w:beforeAutospacing="1" w:line="240" w:lineRule="auto"/>
        <w:outlineLvl w:val="2"/>
        <w:rPr>
          <w:rFonts w:ascii="Times New Roman" w:cs="Times New Roman" w:eastAsia="Times New Roman" w:hAnsi="Times New Roman"/>
          <w:b/>
          <w:b/>
          <w:bCs/>
          <w:sz w:val="27"/>
          <w:szCs w:val="27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fr-FR"/>
        </w:rPr>
        <w:t>ARTICLE 1 – Extension du forfait annuel en jours aux agents de maîtrise autonomes</w:t>
      </w:r>
    </w:p>
    <w:p>
      <w:pPr>
        <w:pStyle w:val="Normal"/>
        <w:numPr>
          <w:ilvl w:val="0"/>
          <w:numId w:val="4"/>
        </w:numPr>
        <w:spacing w:after="0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Les dispositions figurant au sein de l’article 6 de l’Accord (« Organisation du temps de travail des Cadres ») relatives au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forfait annuel en jours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sont désormais applicables aux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agents de maîtrise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qui :</w:t>
      </w:r>
    </w:p>
    <w:p>
      <w:pPr>
        <w:pStyle w:val="Normal"/>
        <w:numPr>
          <w:ilvl w:val="1"/>
          <w:numId w:val="4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Bénéficient d’une autonomie réelle dans l’organisation de leur emploi du temps,</w:t>
      </w:r>
    </w:p>
    <w:p>
      <w:pPr>
        <w:pStyle w:val="Normal"/>
        <w:numPr>
          <w:ilvl w:val="1"/>
          <w:numId w:val="4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N’ont pas vocation à suivre l’horaire collectif applicable à leur service ou leur équipe,</w:t>
      </w:r>
    </w:p>
    <w:p>
      <w:pPr>
        <w:pStyle w:val="Normal"/>
        <w:numPr>
          <w:ilvl w:val="1"/>
          <w:numId w:val="4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Exercent des responsabilités et missions de nature à justifier un forfait annuel en jours.</w:t>
      </w:r>
    </w:p>
    <w:p>
      <w:pPr>
        <w:pStyle w:val="Normal"/>
        <w:numPr>
          <w:ilvl w:val="0"/>
          <w:numId w:val="4"/>
        </w:numPr>
        <w:spacing w:afterAutospacing="1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En conséquence, toute référence faite aux « cadres autonomes » au sein de l’Accord est étendue aux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« cadres et agents de maîtrise autonomes »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, sous réserve qu’une convention individuelle de forfait en jours soit conclue avec l’intéressé(e).</w:t>
      </w:r>
    </w:p>
    <w:p>
      <w:pPr>
        <w:pStyle w:val="Normal"/>
        <w:spacing w:afterAutospacing="1" w:beforeAutospacing="1" w:line="240" w:lineRule="auto"/>
        <w:ind w:hanging="0" w:left="720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numPr>
          <w:ilvl w:val="0"/>
          <w:numId w:val="4"/>
        </w:numPr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Les conditions d’éligibilité, les modalités de mise en œuvre (nombre de jours travaillés, suivi et contrôle de la charge de travail, droit à la déconnexion, etc.) et les garanties afférentes (respect des temps de repos, contrôle de la charge de travail, entretien annuel) sont identiques à celles déjà prévues pour les cadres autonomes par l’article 6 de l’Accord.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/>
        <mc:AlternateContent>
          <mc:Choice Requires="wps">
            <w:drawing>
              <wp:inline distB="0" distL="0" distR="0" distT="0">
                <wp:extent cx="5761355" cy="19685"/>
                <wp:effectExtent b="0" l="0" r="0" t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fillcolor="#a0a0a0" id="shape_0" o:allowincell="f" stroked="f" style="position:absolute;margin-left:0pt;margin-top:-1.55pt;width:453.55pt;height:1.45pt;mso-wrap-style:none;v-text-anchor:middle;mso-position-horizontal:center;mso-position-vertical:top">
                <v:fill color2="#5f5f5f" o:detectmouseclick="t" type="solid"/>
                <v:stroke color="#3465a4" endcap="flat" joinstyle="round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afterAutospacing="1" w:beforeAutospacing="1" w:line="240" w:lineRule="auto"/>
        <w:outlineLvl w:val="2"/>
        <w:rPr>
          <w:rFonts w:ascii="Times New Roman" w:cs="Times New Roman" w:eastAsia="Times New Roman" w:hAnsi="Times New Roman"/>
          <w:b/>
          <w:b/>
          <w:bCs/>
          <w:sz w:val="27"/>
          <w:szCs w:val="27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fr-FR"/>
        </w:rPr>
        <w:t>ARTICLE 2 – Modification du contingent annuel d’heures supplémentaires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L’article 5.2 de l’Accord (« Contingent annuel ») est modifié comme suit :</w:t>
      </w:r>
    </w:p>
    <w:p>
      <w:pPr>
        <w:pStyle w:val="Normal"/>
        <w:numPr>
          <w:ilvl w:val="0"/>
          <w:numId w:val="5"/>
        </w:numPr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Le paragraphe « Le contingent annuel des heures supplémentaires est fixé à 220 heures » est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remplacé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par :</w:t>
      </w:r>
    </w:p>
    <w:p>
      <w:pPr>
        <w:pStyle w:val="Normal"/>
        <w:spacing w:afterAutospacing="1" w:beforeAutospacing="1" w:line="240" w:lineRule="auto"/>
        <w:ind w:hanging="0" w:left="1440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« Le contingent annuel des heures supplémentaires est fixé à 260 heures. »</w:t>
      </w:r>
    </w:p>
    <w:p>
      <w:pPr>
        <w:pStyle w:val="Normal"/>
        <w:numPr>
          <w:ilvl w:val="0"/>
          <w:numId w:val="5"/>
        </w:numPr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Le reste des dispositions de l’article 5.2 demeure inchangé, notamment celles relatives à la contrepartie obligatoire en repos au-delà dudit contingent et ses modalités de prise.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/>
        <mc:AlternateContent>
          <mc:Choice Requires="wps">
            <w:drawing>
              <wp:inline distB="0" distL="0" distR="0" distT="0">
                <wp:extent cx="5761355" cy="19685"/>
                <wp:effectExtent b="0" l="0" r="0" t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fillcolor="#a0a0a0" id="shape_0" o:allowincell="f" stroked="f" style="position:absolute;margin-left:0pt;margin-top:-1.55pt;width:453.55pt;height:1.45pt;mso-wrap-style:none;v-text-anchor:middle;mso-position-horizontal:center;mso-position-vertical:top">
                <v:fill color2="#5f5f5f" o:detectmouseclick="t" type="solid"/>
                <v:stroke color="#3465a4" endcap="flat" joinstyle="round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after="0" w:before="0" w:line="240" w:lineRule="auto"/>
        <w:outlineLvl w:val="2"/>
        <w:rPr>
          <w:rFonts w:ascii="Times New Roman" w:cs="Times New Roman" w:eastAsia="Times New Roman" w:hAnsi="Times New Roman"/>
          <w:b/>
          <w:b/>
          <w:bCs/>
          <w:sz w:val="27"/>
          <w:szCs w:val="27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fr-FR"/>
        </w:rPr>
        <w:t>ARTICLE 3 – Dispositions générales</w:t>
      </w:r>
    </w:p>
    <w:p>
      <w:pPr>
        <w:pStyle w:val="Normal"/>
        <w:numPr>
          <w:ilvl w:val="0"/>
          <w:numId w:val="0"/>
        </w:numPr>
        <w:spacing w:after="0" w:before="0" w:line="240" w:lineRule="auto"/>
        <w:outlineLvl w:val="2"/>
        <w:rPr>
          <w:rFonts w:ascii="Times New Roman" w:cs="Times New Roman" w:eastAsia="Times New Roman" w:hAnsi="Times New Roman"/>
          <w:b/>
          <w:b/>
          <w:bCs/>
          <w:sz w:val="27"/>
          <w:szCs w:val="27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fr-FR"/>
        </w:rPr>
      </w:r>
    </w:p>
    <w:p>
      <w:pPr>
        <w:pStyle w:val="Normal"/>
        <w:numPr>
          <w:ilvl w:val="0"/>
          <w:numId w:val="6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Date d’effet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br/>
        <w:t>Le présent avenant entre en vigueur à compter de sa signature, sous réserve de l’accomplissement des formalités de dépôt légal.</w:t>
      </w:r>
    </w:p>
    <w:p>
      <w:pPr>
        <w:pStyle w:val="Normal"/>
        <w:spacing w:after="0" w:before="0" w:line="240" w:lineRule="auto"/>
        <w:ind w:hanging="0" w:left="720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numPr>
          <w:ilvl w:val="0"/>
          <w:numId w:val="6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Durée – Révision – Dénonciation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br/>
        <w:t>Le présent avenant est conclu pour une durée indéterminée.</w:t>
        <w:br/>
        <w:t xml:space="preserve">Il peut être révisé dans les conditions prévues aux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articles 7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et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8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 xml:space="preserve"> de l’Accord initial.</w:t>
        <w:br/>
        <w:t>En cas de dénonciation, un préavis de trois (3) mois devra être respecté.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numPr>
          <w:ilvl w:val="0"/>
          <w:numId w:val="6"/>
        </w:num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Maintien des autres dispositions de l’Accord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br/>
        <w:t>Toutes les autres dispositions de l’Accord initial non expressément modifiées par le présent avenant demeurent inchangées et conservent leur plein effet.</w:t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numPr>
          <w:ilvl w:val="0"/>
          <w:numId w:val="6"/>
        </w:numPr>
        <w:spacing w:after="0" w:beforeAutospacing="1" w:line="36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fr-FR"/>
        </w:rPr>
        <w:t>Publicité et dépôt</w:t>
      </w: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br/>
        <w:t>Le présent avenant sera déposé selon les modalités légales et réglementaires en vigueur :</w:t>
      </w:r>
    </w:p>
    <w:p>
      <w:pPr>
        <w:pStyle w:val="Normal"/>
        <w:numPr>
          <w:ilvl w:val="1"/>
          <w:numId w:val="6"/>
        </w:num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En deux exemplaires (un exemplaire papier signé et un exemplaire dématérialisé) auprès de la DREETS (Direction Régionale de l’Économie, de l’Emploi, du Travail et des Solidarités) compétente,</w:t>
      </w:r>
    </w:p>
    <w:p>
      <w:pPr>
        <w:pStyle w:val="Normal"/>
        <w:numPr>
          <w:ilvl w:val="1"/>
          <w:numId w:val="6"/>
        </w:numPr>
        <w:spacing w:afterAutospacing="1" w:before="0" w:line="36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  <w:t>En un exemplaire auprès du greffe du Conseil de prud’hommes.</w:t>
        <w:br/>
        <w:t>Il sera établi en un nombre suffisant d’exemplaires pour chacune des parties signataires.</w:t>
      </w:r>
    </w:p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tbl>
      <w:tblPr>
        <w:tblStyle w:val="Grilledutableau1"/>
        <w:tblW w:type="dxa" w:w="8789"/>
        <w:jc w:val="left"/>
        <w:tblInd w:type="dxa" w:w="284"/>
        <w:tblLayout w:type="fixed"/>
        <w:tblCellMar>
          <w:top w:type="dxa" w:w="0"/>
          <w:left w:type="dxa" w:w="108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3298"/>
        <w:gridCol w:w="5490"/>
      </w:tblGrid>
      <w:tr>
        <w:trPr/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after="0" w:before="0" w:line="240" w:lineRule="auto"/>
              <w:ind w:hanging="0" w:right="96"/>
              <w:jc w:val="righ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  <w:t>Boves, le 31/03/ 2025</w:t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  <w:t xml:space="preserve">Pour l’ UES </w:t>
            </w: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  <w:t>INOXA</w:t>
            </w:r>
          </w:p>
          <w:p>
            <w:pPr>
              <w:pStyle w:val="Normal"/>
              <w:widowControl/>
              <w:spacing w:after="0" w:before="0" w:line="240" w:lineRule="auto"/>
              <w:ind w:hanging="0" w:left="284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284" w:right="96"/>
              <w:jc w:val="center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  <w:t>XXXXXX</w:t>
            </w:r>
          </w:p>
          <w:p>
            <w:pPr>
              <w:pStyle w:val="Normal"/>
              <w:widowControl/>
              <w:spacing w:after="0" w:before="0" w:line="240" w:lineRule="auto"/>
              <w:ind w:hanging="0" w:left="284" w:right="96"/>
              <w:jc w:val="center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  <w:t>Directeur Général</w:t>
            </w:r>
          </w:p>
          <w:p>
            <w:pPr>
              <w:pStyle w:val="Normal"/>
              <w:widowControl/>
              <w:spacing w:after="0" w:before="0" w:line="240" w:lineRule="auto"/>
              <w:ind w:firstLine="284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firstLine="284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firstLine="284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firstLine="284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center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</w:tc>
        <w:tc>
          <w:tcPr>
            <w:tcW w:type="dxa" w:w="5490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  <w:u w:val="single"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u w:val="single"/>
                <w:lang w:bidi="ar-SA" w:eastAsia="fr-FR" w:val="fr-FR"/>
              </w:rPr>
              <w:t>Pour les Syndicat</w:t>
            </w:r>
            <w:r>
              <w:rPr>
                <w:rFonts w:ascii="Times New Roman" w:cs="Calibri" w:cstheme="minorHAnsi" w:eastAsia="Times New Roman" w:hAnsi="Times New Roman"/>
                <w:b/>
                <w:i/>
                <w:kern w:val="0"/>
                <w:sz w:val="20"/>
                <w:szCs w:val="20"/>
                <w:lang w:bidi="ar-SA" w:eastAsia="fr-FR" w:val="fr-FR"/>
              </w:rPr>
              <w:t>s</w:t>
              <w:tab/>
              <w:tab/>
              <w:tab/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highlight w:val="yellow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highlight w:val="yellow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  <w:t>XXXXXX</w:t>
              <w:tab/>
              <w:tab/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  <w:t xml:space="preserve">Délégué Syndical CFDT UES </w:t>
            </w: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  <w:t>INOXA</w:t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left="1416" w:right="96"/>
              <w:jc w:val="left"/>
              <w:rPr>
                <w:rFonts w:cs="Calibri" w:cstheme="minorHAnsi"/>
                <w:b/>
                <w:b/>
              </w:rPr>
            </w:pPr>
            <w:r>
              <w:rPr>
                <w:rFonts w:ascii="Times New Roman" w:cs="Calibri" w:cstheme="minorHAnsi" w:eastAsia="Times New Roman" w:hAnsi="Times New Roman"/>
                <w:b/>
                <w:kern w:val="0"/>
                <w:sz w:val="20"/>
                <w:szCs w:val="20"/>
                <w:lang w:bidi="ar-SA" w:eastAsia="fr-FR" w:val="fr-FR"/>
              </w:rPr>
            </w:r>
          </w:p>
          <w:p>
            <w:pPr>
              <w:pStyle w:val="Normal"/>
              <w:widowControl/>
              <w:spacing w:after="0" w:before="0" w:line="240" w:lineRule="auto"/>
              <w:ind w:hanging="0" w:right="96"/>
              <w:jc w:val="left"/>
              <w:rPr>
                <w:rFonts w:cs="Calibri" w:cstheme="minorHAnsi"/>
              </w:rPr>
            </w:pPr>
            <w:r>
              <w:rPr>
                <w:rFonts w:ascii="Times New Roman" w:cs="Calibri" w:cstheme="minorHAnsi" w:eastAsia="Times New Roman" w:hAnsi="Times New Roman"/>
                <w:kern w:val="0"/>
                <w:sz w:val="20"/>
                <w:szCs w:val="20"/>
                <w:lang w:bidi="ar-SA" w:eastAsia="fr-FR" w:val="fr-FR"/>
              </w:rPr>
            </w:r>
          </w:p>
        </w:tc>
      </w:tr>
    </w:tbl>
    <w:p>
      <w:pPr>
        <w:pStyle w:val="Normal"/>
        <w:spacing w:afterAutospacing="1" w:beforeAutospacing="1" w:line="240" w:lineRule="auto"/>
        <w:rPr>
          <w:rFonts w:ascii="Times New Roman" w:cs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fr-FR"/>
        </w:rPr>
      </w:r>
    </w:p>
    <w:p>
      <w:pPr>
        <w:pStyle w:val="Normal"/>
        <w:widowControl/>
        <w:bidi w:val="0"/>
        <w:spacing w:after="160" w:before="0" w:line="259" w:lineRule="auto"/>
        <w:jc w:val="left"/>
        <w:rPr/>
      </w:pPr>
      <w:r>
        <w:rPr/>
      </w:r>
    </w:p>
    <w:sectPr>
      <w:type w:val="nextPage"/>
      <w:pgSz w:h="16838" w:w="11906"/>
      <w:pgMar w:bottom="1417" w:footer="0" w:gutter="0" w:header="0" w:left="1417" w:right="1417" w:top="1417"/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cs="Wingdings" w:hAnsi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cs="Wingdings" w:hAnsi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cs="Wingdings" w:hAnsi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bidi="" w:eastAsia="" w:val="fr-FR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asciiTheme="minorHAnsi" w:cs="" w:cstheme="minorBidi" w:eastAsia="Calibri" w:eastAsiaTheme="minorHAnsi" w:hAnsi="Calibri" w:hAnsiTheme="minorHAnsi"/>
        <w:sz w:val="22"/>
        <w:szCs w:val="22"/>
        <w:lang w:bidi="ar-SA" w:eastAsia="en-US" w:val="fr-FR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/>
      <w:bidi w:val="0"/>
      <w:spacing w:after="160" w:before="0" w:line="259" w:lineRule="auto"/>
      <w:jc w:val="left"/>
    </w:pPr>
    <w:rPr>
      <w:rFonts w:ascii="Calibri" w:asciiTheme="minorHAnsi" w:cs="" w:cstheme="minorBidi" w:eastAsia="Calibri" w:eastAsiaTheme="minorHAnsi" w:hAnsi="Calibri" w:hAnsiTheme="minorHAnsi"/>
      <w:color w:val="auto"/>
      <w:kern w:val="0"/>
      <w:sz w:val="22"/>
      <w:szCs w:val="22"/>
      <w:lang w:bidi="ar-SA" w:eastAsia="en-US" w:val="fr-FR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styleId="Titre" w:type="paragraph">
    <w:name w:val="Titre"/>
    <w:basedOn w:val="Normal"/>
    <w:next w:val="Corpsdetexte"/>
    <w:qFormat/>
    <w:pPr>
      <w:keepNext w:val="true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styleId="Corpsdetexte" w:type="paragraph">
    <w:name w:val="Body Text"/>
    <w:basedOn w:val="Normal"/>
    <w:pPr>
      <w:spacing w:after="140" w:before="0" w:line="276" w:lineRule="auto"/>
    </w:pPr>
    <w:rPr/>
  </w:style>
  <w:style w:styleId="Liste" w:type="paragraph">
    <w:name w:val="List"/>
    <w:basedOn w:val="Corpsdetexte"/>
    <w:pPr/>
    <w:rPr>
      <w:rFonts w:cs="Arial"/>
    </w:rPr>
  </w:style>
  <w:style w:styleId="Lgende" w:type="paragraph">
    <w:name w:val="Caption"/>
    <w:basedOn w:val="Normal"/>
    <w:qFormat/>
    <w:pPr>
      <w:suppressLineNumbers/>
      <w:spacing w:after="120" w:before="120"/>
    </w:pPr>
    <w:rPr>
      <w:rFonts w:cs="Ari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"/>
    </w:rPr>
  </w:style>
  <w:style w:styleId="ListParagraph" w:type="paragraph">
    <w:name w:val="List Paragraph"/>
    <w:basedOn w:val="Normal"/>
    <w:uiPriority w:val="34"/>
    <w:qFormat/>
    <w:rsid w:val="00673150"/>
    <w:pPr>
      <w:spacing w:after="160" w:before="0"/>
      <w:ind w:hanging="0" w:left="720"/>
      <w:contextualSpacing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Grilledutableau1" w:type="table">
    <w:name w:val="Grille du tableau1"/>
    <w:basedOn w:val="TableauNormal"/>
    <w:rsid w:val="00673150"/>
    <w:pPr>
      <w:spacing w:after="0" w:line="240" w:lineRule="auto"/>
    </w:pPr>
    <w:rPr>
      <w:lang w:eastAsia="fr-FR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lledutableau" w:type="table">
    <w:name w:val="Table Grid"/>
    <w:basedOn w:val="TableauNormal"/>
    <w:uiPriority w:val="39"/>
    <w:rsid w:val="006731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LibreOffice/7.2.7.2.M8$Windows_X86_64 LibreOffice_project/cf1bdbb7fdbe4cc2bde03370057fbbb79d316db5</Application>
  <AppVersion>15.0000</AppVersion>
  <Pages>3</Pages>
  <Words>613</Words>
  <Characters>3267</Characters>
  <CharactersWithSpaces>3838</CharactersWithSpaces>
  <Paragraphs>43</Paragraphs>
  <Company>NATUP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2025-04-16T09:01:00Z</dcterms:created>
  <dc:language>fr-FR</dc:language>
  <cp:lastPrinted>2025-03-31T09:21:00Z</cp:lastPrinted>
  <dcterms:modified xsi:type="dcterms:W3CDTF">2025-06-16T16:10:15Z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