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bottom w:val="single" w:sz="4" w:space="1" w:color="000000"/>
        </w:pBdr>
        <w:jc w:val="center"/>
        <w:rPr>
          <w:rFonts w:ascii="Century Gothic" w:hAnsi="Century Gothic" w:cs="Calibri"/>
          <w:b/>
          <w:b/>
          <w:sz w:val="24"/>
          <w:szCs w:val="24"/>
        </w:rPr>
      </w:pPr>
      <w:r>
        <w:rPr>
          <w:rFonts w:cs="Calibri" w:ascii="Century Gothic" w:hAnsi="Century Gothic"/>
          <w:b/>
          <w:sz w:val="24"/>
          <w:szCs w:val="24"/>
        </w:rPr>
        <w:t>ACCORD D’ENTREPRISE du 27 décembre 2018 relatif à la durée du temps de travail, au repos hebdomadaire et aux heures supplémentaires</w:t>
      </w:r>
    </w:p>
    <w:p>
      <w:pPr>
        <w:pStyle w:val="Normal"/>
        <w:jc w:val="center"/>
        <w:rPr>
          <w:rFonts w:ascii="Century Gothic" w:hAnsi="Century Gothic" w:cs="Calibri"/>
          <w:b/>
          <w:b/>
          <w:sz w:val="24"/>
          <w:szCs w:val="24"/>
        </w:rPr>
      </w:pPr>
      <w:r>
        <w:rPr>
          <w:rFonts w:cs="Calibri" w:ascii="Century Gothic" w:hAnsi="Century Gothic"/>
          <w:b/>
          <w:sz w:val="24"/>
          <w:szCs w:val="24"/>
        </w:rPr>
      </w:r>
    </w:p>
    <w:p>
      <w:pPr>
        <w:pStyle w:val="Corpsdetexte2"/>
        <w:jc w:val="both"/>
        <w:rPr>
          <w:rFonts w:ascii="Century Gothic" w:hAnsi="Century Gothic" w:cs="Calibri"/>
          <w:b/>
          <w:b/>
          <w:i w:val="false"/>
          <w:i w:val="false"/>
          <w:sz w:val="24"/>
          <w:szCs w:val="24"/>
          <w:u w:val="single"/>
        </w:rPr>
      </w:pPr>
      <w:r>
        <w:rPr>
          <w:rFonts w:cs="Calibri" w:ascii="Century Gothic" w:hAnsi="Century Gothic"/>
          <w:b/>
          <w:i w:val="false"/>
          <w:sz w:val="24"/>
          <w:szCs w:val="24"/>
          <w:u w:val="single"/>
        </w:rPr>
        <w:t>Entre</w:t>
      </w:r>
    </w:p>
    <w:p>
      <w:pPr>
        <w:pStyle w:val="Corpsdetexte2"/>
        <w:jc w:val="both"/>
        <w:rPr>
          <w:rFonts w:ascii="Century Gothic" w:hAnsi="Century Gothic" w:cs="Calibri"/>
          <w:b/>
          <w:b/>
          <w:i w:val="false"/>
          <w:i w:val="false"/>
          <w:sz w:val="24"/>
          <w:szCs w:val="24"/>
          <w:u w:val="single"/>
        </w:rPr>
      </w:pPr>
      <w:r>
        <w:rPr>
          <w:rFonts w:cs="Calibri" w:ascii="Century Gothic" w:hAnsi="Century Gothic"/>
          <w:b/>
          <w:i w:val="false"/>
          <w:sz w:val="24"/>
          <w:szCs w:val="24"/>
          <w:u w:val="single"/>
        </w:rPr>
      </w:r>
    </w:p>
    <w:p>
      <w:pPr>
        <w:pStyle w:val="Corpsdetexte2"/>
        <w:jc w:val="both"/>
        <w:rPr>
          <w:rFonts w:ascii="Century Gothic" w:hAnsi="Century Gothic" w:cs="Arial"/>
          <w:i w:val="false"/>
          <w:i w:val="false"/>
          <w:sz w:val="24"/>
          <w:szCs w:val="24"/>
        </w:rPr>
      </w:pPr>
      <w:r>
        <w:rPr>
          <w:rFonts w:cs="Calibri" w:ascii="Century Gothic" w:hAnsi="Century Gothic"/>
          <w:i w:val="false"/>
          <w:sz w:val="24"/>
          <w:szCs w:val="24"/>
        </w:rPr>
        <w:t>La Société SARL HOTEL DU SOLEIL PRA LOUP, dont le siège social est situé : Hôtel les Bergers, 04 400 Pra Loup, RCS 444 613 426, prise en la personne de son représentant légal domicilié audit siège social.</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t>Et</w:t>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r>
    </w:p>
    <w:p>
      <w:pPr>
        <w:pStyle w:val="Corpsdetexte2"/>
        <w:jc w:val="both"/>
        <w:rPr>
          <w:rFonts w:ascii="Century Gothic" w:hAnsi="Century Gothic" w:cs="Calibri"/>
          <w:i w:val="false"/>
          <w:i w:val="false"/>
          <w:sz w:val="24"/>
          <w:szCs w:val="24"/>
        </w:rPr>
      </w:pPr>
      <w:r>
        <w:rPr>
          <w:rFonts w:cs="Arial" w:ascii="Century Gothic" w:hAnsi="Century Gothic"/>
          <w:i w:val="false"/>
          <w:sz w:val="24"/>
          <w:szCs w:val="24"/>
        </w:rPr>
        <w:t xml:space="preserve">Les salariés de la Société </w:t>
      </w:r>
      <w:r>
        <w:rPr>
          <w:rFonts w:cs="Calibri" w:ascii="Century Gothic" w:hAnsi="Century Gothic"/>
          <w:i w:val="false"/>
          <w:sz w:val="24"/>
          <w:szCs w:val="24"/>
        </w:rPr>
        <w:t>SARL HOTEL DU SOLEIL PRA LOUP</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b/>
          <w:b/>
          <w:i w:val="false"/>
          <w:i w:val="false"/>
          <w:sz w:val="24"/>
          <w:szCs w:val="24"/>
          <w:u w:val="single"/>
        </w:rPr>
      </w:pPr>
      <w:r>
        <w:rPr>
          <w:rFonts w:cs="Arial" w:ascii="Century Gothic" w:hAnsi="Century Gothic"/>
          <w:b/>
          <w:i w:val="false"/>
          <w:sz w:val="24"/>
          <w:szCs w:val="24"/>
          <w:u w:val="single"/>
        </w:rPr>
        <w:t>PREAMBULE</w:t>
      </w:r>
    </w:p>
    <w:p>
      <w:pPr>
        <w:pStyle w:val="Corpsdetexte2"/>
        <w:jc w:val="both"/>
        <w:rPr>
          <w:rFonts w:ascii="Century Gothic" w:hAnsi="Century Gothic" w:cs="Arial"/>
          <w:b/>
          <w:b/>
          <w:i w:val="false"/>
          <w:i w:val="false"/>
          <w:sz w:val="24"/>
          <w:szCs w:val="24"/>
          <w:u w:val="single"/>
        </w:rPr>
      </w:pPr>
      <w:r>
        <w:rPr>
          <w:rFonts w:cs="Arial" w:ascii="Century Gothic" w:hAnsi="Century Gothic"/>
          <w:b/>
          <w:i w:val="false"/>
          <w:sz w:val="24"/>
          <w:szCs w:val="24"/>
          <w:u w:val="single"/>
        </w:rPr>
      </w:r>
    </w:p>
    <w:p>
      <w:pPr>
        <w:pStyle w:val="Corpsdetexte2"/>
        <w:jc w:val="both"/>
        <w:rPr/>
      </w:pPr>
      <w:r>
        <w:rPr>
          <w:rFonts w:cs="Arial" w:ascii="Century Gothic" w:hAnsi="Century Gothic"/>
          <w:i w:val="false"/>
          <w:sz w:val="24"/>
          <w:szCs w:val="24"/>
        </w:rPr>
        <w:t xml:space="preserve">La Société </w:t>
      </w:r>
      <w:r>
        <w:rPr>
          <w:rFonts w:cs="Calibri" w:ascii="Century Gothic" w:hAnsi="Century Gothic"/>
          <w:i w:val="false"/>
          <w:sz w:val="24"/>
          <w:szCs w:val="24"/>
        </w:rPr>
        <w:t>SARL HOTEL DU SOLEIL PRA LOUP</w:t>
      </w:r>
      <w:r>
        <w:rPr>
          <w:rFonts w:cs="Arial" w:ascii="Century Gothic" w:hAnsi="Century Gothic"/>
          <w:i w:val="false"/>
          <w:sz w:val="24"/>
          <w:szCs w:val="24"/>
        </w:rPr>
        <w:t xml:space="preserve"> a souhaité conclure un accord d’entreprise avec ses salariés. Conformément à la loi n°2016-1088 du 8 aout 2016 relative au travail, à la modernisation du dialogue social et à la sécurisation des parcours professionnels, dite « loi Travail », à l’ordonnance n° 2017-1385 du 22 septembre 2017 relative au renforcement de la négociation collective et au décret n° 2017-1767 du 26 décembre 2017 relatif aux modalités d’approbation des accords dans les très petites entreprises, le présent accord d’entreprise a été soumis à l’approbation des salariés par un référendum en date du 27 décembre 2018.</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Century Gothic"/>
          <w:sz w:val="24"/>
          <w:szCs w:val="24"/>
        </w:rPr>
      </w:pPr>
      <w:r>
        <w:rPr>
          <w:rFonts w:cs="Arial" w:ascii="Century Gothic" w:hAnsi="Century Gothic"/>
          <w:i w:val="false"/>
          <w:sz w:val="24"/>
          <w:szCs w:val="24"/>
        </w:rPr>
        <w:t>Le projet d’accord d’entreprise a été communiqué à chaque salarié par lettre remise en mains propres du 11 décembre 2018, accompagné d’une note de service détaillant le déroulement du référendum.</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Le référendum d’entreprise a eu lieu le 27 décembre 2018</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Le résultat du référendum a été le suivant : 12 OUI ; 0 NON</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Conformément aux dispositions légales et réglementaires le projet d’accord d’entreprise a été approuvé à la majorité des 2/3 du personnel.</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La mise en œuvre des diverses mesures prévues par le présent accord entend adapter les nécessités de l’entreprise aux attentes des salariés, aux impératifs liés à la production, aux services et aux besoins des clients.</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t>Article 1 : Champ d’application</w:t>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 xml:space="preserve">Le présent accord s’applique à tous les salariés liés par un contrat de travail à la Société </w:t>
      </w:r>
      <w:r>
        <w:rPr>
          <w:rFonts w:cs="Calibri" w:ascii="Century Gothic" w:hAnsi="Century Gothic"/>
          <w:i w:val="false"/>
          <w:sz w:val="24"/>
          <w:szCs w:val="24"/>
        </w:rPr>
        <w:t>SARL HOTEL DU SOLEIL PRA LOUP</w:t>
      </w:r>
      <w:r>
        <w:rPr>
          <w:rFonts w:cs="Arial" w:ascii="Century Gothic" w:hAnsi="Century Gothic"/>
          <w:i w:val="false"/>
          <w:sz w:val="24"/>
          <w:szCs w:val="24"/>
        </w:rPr>
        <w:t xml:space="preserve"> que ces salariés soient déjà dans l’effectif de l’entreprise à la date d’effet du présent accord ou qu’ils soient recrutés à l’avenir.</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r>
    </w:p>
    <w:p>
      <w:pPr>
        <w:pStyle w:val="Corpsdetexte2"/>
        <w:jc w:val="both"/>
        <w:rPr/>
      </w:pPr>
      <w:r>
        <w:rPr>
          <w:rFonts w:cs="Arial" w:ascii="Century Gothic" w:hAnsi="Century Gothic"/>
          <w:b/>
          <w:i w:val="false"/>
          <w:sz w:val="24"/>
          <w:szCs w:val="24"/>
        </w:rPr>
        <w:t>Article 2 : Sur la Majoration des heures supplémentaires</w:t>
      </w:r>
    </w:p>
    <w:p>
      <w:pPr>
        <w:pStyle w:val="NormalWeb"/>
        <w:spacing w:lineRule="auto" w:line="276" w:before="0" w:after="0"/>
        <w:jc w:val="both"/>
        <w:textAlignment w:val="baseline"/>
        <w:rPr>
          <w:rFonts w:ascii="Century Gothic" w:hAnsi="Century Gothic" w:cs="Arial"/>
          <w:b/>
          <w:b/>
          <w:i/>
          <w:i/>
          <w:sz w:val="24"/>
          <w:szCs w:val="24"/>
        </w:rPr>
      </w:pPr>
      <w:r>
        <w:rPr>
          <w:rFonts w:cs="Arial" w:ascii="Century Gothic" w:hAnsi="Century Gothic"/>
          <w:b/>
          <w:i/>
          <w:sz w:val="24"/>
          <w:szCs w:val="24"/>
        </w:rPr>
      </w:r>
    </w:p>
    <w:p>
      <w:pPr>
        <w:pStyle w:val="NormalWeb"/>
        <w:spacing w:lineRule="auto" w:line="276" w:before="0" w:after="0"/>
        <w:jc w:val="both"/>
        <w:textAlignment w:val="baseline"/>
        <w:rPr>
          <w:rFonts w:ascii="Century Gothic" w:hAnsi="Century Gothic" w:cs="Century Gothic"/>
        </w:rPr>
      </w:pPr>
      <w:r>
        <w:rPr>
          <w:rFonts w:cs="Arial" w:ascii="Century Gothic" w:hAnsi="Century Gothic"/>
        </w:rPr>
        <w:t>Les heures supplémentaires sont celles qui sont effectuées au-delà de la durée normale de 39 heures de travail par semaine. La décision d’effectuer des heures supplémentaires appartient à l’employeur, après information des salariés, et sur la base du volontariat.</w:t>
      </w:r>
    </w:p>
    <w:p>
      <w:pPr>
        <w:pStyle w:val="NormalWeb"/>
        <w:spacing w:lineRule="auto" w:line="276" w:before="0" w:after="0"/>
        <w:jc w:val="both"/>
        <w:textAlignment w:val="baseline"/>
        <w:rPr>
          <w:rFonts w:ascii="Century Gothic" w:hAnsi="Century Gothic" w:cs="Arial"/>
        </w:rPr>
      </w:pPr>
      <w:r>
        <w:rPr>
          <w:rFonts w:cs="Arial" w:ascii="Century Gothic" w:hAnsi="Century Gothic"/>
        </w:rPr>
      </w:r>
    </w:p>
    <w:p>
      <w:pPr>
        <w:pStyle w:val="NormalWeb"/>
        <w:spacing w:lineRule="auto" w:line="276" w:before="0" w:after="0"/>
        <w:jc w:val="both"/>
        <w:textAlignment w:val="baseline"/>
        <w:rPr>
          <w:rFonts w:ascii="Century Gothic" w:hAnsi="Century Gothic" w:cs="Century Gothic"/>
        </w:rPr>
      </w:pPr>
      <w:r>
        <w:rPr>
          <w:rFonts w:cs="Arial" w:ascii="Century Gothic" w:hAnsi="Century Gothic"/>
        </w:rPr>
        <w:t>Par le présent accord, les heures supplémentaires donneront lieu à une majoration de 10%, de la 40</w:t>
      </w:r>
      <w:r>
        <w:rPr>
          <w:rFonts w:cs="Arial" w:ascii="Century Gothic" w:hAnsi="Century Gothic"/>
          <w:vertAlign w:val="superscript"/>
        </w:rPr>
        <w:t>ème</w:t>
      </w:r>
      <w:r>
        <w:rPr>
          <w:rFonts w:cs="Arial" w:ascii="Century Gothic" w:hAnsi="Century Gothic"/>
        </w:rPr>
        <w:t xml:space="preserve"> à la 48</w:t>
      </w:r>
      <w:r>
        <w:rPr>
          <w:rFonts w:cs="Arial" w:ascii="Century Gothic" w:hAnsi="Century Gothic"/>
          <w:vertAlign w:val="superscript"/>
        </w:rPr>
        <w:t xml:space="preserve">ème  </w:t>
      </w:r>
      <w:r>
        <w:rPr>
          <w:rFonts w:cs="Arial" w:ascii="Century Gothic" w:hAnsi="Century Gothic"/>
        </w:rPr>
        <w:t>heure.</w:t>
      </w:r>
    </w:p>
    <w:p>
      <w:pPr>
        <w:pStyle w:val="NormalWeb"/>
        <w:spacing w:lineRule="auto" w:line="276" w:before="0" w:after="0"/>
        <w:jc w:val="both"/>
        <w:textAlignment w:val="baseline"/>
        <w:rPr>
          <w:rFonts w:ascii="Century Gothic" w:hAnsi="Century Gothic" w:cs="Arial"/>
        </w:rPr>
      </w:pPr>
      <w:r>
        <w:rPr>
          <w:rFonts w:cs="Arial" w:ascii="Century Gothic" w:hAnsi="Century Gothic"/>
        </w:rPr>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t>Article 3 : Le repos hebdomadaire</w:t>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r>
    </w:p>
    <w:p>
      <w:pPr>
        <w:pStyle w:val="Corpsdetexte2"/>
        <w:jc w:val="both"/>
        <w:rPr/>
      </w:pPr>
      <w:r>
        <w:rPr>
          <w:rFonts w:cs="Arial" w:ascii="Century Gothic" w:hAnsi="Century Gothic"/>
          <w:i w:val="false"/>
          <w:sz w:val="24"/>
          <w:szCs w:val="24"/>
        </w:rPr>
        <w:t>Par le présent accord, il est décidé de revenir sur les dispositions conventionnelles applicables et de ne faire bénéficier les salariés que d’un jour de repos hebdomadaire.</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t>Article 4 : La durée hebdomadaire du temps de travail</w:t>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r>
    </w:p>
    <w:p>
      <w:pPr>
        <w:pStyle w:val="Corpsdetexte2"/>
        <w:jc w:val="both"/>
        <w:rPr>
          <w:rFonts w:ascii="Century Gothic" w:hAnsi="Century Gothic" w:cs="Arial"/>
          <w:b/>
          <w:b/>
          <w:i w:val="false"/>
          <w:i w:val="false"/>
          <w:sz w:val="24"/>
          <w:szCs w:val="24"/>
        </w:rPr>
      </w:pPr>
      <w:r>
        <w:rPr>
          <w:rFonts w:cs="Arial" w:ascii="Century Gothic" w:hAnsi="Century Gothic"/>
          <w:i w:val="false"/>
          <w:sz w:val="24"/>
          <w:szCs w:val="24"/>
        </w:rPr>
        <w:t>Par le présent accord il est décidé de porter la durée hebdomadaire du temps de travail à 45 heures dans la limite de 12 semaines consécutives</w:t>
      </w:r>
      <w:r>
        <w:rPr>
          <w:rFonts w:cs="Arial" w:ascii="Century Gothic" w:hAnsi="Century Gothic"/>
          <w:b/>
          <w:i w:val="false"/>
          <w:sz w:val="24"/>
          <w:szCs w:val="24"/>
        </w:rPr>
        <w:t>.</w:t>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r>
    </w:p>
    <w:p>
      <w:pPr>
        <w:pStyle w:val="Corpsdetexte2"/>
        <w:jc w:val="both"/>
        <w:rPr>
          <w:rFonts w:ascii="Century Gothic" w:hAnsi="Century Gothic" w:cs="Century Gothic"/>
          <w:sz w:val="24"/>
          <w:szCs w:val="24"/>
        </w:rPr>
      </w:pPr>
      <w:r>
        <w:rPr>
          <w:rFonts w:cs="Arial" w:ascii="Century Gothic" w:hAnsi="Century Gothic"/>
          <w:b/>
          <w:i w:val="false"/>
          <w:sz w:val="24"/>
          <w:szCs w:val="24"/>
        </w:rPr>
        <w:t>Article 5 : Durée et entrée en vigueur</w:t>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r>
    </w:p>
    <w:p>
      <w:pPr>
        <w:pStyle w:val="Corpsdetexte2"/>
        <w:jc w:val="both"/>
        <w:rPr/>
      </w:pPr>
      <w:r>
        <w:rPr>
          <w:rFonts w:cs="Arial" w:ascii="Century Gothic" w:hAnsi="Century Gothic"/>
          <w:i w:val="false"/>
          <w:sz w:val="24"/>
          <w:szCs w:val="24"/>
        </w:rPr>
        <w:t>Le présent accord entrera en vigueur suite à son dépôt à la DIRECCTE et au Conseil des Prud’hommes prévu à l’article 6, soit le 10 janvier 2019.</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Il est conclu pour une durée indéterminée. Il n’a pas d’effet rétroactif et ne peut pas être invoqué pour les périodes antérieures. Il s’applique en revanche aux contrats de travail en cours et à venir.</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t xml:space="preserve">Article 6 : Actions en justice - Dénonciation </w:t>
      </w:r>
    </w:p>
    <w:p>
      <w:pPr>
        <w:pStyle w:val="Normal"/>
        <w:spacing w:lineRule="auto" w:line="240" w:before="280" w:after="280"/>
        <w:jc w:val="both"/>
        <w:rPr/>
      </w:pPr>
      <w:r>
        <w:rPr>
          <w:rFonts w:eastAsia="Times New Roman" w:cs="Century Gothic" w:ascii="Century Gothic" w:hAnsi="Century Gothic"/>
          <w:sz w:val="24"/>
          <w:szCs w:val="24"/>
          <w:lang w:eastAsia="fr-FR"/>
        </w:rPr>
        <w:t xml:space="preserve">Toute action en nullité de tout ou partie d'une convention ou d'un accord collectif doit, à peine d'irrecevabilité, être engagée dans un délai de deux mois à compter de la publication de l'accord prévue à l'article L. 2231-5-1 du Code du Travail. </w:t>
      </w:r>
    </w:p>
    <w:p>
      <w:pPr>
        <w:pStyle w:val="Corpsdetexte2"/>
        <w:jc w:val="both"/>
        <w:rPr/>
      </w:pPr>
      <w:r>
        <w:rPr>
          <w:rFonts w:cs="Arial" w:ascii="Century Gothic" w:hAnsi="Century Gothic"/>
          <w:i w:val="false"/>
          <w:sz w:val="24"/>
          <w:szCs w:val="24"/>
        </w:rPr>
        <w:t>Le présent accord pourra être dénoncé par l’une ou l’autre des parties signataires. Cette dénonciation sera adressée par lettre recommandée avec accusé de réception à l’ensemble des parties de l’accord.</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Century Gothic"/>
          <w:sz w:val="24"/>
          <w:szCs w:val="24"/>
        </w:rPr>
      </w:pPr>
      <w:r>
        <w:rPr>
          <w:rFonts w:cs="Arial" w:ascii="Century Gothic" w:hAnsi="Century Gothic"/>
          <w:i w:val="false"/>
          <w:sz w:val="24"/>
          <w:szCs w:val="24"/>
        </w:rPr>
        <w:t>L’accord conclu peut être dénoncé à l’initiative de l’employeur dans les conditions prévues par l’accord ou à défaut de stipulation expresse par les articles L2261-9 à L2261-13.</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L’accord peut également être dénoncé à l’initiative des salariés dans les conditions prévues par l’accord ou à défaut de stipulation expresse par les articles L2261-9 à L2261-13, sous réserve des dispositions suivantes :</w:t>
      </w:r>
    </w:p>
    <w:p>
      <w:pPr>
        <w:pStyle w:val="Corpsdetexte2"/>
        <w:jc w:val="both"/>
        <w:rPr>
          <w:rFonts w:ascii="Century Gothic" w:hAnsi="Century Gothic" w:cs="Century Gothic"/>
          <w:i w:val="false"/>
          <w:i w:val="false"/>
          <w:sz w:val="24"/>
          <w:szCs w:val="24"/>
        </w:rPr>
      </w:pPr>
      <w:r>
        <w:rPr>
          <w:rFonts w:cs="Century Gothic"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Les salariés représentant les deux tiers du personnel doivent notifier collectivement et par écrit la dénonciation à l’employeur ;</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pPr>
      <w:r>
        <w:rPr>
          <w:rFonts w:cs="Arial" w:ascii="Century Gothic" w:hAnsi="Century Gothic"/>
          <w:i w:val="false"/>
          <w:sz w:val="24"/>
          <w:szCs w:val="24"/>
        </w:rPr>
        <w:t>La dénonciation à l’initiative des salariés ne peut avoir lieu que pendant un délai d’un mois avant chaque date d’anniversaire de la conclusion de l’accord.</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t>ARTICLE 6 : Dépôt et Publicité de l’accord</w:t>
      </w:r>
    </w:p>
    <w:p>
      <w:pPr>
        <w:pStyle w:val="Corpsdetexte2"/>
        <w:jc w:val="both"/>
        <w:rPr>
          <w:rFonts w:ascii="Century Gothic" w:hAnsi="Century Gothic" w:cs="Arial"/>
          <w:b/>
          <w:b/>
          <w:i w:val="false"/>
          <w:i w:val="false"/>
          <w:sz w:val="24"/>
          <w:szCs w:val="24"/>
        </w:rPr>
      </w:pPr>
      <w:r>
        <w:rPr>
          <w:rFonts w:cs="Arial" w:ascii="Century Gothic" w:hAnsi="Century Gothic"/>
          <w:b/>
          <w:i w:val="false"/>
          <w:sz w:val="24"/>
          <w:szCs w:val="24"/>
        </w:rPr>
      </w:r>
    </w:p>
    <w:p>
      <w:pPr>
        <w:pStyle w:val="Corpsdetexte2"/>
        <w:jc w:val="both"/>
        <w:rPr>
          <w:rFonts w:ascii="Century Gothic" w:hAnsi="Century Gothic" w:cs="Century Gothic"/>
          <w:sz w:val="24"/>
          <w:szCs w:val="24"/>
        </w:rPr>
      </w:pPr>
      <w:r>
        <w:rPr>
          <w:rFonts w:cs="Arial" w:ascii="Century Gothic" w:hAnsi="Century Gothic"/>
          <w:i w:val="false"/>
          <w:sz w:val="24"/>
          <w:szCs w:val="24"/>
        </w:rPr>
        <w:t>Le présent accord sera déposé par la Société</w:t>
      </w:r>
      <w:r>
        <w:rPr>
          <w:rFonts w:cs="Calibri" w:ascii="Century Gothic" w:hAnsi="Century Gothic"/>
          <w:i w:val="false"/>
          <w:sz w:val="24"/>
          <w:szCs w:val="24"/>
        </w:rPr>
        <w:t xml:space="preserve"> SARL HOTEL DU SOLEIL PRA LOUP</w:t>
      </w:r>
      <w:r>
        <w:rPr>
          <w:rFonts w:cs="Arial" w:ascii="Century Gothic" w:hAnsi="Century Gothic"/>
          <w:i w:val="false"/>
          <w:sz w:val="24"/>
          <w:szCs w:val="24"/>
        </w:rPr>
        <w:t xml:space="preserve"> en deux exemplaires, auprès de l’unité territoriale de la DIRECCTE de Digne-Les-Bains, sur support papier et sur un support électronique.</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Le dépôt sera accompagné des pièces suivantes :</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pPr>
      <w:r>
        <w:rPr>
          <w:rFonts w:cs="Arial" w:ascii="Century Gothic" w:hAnsi="Century Gothic"/>
          <w:i w:val="false"/>
          <w:sz w:val="24"/>
          <w:szCs w:val="24"/>
        </w:rPr>
        <w:t xml:space="preserve">Une copie du procès-verbal rendant compte de l’approbation du texte par les salariés par référendum </w:t>
      </w:r>
    </w:p>
    <w:p>
      <w:pPr>
        <w:pStyle w:val="Corpsdetexte2"/>
        <w:jc w:val="both"/>
        <w:rPr>
          <w:rFonts w:ascii="Century Gothic" w:hAnsi="Century Gothic" w:cs="Century Gothic"/>
          <w:sz w:val="24"/>
          <w:szCs w:val="24"/>
        </w:rPr>
      </w:pPr>
      <w:r>
        <w:rPr>
          <w:rFonts w:cs="Arial" w:ascii="Century Gothic" w:hAnsi="Century Gothic"/>
          <w:i w:val="false"/>
          <w:sz w:val="24"/>
          <w:szCs w:val="24"/>
        </w:rPr>
        <w:t>Du bordereau de dépôt.</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t>Un exemplaire sera adressé au greffe du Conseil des Prud’hommes de Digne-Les-Bains</w:t>
      </w:r>
    </w:p>
    <w:p>
      <w:pPr>
        <w:pStyle w:val="Corpsdetexte2"/>
        <w:jc w:val="both"/>
        <w:rPr>
          <w:rFonts w:ascii="Century Gothic" w:hAnsi="Century Gothic" w:cs="Arial"/>
          <w:i w:val="false"/>
          <w:i w:val="false"/>
          <w:sz w:val="24"/>
          <w:szCs w:val="24"/>
        </w:rPr>
      </w:pPr>
      <w:r>
        <w:rPr>
          <w:rFonts w:cs="Arial" w:ascii="Century Gothic" w:hAnsi="Century Gothic"/>
          <w:i w:val="false"/>
          <w:sz w:val="24"/>
          <w:szCs w:val="24"/>
        </w:rPr>
      </w:r>
    </w:p>
    <w:p>
      <w:pPr>
        <w:pStyle w:val="Corpsdetexte2"/>
        <w:jc w:val="both"/>
        <w:rPr>
          <w:rFonts w:ascii="Century Gothic" w:hAnsi="Century Gothic" w:cs="Century Gothic"/>
          <w:sz w:val="24"/>
          <w:szCs w:val="24"/>
        </w:rPr>
      </w:pPr>
      <w:r>
        <w:rPr>
          <w:rFonts w:cs="Arial" w:ascii="Century Gothic" w:hAnsi="Century Gothic"/>
          <w:i w:val="false"/>
          <w:sz w:val="24"/>
          <w:szCs w:val="24"/>
        </w:rPr>
        <w:t>Mention de cet accord figurera sur le tableau d’affichage de la direction, dans les contrats de travail futurs et une copie sera affichée dans la salle de réfectoire.</w:t>
      </w:r>
    </w:p>
    <w:p>
      <w:pPr>
        <w:pStyle w:val="Corpsdetexte2"/>
        <w:rPr>
          <w:rFonts w:ascii="Century Gothic" w:hAnsi="Century Gothic" w:cs="Arial"/>
          <w:i w:val="false"/>
          <w:i w:val="false"/>
          <w:sz w:val="24"/>
          <w:szCs w:val="24"/>
        </w:rPr>
      </w:pPr>
      <w:r>
        <w:rPr>
          <w:rFonts w:cs="Arial" w:ascii="Century Gothic" w:hAnsi="Century Gothic"/>
          <w:i w:val="false"/>
          <w:sz w:val="24"/>
          <w:szCs w:val="24"/>
        </w:rPr>
      </w:r>
    </w:p>
    <w:p>
      <w:pPr>
        <w:pStyle w:val="Normal"/>
        <w:spacing w:before="0" w:after="200"/>
        <w:rPr>
          <w:rFonts w:ascii="Century Gothic" w:hAnsi="Century Gothic" w:cs="Century Gothic"/>
          <w:i/>
          <w:i/>
          <w:sz w:val="24"/>
          <w:szCs w:val="24"/>
        </w:rPr>
      </w:pPr>
      <w:r>
        <w:rPr>
          <w:rFonts w:cs="Century Gothic" w:ascii="Century Gothic" w:hAnsi="Century Gothic"/>
          <w:i/>
          <w:sz w:val="24"/>
          <w:szCs w:val="24"/>
        </w:rPr>
      </w:r>
    </w:p>
    <w:sectPr>
      <w:footerReference w:type="default" r:id="rId2"/>
      <w:type w:val="nextPage"/>
      <w:pgSz w:w="11906" w:h="16838"/>
      <w:pgMar w:left="720" w:right="720" w:header="0" w:top="568" w:footer="377" w:bottom="1560" w:gutter="0"/>
      <w:pgBorders w:display="allPages" w:offsetFrom="text">
        <w:top w:val="single" w:sz="4" w:space="4" w:color="000000"/>
        <w:left w:val="single" w:sz="4" w:space="12" w:color="000000"/>
        <w:bottom w:val="single" w:sz="4" w:space="0" w:color="000000"/>
        <w:right w:val="single" w:sz="4" w:space="12" w:color="000000"/>
      </w:pgBorders>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Garamond">
    <w:charset w:val="00"/>
    <w:family w:val="roman"/>
    <w:pitch w:val="variable"/>
  </w:font>
  <w:font w:name="Coronet">
    <w:altName w:val="Arabic Typesetting"/>
    <w:charset w:val="00"/>
    <w:family w:val="roman"/>
    <w:pitch w:val="default"/>
  </w:font>
  <w:font w:name="Segoe U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0" w:after="0"/>
      <w:jc w:val="right"/>
      <w:rPr/>
    </w:pPr>
    <w:r>
      <w:rPr/>
      <w:fldChar w:fldCharType="begin"/>
    </w:r>
    <w:r>
      <w:instrText> PAGE </w:instrText>
    </w:r>
    <w:r>
      <w:fldChar w:fldCharType="separate"/>
    </w:r>
    <w:r>
      <w:t>3</w:t>
    </w:r>
    <w:r>
      <w:fldChar w:fldCharType="end"/>
    </w:r>
  </w:p>
  <w:p>
    <w:pPr>
      <w:pStyle w:val="Footer"/>
      <w:rPr/>
    </w:pPr>
    <w:r>
      <w:rPr/>
    </w:r>
  </w:p>
</w:ftr>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Policepardfaut">
    <w:name w:val="Police par défaut"/>
    <w:qFormat/>
    <w:rPr/>
  </w:style>
  <w:style w:type="character" w:styleId="PieddepageCar">
    <w:name w:val="Pied de page Car"/>
    <w:qFormat/>
    <w:rPr>
      <w:rFonts w:ascii="Garamond" w:hAnsi="Garamond" w:eastAsia="Times New Roman" w:cs="Garamond"/>
      <w:spacing w:val="-5"/>
      <w:sz w:val="24"/>
      <w:lang w:eastAsia="zh-CN"/>
    </w:rPr>
  </w:style>
  <w:style w:type="character" w:styleId="Corpsdetexte2Car">
    <w:name w:val="Corps de texte 2 Car"/>
    <w:qFormat/>
    <w:rPr>
      <w:rFonts w:ascii="Coronet;Arabic Typesetting;Cambria" w:hAnsi="Coronet;Arabic Typesetting;Cambria" w:eastAsia="Times New Roman" w:cs="Coronet;Arabic Typesetting;Cambria"/>
      <w:i/>
      <w:sz w:val="52"/>
      <w:lang w:eastAsia="zh-CN"/>
    </w:rPr>
  </w:style>
  <w:style w:type="character" w:styleId="InternetLink">
    <w:name w:val="Internet Link"/>
    <w:rPr>
      <w:color w:val="0000FF"/>
      <w:u w:val="single"/>
    </w:rPr>
  </w:style>
  <w:style w:type="character" w:styleId="EntteCar">
    <w:name w:val="En-tête Car"/>
    <w:qFormat/>
    <w:rPr>
      <w:sz w:val="22"/>
      <w:szCs w:val="22"/>
    </w:rPr>
  </w:style>
  <w:style w:type="character" w:styleId="TextedebullesCar">
    <w:name w:val="Texte de bulles Car"/>
    <w:qFormat/>
    <w:rPr>
      <w:rFonts w:ascii="Segoe UI" w:hAnsi="Segoe UI" w:cs="Segoe UI"/>
      <w:sz w:val="18"/>
      <w:szCs w:val="18"/>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er">
    <w:name w:val="Footer"/>
    <w:basedOn w:val="Normal"/>
    <w:pPr>
      <w:keepLines/>
      <w:pBdr>
        <w:top w:val="single" w:sz="6" w:space="30" w:color="000000"/>
      </w:pBdr>
      <w:tabs>
        <w:tab w:val="center" w:pos="0" w:leader="none"/>
        <w:tab w:val="right" w:pos="4320" w:leader="none"/>
      </w:tabs>
      <w:spacing w:lineRule="atLeast" w:line="240" w:before="600" w:after="0"/>
    </w:pPr>
    <w:rPr>
      <w:rFonts w:ascii="Garamond" w:hAnsi="Garamond" w:eastAsia="Times New Roman" w:cs="Garamond"/>
      <w:spacing w:val="-5"/>
      <w:sz w:val="24"/>
      <w:szCs w:val="20"/>
      <w:lang w:eastAsia="zh-CN"/>
    </w:rPr>
  </w:style>
  <w:style w:type="paragraph" w:styleId="Corpsdetexte2">
    <w:name w:val="Corps de texte 2"/>
    <w:basedOn w:val="Normal"/>
    <w:qFormat/>
    <w:pPr>
      <w:spacing w:lineRule="auto" w:line="240" w:before="0" w:after="0"/>
    </w:pPr>
    <w:rPr>
      <w:rFonts w:ascii="Coronet;Arabic Typesetting;Cambria" w:hAnsi="Coronet;Arabic Typesetting;Cambria" w:eastAsia="Times New Roman" w:cs="Coronet;Arabic Typesetting;Cambria"/>
      <w:i/>
      <w:sz w:val="52"/>
      <w:szCs w:val="20"/>
      <w:lang w:eastAsia="zh-CN"/>
    </w:rPr>
  </w:style>
  <w:style w:type="paragraph" w:styleId="NormalWeb">
    <w:name w:val="Normal (Web)"/>
    <w:basedOn w:val="Normal"/>
    <w:qFormat/>
    <w:pPr>
      <w:spacing w:lineRule="auto" w:line="240" w:before="100" w:after="100"/>
    </w:pPr>
    <w:rPr>
      <w:rFonts w:ascii="Times New Roman" w:hAnsi="Times New Roman" w:eastAsia="Times New Roman" w:cs="Times New Roman"/>
      <w:sz w:val="24"/>
      <w:szCs w:val="24"/>
      <w:lang w:eastAsia="zh-CN"/>
    </w:rPr>
  </w:style>
  <w:style w:type="paragraph" w:styleId="Header">
    <w:name w:val="Header"/>
    <w:basedOn w:val="Normal"/>
    <w:pPr>
      <w:tabs>
        <w:tab w:val="center" w:pos="4536" w:leader="none"/>
        <w:tab w:val="right" w:pos="9072" w:leader="none"/>
      </w:tabs>
    </w:pPr>
    <w:rPr/>
  </w:style>
  <w:style w:type="paragraph" w:styleId="Textedebulles">
    <w:name w:val="Texte de bulles"/>
    <w:basedOn w:val="Normal"/>
    <w:qFormat/>
    <w:pPr>
      <w:spacing w:lineRule="auto" w:line="240" w:before="0" w:after="0"/>
    </w:pPr>
    <w:rPr>
      <w:rFonts w:ascii="Segoe UI" w:hAnsi="Segoe UI" w:cs="Segoe UI"/>
      <w:sz w:val="18"/>
      <w:szCs w:val="18"/>
    </w:rPr>
  </w:style>
  <w:style w:type="numbering" w:styleId="WW8Num1">
    <w:name w:val="WW8Num1"/>
  </w:style>
  <w:style w:type="numbering" w:styleId="WW8Num2">
    <w:name w:val="WW8Num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769C1839</Template>
  <TotalTime>33</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2018-11-02T16:51:00Z</dcterms:created>
  <dc:language>en-GB</dc:language>
  <cp:lastPrinted>2019-01-03T12:22:00Z</cp:lastPrinted>
  <dcterms:modified xsi:type="dcterms:W3CDTF">2019-01-03T13:06:00Z</dcterms:modified>
  <cp:revision>8</cp:revision>
</cp:coreProperties>
</file>