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package.relationships+xml" PartName="/customXml/_rels/item1.xml.rels"/>
  <Override ContentType="application/vnd.openxmlformats-package.relationships+xml" PartName="/customXml/_rels/item2.xml.rels"/>
  <Override ContentType="application/vnd.openxmlformats-package.relationships+xml" PartName="/customXml/_rels/item3.xml.rels"/>
  <Override ContentType="application/vnd.openxmlformats-package.relationships+xml" PartName="/customXml/_rels/item4.xml.rels"/>
  <Override ContentType="application/xml" PartName="/customXml/item1.xml"/>
  <Override ContentType="application/xml" PartName="/customXml/item2.xml"/>
  <Override ContentType="application/xml" PartName="/customXml/item3.xml"/>
  <Override ContentType="application/xml" PartName="/customXml/item4.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body>
    <w:p>
      <w:pPr>
        <w:pStyle w:val="BodyText"/>
        <w:numPr>
          <w:ilvl w:val="0"/>
          <w:numId w:val="0"/>
        </w:numPr>
        <w:pBdr>
          <w:top w:color="000000" w:space="1" w:sz="12" w:val="single"/>
          <w:left w:color="000000" w:space="4" w:sz="12" w:val="single"/>
          <w:bottom w:color="000000" w:space="1" w:sz="12" w:val="single"/>
          <w:right w:color="000000" w:space="4" w:sz="12" w:val="single"/>
        </w:pBdr>
        <w:spacing w:after="0" w:before="120" w:line="240" w:lineRule="auto"/>
        <w:outlineLvl w:val="0"/>
        <w:rPr>
          <w:rFonts w:ascii="Arial" w:cs="Arial" w:hAnsi="Arial"/>
          <w:b/>
          <w:sz w:val="32"/>
          <w:szCs w:val="32"/>
          <w:lang w:val="fr-FR"/>
        </w:rPr>
      </w:pPr>
      <w:r>
        <w:rPr>
          <w:rFonts w:ascii="Arial" w:cs="Arial" w:hAnsi="Arial"/>
          <w:b/>
          <w:sz w:val="32"/>
          <w:szCs w:val="32"/>
          <w:lang w:val="fr-FR"/>
        </w:rPr>
      </w:r>
    </w:p>
    <w:p>
      <w:pPr>
        <w:pStyle w:val="BodyText"/>
        <w:numPr>
          <w:ilvl w:val="0"/>
          <w:numId w:val="0"/>
        </w:numPr>
        <w:pBdr>
          <w:top w:color="000000" w:space="1" w:sz="12" w:val="single"/>
          <w:left w:color="000000" w:space="4" w:sz="12" w:val="single"/>
          <w:bottom w:color="000000" w:space="1" w:sz="12" w:val="single"/>
          <w:right w:color="000000" w:space="4" w:sz="12" w:val="single"/>
        </w:pBdr>
        <w:spacing w:after="0" w:before="120" w:line="240" w:lineRule="auto"/>
        <w:jc w:val="center"/>
        <w:outlineLvl w:val="0"/>
        <w:rPr>
          <w:rFonts w:ascii="Arial" w:cs="Arial" w:hAnsi="Arial"/>
          <w:bCs/>
          <w:color w:themeColor="text2" w:themeTint="99" w:val="548DD4"/>
          <w:sz w:val="32"/>
          <w:szCs w:val="32"/>
          <w:lang w:val="fr-FR"/>
        </w:rPr>
      </w:pPr>
      <w:bookmarkStart w:id="0" w:name="_Toc212201498"/>
      <w:bookmarkStart w:id="1" w:name="_Toc212025663"/>
      <w:r>
        <w:rPr>
          <w:rFonts w:ascii="Arial" w:cs="Arial" w:hAnsi="Arial"/>
          <w:bCs/>
          <w:color w:themeColor="text2" w:themeTint="99" w:val="548DD4"/>
          <w:sz w:val="32"/>
          <w:szCs w:val="32"/>
          <w:lang w:val="fr-FR"/>
        </w:rPr>
        <w:t>ACCORD COLLECTIF D’ENTREPRISE SUR LE CONTINGENT ANNUEL D’HEURES SUPPLEMENTAIRES</w:t>
      </w:r>
      <w:bookmarkEnd w:id="0"/>
      <w:bookmarkEnd w:id="1"/>
    </w:p>
    <w:p>
      <w:pPr>
        <w:pStyle w:val="BodyText"/>
        <w:numPr>
          <w:ilvl w:val="0"/>
          <w:numId w:val="0"/>
        </w:numPr>
        <w:pBdr>
          <w:top w:color="000000" w:space="1" w:sz="12" w:val="single"/>
          <w:left w:color="000000" w:space="4" w:sz="12" w:val="single"/>
          <w:bottom w:color="000000" w:space="1" w:sz="12" w:val="single"/>
          <w:right w:color="000000" w:space="4" w:sz="12" w:val="single"/>
        </w:pBdr>
        <w:spacing w:after="0" w:before="120" w:line="240" w:lineRule="auto"/>
        <w:jc w:val="center"/>
        <w:outlineLvl w:val="0"/>
        <w:rPr>
          <w:rFonts w:ascii="Arial" w:cs="Arial" w:hAnsi="Arial"/>
          <w:b/>
          <w:sz w:val="32"/>
          <w:szCs w:val="32"/>
          <w:lang w:val="fr-FR"/>
        </w:rPr>
      </w:pPr>
      <w:r>
        <w:rPr>
          <w:rFonts w:ascii="Arial" w:cs="Arial" w:hAnsi="Arial"/>
          <w:b/>
          <w:sz w:val="32"/>
          <w:szCs w:val="32"/>
          <w:lang w:val="fr-FR"/>
        </w:rPr>
      </w:r>
    </w:p>
    <w:p>
      <w:pPr>
        <w:pStyle w:val="BodyText"/>
        <w:spacing w:after="0" w:before="120" w:line="240" w:lineRule="auto"/>
        <w:jc w:val="center"/>
        <w:rPr>
          <w:rFonts w:ascii="Arial" w:cs="Arial" w:hAnsi="Arial"/>
          <w:b/>
          <w:szCs w:val="22"/>
          <w:u w:val="single"/>
          <w:lang w:val="fr-FR"/>
        </w:rPr>
      </w:pPr>
      <w:r>
        <w:rPr>
          <w:rFonts w:ascii="Arial" w:cs="Arial" w:hAnsi="Arial"/>
          <w:b/>
          <w:szCs w:val="22"/>
          <w:u w:val="single"/>
          <w:lang w:val="fr-FR"/>
        </w:rPr>
      </w:r>
    </w:p>
    <w:p>
      <w:pPr>
        <w:pStyle w:val="BodyText"/>
        <w:spacing w:after="0" w:before="120" w:line="240" w:lineRule="auto"/>
        <w:jc w:val="both"/>
        <w:rPr>
          <w:rFonts w:ascii="Arial" w:cs="Arial" w:hAnsi="Arial"/>
          <w:szCs w:val="22"/>
          <w:lang w:val="fr-FR"/>
        </w:rPr>
      </w:pPr>
      <w:r>
        <w:rPr>
          <w:rFonts w:ascii="Arial" w:cs="Arial" w:hAnsi="Arial"/>
          <w:szCs w:val="22"/>
          <w:lang w:val="fr-FR"/>
        </w:rPr>
      </w:r>
    </w:p>
    <w:p>
      <w:pPr>
        <w:pStyle w:val="BodyText"/>
        <w:spacing w:after="0" w:before="120" w:line="240" w:lineRule="auto"/>
        <w:jc w:val="both"/>
        <w:rPr>
          <w:rFonts w:ascii="Arial" w:cs="Arial" w:hAnsi="Arial"/>
          <w:szCs w:val="22"/>
          <w:lang w:val="fr-FR"/>
        </w:rPr>
      </w:pPr>
      <w:r>
        <w:rPr>
          <w:rFonts w:ascii="Arial" w:cs="Arial" w:hAnsi="Arial"/>
          <w:szCs w:val="22"/>
          <w:lang w:val="fr-FR"/>
        </w:rPr>
      </w:r>
    </w:p>
    <w:p>
      <w:pPr>
        <w:pStyle w:val="BodyText"/>
        <w:spacing w:after="0" w:before="120" w:line="240" w:lineRule="auto"/>
        <w:jc w:val="both"/>
        <w:rPr>
          <w:rFonts w:ascii="Arial" w:cs="Arial" w:hAnsi="Arial"/>
          <w:szCs w:val="22"/>
          <w:lang w:val="fr-FR"/>
        </w:rPr>
      </w:pPr>
      <w:r>
        <w:rPr>
          <w:rFonts w:ascii="Arial" w:cs="Arial" w:hAnsi="Arial"/>
          <w:szCs w:val="22"/>
          <w:lang w:val="fr-FR"/>
        </w:rPr>
      </w:r>
    </w:p>
    <w:p>
      <w:pPr>
        <w:pStyle w:val="BodyText"/>
        <w:spacing w:after="0" w:before="120" w:line="240" w:lineRule="auto"/>
        <w:jc w:val="both"/>
        <w:rPr>
          <w:rFonts w:ascii="Arial" w:cs="Arial" w:hAnsi="Arial"/>
          <w:b/>
          <w:szCs w:val="22"/>
          <w:u w:val="single"/>
          <w:lang w:val="fr-FR"/>
        </w:rPr>
      </w:pPr>
      <w:r>
        <w:rPr>
          <w:rFonts w:ascii="Arial" w:cs="Arial" w:hAnsi="Arial"/>
          <w:b/>
          <w:szCs w:val="22"/>
          <w:u w:val="single"/>
          <w:lang w:val="fr-FR"/>
        </w:rPr>
        <w:t xml:space="preserve">ENTRE LES SOUSSIGNES : </w:t>
      </w:r>
    </w:p>
    <w:p>
      <w:pPr>
        <w:pStyle w:val="BodyText"/>
        <w:spacing w:after="0" w:before="120" w:line="240" w:lineRule="auto"/>
        <w:jc w:val="both"/>
        <w:rPr>
          <w:rFonts w:ascii="Arial" w:cs="Arial" w:hAnsi="Arial"/>
          <w:szCs w:val="22"/>
          <w:lang w:val="fr-FR"/>
        </w:rPr>
      </w:pPr>
      <w:r>
        <w:rPr>
          <w:rFonts w:ascii="Arial" w:cs="Arial" w:hAnsi="Arial"/>
          <w:szCs w:val="22"/>
          <w:lang w:val="fr-FR"/>
        </w:rPr>
      </w:r>
    </w:p>
    <w:p>
      <w:pPr>
        <w:pStyle w:val="BodyText"/>
        <w:spacing w:after="0" w:before="120" w:line="240" w:lineRule="auto"/>
        <w:jc w:val="both"/>
        <w:rPr>
          <w:rFonts w:ascii="Arial" w:cs="Arial" w:hAnsi="Arial"/>
          <w:b/>
          <w:bCs/>
        </w:rPr>
      </w:pPr>
      <w:r>
        <w:rPr>
          <w:rFonts w:ascii="Arial" w:cs="Arial" w:hAnsi="Arial"/>
          <w:b/>
          <w:bCs/>
        </w:rPr>
        <w:t>LA SARL</w:t>
      </w:r>
      <w:r>
        <w:rPr/>
        <w:t xml:space="preserve"> </w:t>
      </w:r>
      <w:r>
        <w:rPr>
          <w:rFonts w:ascii="Arial" w:cs="Arial" w:hAnsi="Arial"/>
          <w:b/>
          <w:bCs/>
        </w:rPr>
        <w:t>CORNU TERRASSEMENT TRANSPORT LOCATION</w:t>
      </w:r>
    </w:p>
    <w:p>
      <w:pPr>
        <w:pStyle w:val="BodyText"/>
        <w:spacing w:after="0" w:before="120" w:line="240" w:lineRule="auto"/>
        <w:jc w:val="both"/>
        <w:rPr>
          <w:rFonts w:ascii="Arial" w:cs="Arial" w:hAnsi="Arial"/>
          <w:szCs w:val="22"/>
          <w:lang w:val="fr-FR"/>
        </w:rPr>
      </w:pPr>
      <w:r>
        <w:rPr>
          <w:rFonts w:ascii="Arial" w:cs="Arial" w:hAnsi="Arial"/>
          <w:szCs w:val="22"/>
          <w:lang w:val="fr-FR"/>
        </w:rPr>
        <w:t>Dont le siège social est situé : 90 chemin de Pansard, 07300 Saint-Barthélémy-le-Plain.</w:t>
      </w:r>
    </w:p>
    <w:p>
      <w:pPr>
        <w:pStyle w:val="BodyText"/>
        <w:spacing w:after="0" w:before="120" w:line="240" w:lineRule="auto"/>
        <w:jc w:val="both"/>
        <w:rPr>
          <w:rFonts w:ascii="Arial" w:cs="Arial" w:hAnsi="Arial"/>
          <w:szCs w:val="22"/>
          <w:lang w:val="fr-FR"/>
        </w:rPr>
      </w:pPr>
      <w:r>
        <w:rPr>
          <w:rFonts w:ascii="Arial" w:cs="Arial" w:hAnsi="Arial"/>
          <w:szCs w:val="22"/>
          <w:lang w:val="fr-FR"/>
        </w:rPr>
        <w:t>Représentée par Monsieur                          , agissant en qualité de Gérant.</w:t>
      </w:r>
    </w:p>
    <w:p>
      <w:pPr>
        <w:pStyle w:val="BodyText"/>
        <w:spacing w:after="0" w:before="120" w:line="240" w:lineRule="auto"/>
        <w:jc w:val="both"/>
        <w:rPr>
          <w:rFonts w:ascii="Arial" w:cs="Arial" w:hAnsi="Arial"/>
          <w:szCs w:val="22"/>
          <w:lang w:val="fr-FR"/>
        </w:rPr>
      </w:pPr>
      <w:r>
        <w:rPr>
          <w:rFonts w:ascii="Arial" w:cs="Arial" w:hAnsi="Arial"/>
          <w:szCs w:val="22"/>
          <w:lang w:val="fr-FR"/>
        </w:rPr>
        <w:t>N° de SIRET :</w:t>
      </w:r>
      <w:r>
        <w:rPr/>
        <w:t xml:space="preserve"> </w:t>
      </w:r>
      <w:r>
        <w:rPr>
          <w:rFonts w:ascii="Arial" w:cs="Arial" w:hAnsi="Arial"/>
          <w:szCs w:val="22"/>
          <w:lang w:val="fr-FR"/>
        </w:rPr>
        <w:t>480 364 579 00015</w:t>
      </w:r>
    </w:p>
    <w:p>
      <w:pPr>
        <w:pStyle w:val="BodyText"/>
        <w:spacing w:after="0" w:before="120" w:line="240" w:lineRule="auto"/>
        <w:jc w:val="both"/>
        <w:rPr>
          <w:rFonts w:ascii="Arial" w:cs="Arial" w:hAnsi="Arial"/>
          <w:b/>
          <w:szCs w:val="22"/>
          <w:lang w:val="fr-FR"/>
        </w:rPr>
      </w:pPr>
      <w:r>
        <w:rPr>
          <w:rFonts w:ascii="Arial" w:cs="Arial" w:hAnsi="Arial"/>
          <w:b/>
          <w:szCs w:val="22"/>
          <w:lang w:val="fr-FR"/>
        </w:rPr>
      </w:r>
    </w:p>
    <w:p>
      <w:pPr>
        <w:pStyle w:val="BodyText"/>
        <w:spacing w:after="0" w:before="120" w:line="240" w:lineRule="auto"/>
        <w:jc w:val="both"/>
        <w:rPr>
          <w:rFonts w:ascii="Arial" w:cs="Arial" w:hAnsi="Arial"/>
          <w:szCs w:val="22"/>
          <w:lang w:val="fr-FR"/>
        </w:rPr>
      </w:pPr>
      <w:r>
        <w:rPr>
          <w:rFonts w:ascii="Arial" w:cs="Arial" w:hAnsi="Arial"/>
          <w:szCs w:val="22"/>
          <w:lang w:val="fr-FR"/>
        </w:rPr>
        <w:t>D’une part,</w:t>
      </w:r>
    </w:p>
    <w:p>
      <w:pPr>
        <w:pStyle w:val="BodyText"/>
        <w:spacing w:after="0" w:before="120" w:line="240" w:lineRule="auto"/>
        <w:jc w:val="both"/>
        <w:rPr>
          <w:rFonts w:ascii="Arial" w:cs="Arial" w:hAnsi="Arial"/>
          <w:szCs w:val="22"/>
          <w:lang w:val="fr-FR"/>
        </w:rPr>
      </w:pPr>
      <w:r>
        <w:rPr>
          <w:rFonts w:ascii="Arial" w:cs="Arial" w:hAnsi="Arial"/>
          <w:szCs w:val="22"/>
          <w:lang w:val="fr-FR"/>
        </w:rPr>
      </w:r>
    </w:p>
    <w:p>
      <w:pPr>
        <w:pStyle w:val="BodyText"/>
        <w:spacing w:after="0" w:before="120" w:line="240" w:lineRule="auto"/>
        <w:jc w:val="both"/>
        <w:rPr>
          <w:rFonts w:ascii="Arial" w:cs="Arial" w:hAnsi="Arial"/>
          <w:b/>
          <w:szCs w:val="22"/>
          <w:lang w:val="fr-FR"/>
        </w:rPr>
      </w:pPr>
      <w:r>
        <w:rPr>
          <w:rFonts w:ascii="Arial" w:cs="Arial" w:hAnsi="Arial"/>
          <w:b/>
          <w:szCs w:val="22"/>
          <w:lang w:val="fr-FR"/>
        </w:rPr>
      </w:r>
    </w:p>
    <w:p>
      <w:pPr>
        <w:pStyle w:val="BodyText"/>
        <w:spacing w:after="0" w:before="120" w:line="240" w:lineRule="auto"/>
        <w:jc w:val="both"/>
        <w:rPr>
          <w:rFonts w:ascii="Arial" w:cs="Arial" w:hAnsi="Arial"/>
          <w:b/>
          <w:bCs/>
          <w:szCs w:val="22"/>
          <w:u w:val="single"/>
          <w:lang w:val="fr-FR"/>
        </w:rPr>
      </w:pPr>
      <w:r>
        <w:rPr>
          <w:rFonts w:ascii="Arial" w:cs="Arial" w:hAnsi="Arial"/>
          <w:b/>
          <w:bCs/>
          <w:szCs w:val="22"/>
          <w:u w:val="single"/>
          <w:lang w:val="fr-FR"/>
        </w:rPr>
        <w:t>ET :</w:t>
      </w:r>
    </w:p>
    <w:p>
      <w:pPr>
        <w:pStyle w:val="BodyText"/>
        <w:spacing w:after="0" w:before="120" w:line="240" w:lineRule="auto"/>
        <w:jc w:val="both"/>
        <w:rPr>
          <w:rFonts w:ascii="Arial" w:cs="Arial" w:hAnsi="Arial"/>
          <w:szCs w:val="22"/>
          <w:lang w:val="fr-FR"/>
        </w:rPr>
      </w:pPr>
      <w:r>
        <w:rPr>
          <w:rFonts w:ascii="Arial" w:cs="Arial" w:hAnsi="Arial"/>
          <w:szCs w:val="22"/>
          <w:lang w:val="fr-FR"/>
        </w:rPr>
      </w:r>
    </w:p>
    <w:p>
      <w:pPr>
        <w:pStyle w:val="BodyText"/>
        <w:spacing w:after="0" w:before="120" w:line="240" w:lineRule="auto"/>
        <w:jc w:val="both"/>
        <w:rPr>
          <w:rFonts w:ascii="Arial" w:cs="Arial" w:hAnsi="Arial"/>
          <w:b/>
          <w:bCs/>
          <w:szCs w:val="22"/>
          <w:lang w:val="fr-FR"/>
        </w:rPr>
      </w:pPr>
      <w:r>
        <w:rPr>
          <w:rFonts w:ascii="Arial" w:cs="Arial" w:hAnsi="Arial"/>
          <w:b/>
          <w:bCs/>
          <w:szCs w:val="22"/>
          <w:lang w:val="fr-FR"/>
        </w:rPr>
        <w:t>Les salariés de la présente société, consultés sur le projet d’accord.</w:t>
      </w:r>
    </w:p>
    <w:p>
      <w:pPr>
        <w:pStyle w:val="BodyText"/>
        <w:spacing w:after="0" w:before="120" w:line="240" w:lineRule="auto"/>
        <w:jc w:val="both"/>
        <w:rPr>
          <w:rFonts w:ascii="Arial" w:cs="Arial" w:hAnsi="Arial"/>
          <w:szCs w:val="22"/>
          <w:lang w:val="fr-FR"/>
        </w:rPr>
      </w:pPr>
      <w:r>
        <w:rPr>
          <w:rFonts w:ascii="Arial" w:cs="Arial" w:hAnsi="Arial"/>
          <w:szCs w:val="22"/>
          <w:lang w:val="fr-FR"/>
        </w:rPr>
      </w:r>
    </w:p>
    <w:p>
      <w:pPr>
        <w:pStyle w:val="BodyText"/>
        <w:spacing w:after="0" w:before="120" w:line="240" w:lineRule="auto"/>
        <w:jc w:val="both"/>
        <w:rPr>
          <w:rFonts w:ascii="Arial" w:cs="Arial" w:hAnsi="Arial"/>
          <w:szCs w:val="22"/>
          <w:lang w:val="fr-FR"/>
        </w:rPr>
      </w:pPr>
      <w:r>
        <w:rPr>
          <w:rFonts w:ascii="Arial" w:cs="Arial" w:hAnsi="Arial"/>
          <w:szCs w:val="22"/>
          <w:lang w:val="fr-FR"/>
        </w:rPr>
        <w:t>D’autre part,</w:t>
      </w:r>
    </w:p>
    <w:p>
      <w:pPr>
        <w:pStyle w:val="BodyText"/>
        <w:spacing w:after="0" w:before="120" w:line="240" w:lineRule="auto"/>
        <w:jc w:val="both"/>
        <w:rPr>
          <w:rFonts w:ascii="Arial" w:cs="Arial" w:hAnsi="Arial"/>
          <w:b/>
          <w:szCs w:val="22"/>
          <w:u w:val="single"/>
          <w:lang w:val="fr-FR"/>
        </w:rPr>
      </w:pPr>
      <w:r>
        <w:rPr>
          <w:rFonts w:ascii="Arial" w:cs="Arial" w:hAnsi="Arial"/>
          <w:b/>
          <w:szCs w:val="22"/>
          <w:u w:val="single"/>
          <w:lang w:val="fr-FR"/>
        </w:rPr>
      </w:r>
    </w:p>
    <w:p>
      <w:pPr>
        <w:pStyle w:val="BodyText"/>
        <w:spacing w:after="0" w:before="120" w:line="240" w:lineRule="auto"/>
        <w:jc w:val="both"/>
        <w:rPr>
          <w:rFonts w:ascii="Arial" w:cs="Arial" w:hAnsi="Arial"/>
          <w:b/>
          <w:szCs w:val="22"/>
          <w:u w:val="single"/>
          <w:lang w:val="fr-FR"/>
        </w:rPr>
      </w:pPr>
      <w:r>
        <w:rPr>
          <w:rFonts w:ascii="Arial" w:cs="Arial" w:hAnsi="Arial"/>
          <w:b/>
          <w:szCs w:val="22"/>
          <w:u w:val="single"/>
          <w:lang w:val="fr-FR"/>
        </w:rPr>
      </w:r>
    </w:p>
    <w:p>
      <w:pPr>
        <w:pStyle w:val="BodyText"/>
        <w:spacing w:after="0" w:before="120" w:line="240" w:lineRule="auto"/>
        <w:jc w:val="both"/>
        <w:rPr>
          <w:rFonts w:ascii="Arial" w:cs="Arial" w:hAnsi="Arial"/>
          <w:b/>
          <w:szCs w:val="22"/>
          <w:u w:val="single"/>
          <w:lang w:val="fr-FR"/>
        </w:rPr>
      </w:pPr>
      <w:r>
        <w:rPr>
          <w:rFonts w:ascii="Arial" w:cs="Arial" w:hAnsi="Arial"/>
          <w:b/>
          <w:szCs w:val="22"/>
          <w:u w:val="single"/>
          <w:lang w:val="fr-FR"/>
        </w:rPr>
      </w:r>
    </w:p>
    <w:p>
      <w:pPr>
        <w:pStyle w:val="BodyText"/>
        <w:spacing w:after="0" w:before="120" w:line="240" w:lineRule="auto"/>
        <w:jc w:val="both"/>
        <w:rPr>
          <w:rFonts w:ascii="Arial" w:cs="Arial" w:hAnsi="Arial"/>
          <w:b/>
          <w:szCs w:val="22"/>
          <w:u w:val="single"/>
          <w:lang w:val="fr-FR"/>
        </w:rPr>
      </w:pPr>
      <w:r>
        <w:rPr>
          <w:rFonts w:ascii="Arial" w:cs="Arial" w:hAnsi="Arial"/>
          <w:b/>
          <w:szCs w:val="22"/>
          <w:u w:val="single"/>
          <w:lang w:val="fr-FR"/>
        </w:rPr>
      </w:r>
    </w:p>
    <w:p>
      <w:pPr>
        <w:pStyle w:val="Normal"/>
        <w:rPr>
          <w:rFonts w:ascii="Arial" w:cs="Arial" w:eastAsia="Times New Roman" w:hAnsi="Arial"/>
          <w:b/>
          <w:u w:val="single"/>
        </w:rPr>
      </w:pPr>
      <w:r>
        <w:rPr>
          <w:rFonts w:ascii="Arial" w:cs="Arial" w:eastAsia="Times New Roman" w:hAnsi="Arial"/>
          <w:b/>
          <w:u w:val="single"/>
        </w:rPr>
      </w:r>
    </w:p>
    <w:sdt>
      <w:sdtPr>
        <w:docPartObj>
          <w:docPartGallery w:val="Table of Contents"/>
          <w:docPartUnique w:val="true"/>
        </w:docPartObj>
      </w:sdtPr>
      <w:sdtContent>
        <w:p>
          <w:pPr>
            <w:pStyle w:val="Heading1"/>
            <w:numPr>
              <w:ilvl w:val="0"/>
              <w:numId w:val="0"/>
            </w:numPr>
            <w:spacing w:after="0" w:before="0"/>
            <w:ind w:hanging="0" w:left="360"/>
            <w:rPr/>
          </w:pPr>
          <w:r>
            <w:br w:type="page"/>
          </w:r>
          <w:bookmarkStart w:id="2" w:name="_Toc212201499"/>
          <w:r>
            <w:rPr>
              <w:rStyle w:val="Titre1Car"/>
            </w:rPr>
            <w:t>SOMMAIRE</w:t>
          </w:r>
          <w:bookmarkEnd w:id="2"/>
        </w:p>
        <w:p>
          <w:pPr>
            <w:pStyle w:val="TOC1"/>
            <w:tabs>
              <w:tab w:pos="708" w:val="clear"/>
              <w:tab w:leader="dot" w:pos="9062" w:val="right"/>
            </w:tabs>
            <w:rPr>
              <w:rFonts w:ascii="Arial" w:cs="Arial" w:hAnsi="Arial"/>
            </w:rPr>
          </w:pPr>
          <w:r>
            <w:rPr>
              <w:rFonts w:ascii="Arial" w:cs="Arial" w:hAnsi="Arial"/>
            </w:rPr>
          </w:r>
        </w:p>
        <w:p>
          <w:pPr>
            <w:pStyle w:val="TOC1"/>
            <w:tabs>
              <w:tab w:pos="708" w:val="clear"/>
              <w:tab w:leader="dot" w:pos="9062" w:val="right"/>
            </w:tabs>
            <w:rPr>
              <w:rFonts w:ascii="Arial" w:cs="Arial" w:eastAsia="" w:eastAsiaTheme="minorEastAsia" w:hAnsi="Arial"/>
              <w:kern w:val="2"/>
              <w:sz w:val="20"/>
              <w:szCs w:val="20"/>
              <w:lang w:eastAsia="fr-FR"/>
              <w14:ligatures w14:val="standardContextual"/>
            </w:rPr>
          </w:pPr>
          <w:r>
            <w:fldChar w:fldCharType="begin"/>
          </w:r>
          <w:r>
            <w:rPr>
              <w:webHidden/>
              <w:rStyle w:val="Sautdindex"/>
              <w:sz w:val="20"/>
              <w:szCs w:val="20"/>
              <w:rFonts w:ascii="Arial" w:cs="Arial" w:hAnsi="Arial"/>
              <w:color w:val="auto"/>
            </w:rPr>
            <w:instrText xml:space="preserve"> TOC \z \o "1-3" \u \h</w:instrText>
          </w:r>
          <w:r>
            <w:rPr>
              <w:webHidden/>
              <w:rStyle w:val="Sautdindex"/>
              <w:sz w:val="20"/>
              <w:szCs w:val="20"/>
              <w:rFonts w:ascii="Arial" w:cs="Arial" w:hAnsi="Arial"/>
              <w:color w:val="auto"/>
            </w:rPr>
            <w:fldChar w:fldCharType="separate"/>
          </w:r>
          <w:hyperlink w:anchor="_Toc212201499">
            <w:r>
              <w:rPr>
                <w:webHidden/>
                <w:rStyle w:val="Sautdindex"/>
                <w:rFonts w:ascii="Arial" w:cs="Arial" w:hAnsi="Arial"/>
                <w:color w:val="auto"/>
                <w:sz w:val="20"/>
                <w:szCs w:val="20"/>
              </w:rPr>
              <w:t>SOMMAIRE</w:t>
            </w:r>
            <w:r>
              <w:rPr>
                <w:webHidden/>
              </w:rPr>
              <w:fldChar w:fldCharType="begin"/>
            </w:r>
            <w:r>
              <w:rPr>
                <w:webHidden/>
              </w:rPr>
              <w:instrText xml:space="preserve">PAGEREF _Toc212201499 \h</w:instrText>
            </w:r>
            <w:r>
              <w:rPr>
                <w:webHidden/>
              </w:rPr>
              <w:fldChar w:fldCharType="separate"/>
            </w:r>
            <w:r>
              <w:rPr>
                <w:rStyle w:val="Sautdindex"/>
                <w:rFonts w:ascii="Arial" w:cs="Arial" w:hAnsi="Arial"/>
                <w:vanish w:val="false"/>
                <w:sz w:val="20"/>
                <w:szCs w:val="20"/>
              </w:rPr>
              <w:tab/>
              <w:t>2</w:t>
            </w:r>
            <w:r>
              <w:rPr>
                <w:webHidden/>
              </w:rPr>
              <w:fldChar w:fldCharType="end"/>
            </w:r>
          </w:hyperlink>
        </w:p>
        <w:p>
          <w:pPr>
            <w:pStyle w:val="TOC1"/>
            <w:tabs>
              <w:tab w:pos="708" w:val="clear"/>
              <w:tab w:leader="dot" w:pos="9062" w:val="right"/>
            </w:tabs>
            <w:rPr>
              <w:rFonts w:ascii="Arial" w:cs="Arial" w:eastAsia="" w:eastAsiaTheme="minorEastAsia" w:hAnsi="Arial"/>
              <w:kern w:val="2"/>
              <w:sz w:val="20"/>
              <w:szCs w:val="20"/>
              <w:lang w:eastAsia="fr-FR"/>
              <w14:ligatures w14:val="standardContextual"/>
            </w:rPr>
          </w:pPr>
          <w:hyperlink w:anchor="_Toc212201500">
            <w:r>
              <w:rPr>
                <w:webHidden/>
                <w:rStyle w:val="Sautdindex"/>
                <w:rFonts w:ascii="Arial" w:cs="Arial" w:hAnsi="Arial"/>
                <w:color w:val="auto"/>
                <w:sz w:val="20"/>
                <w:szCs w:val="20"/>
              </w:rPr>
              <w:t>PREAMBULE</w:t>
            </w:r>
            <w:r>
              <w:rPr>
                <w:webHidden/>
              </w:rPr>
              <w:fldChar w:fldCharType="begin"/>
            </w:r>
            <w:r>
              <w:rPr>
                <w:webHidden/>
              </w:rPr>
              <w:instrText xml:space="preserve">PAGEREF _Toc212201500 \h</w:instrText>
            </w:r>
            <w:r>
              <w:rPr>
                <w:webHidden/>
              </w:rPr>
              <w:fldChar w:fldCharType="separate"/>
            </w:r>
            <w:r>
              <w:rPr>
                <w:rStyle w:val="Sautdindex"/>
                <w:rFonts w:ascii="Arial" w:cs="Arial" w:hAnsi="Arial"/>
                <w:vanish w:val="false"/>
                <w:sz w:val="20"/>
                <w:szCs w:val="20"/>
              </w:rPr>
              <w:tab/>
              <w:t>3</w:t>
            </w:r>
            <w:r>
              <w:rPr>
                <w:webHidden/>
              </w:rPr>
              <w:fldChar w:fldCharType="end"/>
            </w:r>
          </w:hyperlink>
        </w:p>
        <w:p>
          <w:pPr>
            <w:pStyle w:val="TOC1"/>
            <w:tabs>
              <w:tab w:pos="708" w:val="clear"/>
              <w:tab w:leader="none" w:pos="1440" w:val="left"/>
              <w:tab w:leader="dot" w:pos="9062" w:val="right"/>
            </w:tabs>
            <w:rPr>
              <w:rFonts w:ascii="Arial" w:cs="Arial" w:eastAsia="" w:eastAsiaTheme="minorEastAsia" w:hAnsi="Arial"/>
              <w:kern w:val="2"/>
              <w:sz w:val="20"/>
              <w:szCs w:val="20"/>
              <w:lang w:eastAsia="fr-FR"/>
              <w14:ligatures w14:val="standardContextual"/>
            </w:rPr>
          </w:pPr>
          <w:hyperlink w:anchor="_Toc212201501">
            <w:r>
              <w:rPr>
                <w:webHidden/>
                <w:rStyle w:val="Sautdindex"/>
                <w:rFonts w:ascii="Arial" w:cs="Arial" w:hAnsi="Arial"/>
                <w:color w:val="auto"/>
                <w:sz w:val="20"/>
                <w:szCs w:val="20"/>
              </w:rPr>
              <w:t>ARTICLE 1 :</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OBJET</w:t>
            </w:r>
            <w:r>
              <w:rPr>
                <w:webHidden/>
              </w:rPr>
              <w:fldChar w:fldCharType="begin"/>
            </w:r>
            <w:r>
              <w:rPr>
                <w:webHidden/>
              </w:rPr>
              <w:instrText xml:space="preserve">PAGEREF _Toc212201501 \h</w:instrText>
            </w:r>
            <w:r>
              <w:rPr>
                <w:webHidden/>
              </w:rPr>
              <w:fldChar w:fldCharType="separate"/>
            </w:r>
            <w:r>
              <w:rPr>
                <w:rStyle w:val="Sautdindex"/>
                <w:rFonts w:ascii="Arial" w:cs="Arial" w:hAnsi="Arial"/>
                <w:vanish w:val="false"/>
                <w:sz w:val="20"/>
                <w:szCs w:val="20"/>
              </w:rPr>
              <w:tab/>
              <w:t>4</w:t>
            </w:r>
            <w:r>
              <w:rPr>
                <w:webHidden/>
              </w:rPr>
              <w:fldChar w:fldCharType="end"/>
            </w:r>
          </w:hyperlink>
        </w:p>
        <w:p>
          <w:pPr>
            <w:pStyle w:val="TOC1"/>
            <w:tabs>
              <w:tab w:pos="708" w:val="clear"/>
              <w:tab w:leader="none" w:pos="1440" w:val="left"/>
              <w:tab w:leader="dot" w:pos="9062" w:val="right"/>
            </w:tabs>
            <w:rPr>
              <w:rFonts w:ascii="Arial" w:cs="Arial" w:eastAsia="" w:eastAsiaTheme="minorEastAsia" w:hAnsi="Arial"/>
              <w:kern w:val="2"/>
              <w:sz w:val="20"/>
              <w:szCs w:val="20"/>
              <w:lang w:eastAsia="fr-FR"/>
              <w14:ligatures w14:val="standardContextual"/>
            </w:rPr>
          </w:pPr>
          <w:hyperlink w:anchor="_Toc212201502">
            <w:r>
              <w:rPr>
                <w:webHidden/>
                <w:rStyle w:val="Sautdindex"/>
                <w:rFonts w:ascii="Arial" w:cs="Arial" w:hAnsi="Arial"/>
                <w:color w:val="auto"/>
                <w:sz w:val="20"/>
                <w:szCs w:val="20"/>
              </w:rPr>
              <w:t>ARTICLE 2 :</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CHAMPS D’APPLICATION</w:t>
            </w:r>
            <w:r>
              <w:rPr>
                <w:webHidden/>
              </w:rPr>
              <w:fldChar w:fldCharType="begin"/>
            </w:r>
            <w:r>
              <w:rPr>
                <w:webHidden/>
              </w:rPr>
              <w:instrText xml:space="preserve">PAGEREF _Toc212201502 \h</w:instrText>
            </w:r>
            <w:r>
              <w:rPr>
                <w:webHidden/>
              </w:rPr>
              <w:fldChar w:fldCharType="separate"/>
            </w:r>
            <w:r>
              <w:rPr>
                <w:rStyle w:val="Sautdindex"/>
                <w:rFonts w:ascii="Arial" w:cs="Arial" w:hAnsi="Arial"/>
                <w:vanish w:val="false"/>
                <w:sz w:val="20"/>
                <w:szCs w:val="20"/>
              </w:rPr>
              <w:tab/>
              <w:t>4</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03">
            <w:r>
              <w:rPr>
                <w:webHidden/>
                <w:rStyle w:val="Sautdindex"/>
                <w:rFonts w:ascii="Arial" w:cs="Arial" w:hAnsi="Arial"/>
                <w:color w:val="auto"/>
                <w:sz w:val="20"/>
                <w:szCs w:val="20"/>
              </w:rPr>
              <w:t>Article 2.1.</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Champ d’application territorial</w:t>
            </w:r>
            <w:r>
              <w:rPr>
                <w:webHidden/>
              </w:rPr>
              <w:fldChar w:fldCharType="begin"/>
            </w:r>
            <w:r>
              <w:rPr>
                <w:webHidden/>
              </w:rPr>
              <w:instrText xml:space="preserve">PAGEREF _Toc212201503 \h</w:instrText>
            </w:r>
            <w:r>
              <w:rPr>
                <w:webHidden/>
              </w:rPr>
              <w:fldChar w:fldCharType="separate"/>
            </w:r>
            <w:r>
              <w:rPr>
                <w:rStyle w:val="Sautdindex"/>
                <w:rFonts w:ascii="Arial" w:cs="Arial" w:hAnsi="Arial"/>
                <w:vanish w:val="false"/>
                <w:sz w:val="20"/>
                <w:szCs w:val="20"/>
              </w:rPr>
              <w:tab/>
              <w:t>4</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04">
            <w:r>
              <w:rPr>
                <w:webHidden/>
                <w:rStyle w:val="Sautdindex"/>
                <w:rFonts w:ascii="Arial" w:cs="Arial" w:hAnsi="Arial"/>
                <w:color w:val="auto"/>
                <w:sz w:val="20"/>
                <w:szCs w:val="20"/>
              </w:rPr>
              <w:t>Article 2.2.</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Champ d’application professionnel</w:t>
            </w:r>
            <w:r>
              <w:rPr>
                <w:webHidden/>
              </w:rPr>
              <w:fldChar w:fldCharType="begin"/>
            </w:r>
            <w:r>
              <w:rPr>
                <w:webHidden/>
              </w:rPr>
              <w:instrText xml:space="preserve">PAGEREF _Toc212201504 \h</w:instrText>
            </w:r>
            <w:r>
              <w:rPr>
                <w:webHidden/>
              </w:rPr>
              <w:fldChar w:fldCharType="separate"/>
            </w:r>
            <w:r>
              <w:rPr>
                <w:rStyle w:val="Sautdindex"/>
                <w:rFonts w:ascii="Arial" w:cs="Arial" w:hAnsi="Arial"/>
                <w:vanish w:val="false"/>
                <w:sz w:val="20"/>
                <w:szCs w:val="20"/>
              </w:rPr>
              <w:tab/>
              <w:t>4</w:t>
            </w:r>
            <w:r>
              <w:rPr>
                <w:webHidden/>
              </w:rPr>
              <w:fldChar w:fldCharType="end"/>
            </w:r>
          </w:hyperlink>
        </w:p>
        <w:p>
          <w:pPr>
            <w:pStyle w:val="TOC1"/>
            <w:tabs>
              <w:tab w:pos="708" w:val="clear"/>
              <w:tab w:leader="none" w:pos="1440" w:val="left"/>
              <w:tab w:leader="dot" w:pos="9062" w:val="right"/>
            </w:tabs>
            <w:rPr>
              <w:rFonts w:ascii="Arial" w:cs="Arial" w:eastAsia="" w:eastAsiaTheme="minorEastAsia" w:hAnsi="Arial"/>
              <w:kern w:val="2"/>
              <w:sz w:val="20"/>
              <w:szCs w:val="20"/>
              <w:lang w:eastAsia="fr-FR"/>
              <w14:ligatures w14:val="standardContextual"/>
            </w:rPr>
          </w:pPr>
          <w:hyperlink w:anchor="_Toc212201505">
            <w:r>
              <w:rPr>
                <w:webHidden/>
                <w:rStyle w:val="Sautdindex"/>
                <w:rFonts w:ascii="Arial" w:cs="Arial" w:hAnsi="Arial"/>
                <w:color w:val="auto"/>
                <w:sz w:val="20"/>
                <w:szCs w:val="20"/>
              </w:rPr>
              <w:t>ARTICLE 3 :</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CONTINGENT D’HEURES SUPPLEMENTAIRES</w:t>
            </w:r>
            <w:r>
              <w:rPr>
                <w:webHidden/>
              </w:rPr>
              <w:fldChar w:fldCharType="begin"/>
            </w:r>
            <w:r>
              <w:rPr>
                <w:webHidden/>
              </w:rPr>
              <w:instrText xml:space="preserve">PAGEREF _Toc212201505 \h</w:instrText>
            </w:r>
            <w:r>
              <w:rPr>
                <w:webHidden/>
              </w:rPr>
              <w:fldChar w:fldCharType="separate"/>
            </w:r>
            <w:r>
              <w:rPr>
                <w:rStyle w:val="Sautdindex"/>
                <w:rFonts w:ascii="Arial" w:cs="Arial" w:hAnsi="Arial"/>
                <w:vanish w:val="false"/>
                <w:sz w:val="20"/>
                <w:szCs w:val="20"/>
              </w:rPr>
              <w:tab/>
              <w:t>4</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06">
            <w:r>
              <w:rPr>
                <w:webHidden/>
                <w:rStyle w:val="Sautdindex"/>
                <w:rFonts w:ascii="Arial" w:cs="Arial" w:hAnsi="Arial"/>
                <w:color w:val="auto"/>
                <w:sz w:val="20"/>
                <w:szCs w:val="20"/>
              </w:rPr>
              <w:t>Article 3.1.</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Accomplissement d’heures supplémentaires</w:t>
            </w:r>
            <w:r>
              <w:rPr>
                <w:webHidden/>
              </w:rPr>
              <w:fldChar w:fldCharType="begin"/>
            </w:r>
            <w:r>
              <w:rPr>
                <w:webHidden/>
              </w:rPr>
              <w:instrText xml:space="preserve">PAGEREF _Toc212201506 \h</w:instrText>
            </w:r>
            <w:r>
              <w:rPr>
                <w:webHidden/>
              </w:rPr>
              <w:fldChar w:fldCharType="separate"/>
            </w:r>
            <w:r>
              <w:rPr>
                <w:rStyle w:val="Sautdindex"/>
                <w:rFonts w:ascii="Arial" w:cs="Arial" w:hAnsi="Arial"/>
                <w:vanish w:val="false"/>
                <w:sz w:val="20"/>
                <w:szCs w:val="20"/>
              </w:rPr>
              <w:tab/>
              <w:t>4</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07">
            <w:r>
              <w:rPr>
                <w:webHidden/>
                <w:rStyle w:val="Sautdindex"/>
                <w:rFonts w:ascii="Arial" w:cs="Arial" w:hAnsi="Arial"/>
                <w:color w:val="auto"/>
                <w:sz w:val="20"/>
                <w:szCs w:val="20"/>
              </w:rPr>
              <w:t>Article 3.2.</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Contingent annuel d’heures supplémentaires</w:t>
            </w:r>
            <w:r>
              <w:rPr>
                <w:webHidden/>
              </w:rPr>
              <w:fldChar w:fldCharType="begin"/>
            </w:r>
            <w:r>
              <w:rPr>
                <w:webHidden/>
              </w:rPr>
              <w:instrText xml:space="preserve">PAGEREF _Toc212201507 \h</w:instrText>
            </w:r>
            <w:r>
              <w:rPr>
                <w:webHidden/>
              </w:rPr>
              <w:fldChar w:fldCharType="separate"/>
            </w:r>
            <w:r>
              <w:rPr>
                <w:rStyle w:val="Sautdindex"/>
                <w:rFonts w:ascii="Arial" w:cs="Arial" w:hAnsi="Arial"/>
                <w:vanish w:val="false"/>
                <w:sz w:val="20"/>
                <w:szCs w:val="20"/>
              </w:rPr>
              <w:tab/>
              <w:t>5</w:t>
            </w:r>
            <w:r>
              <w:rPr>
                <w:webHidden/>
              </w:rPr>
              <w:fldChar w:fldCharType="end"/>
            </w:r>
          </w:hyperlink>
        </w:p>
        <w:p>
          <w:pPr>
            <w:pStyle w:val="TOC1"/>
            <w:tabs>
              <w:tab w:pos="708" w:val="clear"/>
              <w:tab w:leader="none" w:pos="1440" w:val="left"/>
              <w:tab w:leader="dot" w:pos="9062" w:val="right"/>
            </w:tabs>
            <w:rPr>
              <w:rFonts w:ascii="Arial" w:cs="Arial" w:eastAsia="" w:eastAsiaTheme="minorEastAsia" w:hAnsi="Arial"/>
              <w:kern w:val="2"/>
              <w:sz w:val="20"/>
              <w:szCs w:val="20"/>
              <w:lang w:eastAsia="fr-FR"/>
              <w14:ligatures w14:val="standardContextual"/>
            </w:rPr>
          </w:pPr>
          <w:hyperlink w:anchor="_Toc212201508">
            <w:r>
              <w:rPr>
                <w:webHidden/>
                <w:rStyle w:val="Sautdindex"/>
                <w:rFonts w:ascii="Arial" w:cs="Arial" w:hAnsi="Arial"/>
                <w:color w:val="auto"/>
                <w:sz w:val="20"/>
                <w:szCs w:val="20"/>
              </w:rPr>
              <w:t>ARTICLE 4 :</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CONTREPARTIE OBLIGATOIRE EN REPOS</w:t>
            </w:r>
            <w:r>
              <w:rPr>
                <w:webHidden/>
              </w:rPr>
              <w:fldChar w:fldCharType="begin"/>
            </w:r>
            <w:r>
              <w:rPr>
                <w:webHidden/>
              </w:rPr>
              <w:instrText xml:space="preserve">PAGEREF _Toc212201508 \h</w:instrText>
            </w:r>
            <w:r>
              <w:rPr>
                <w:webHidden/>
              </w:rPr>
              <w:fldChar w:fldCharType="separate"/>
            </w:r>
            <w:r>
              <w:rPr>
                <w:rStyle w:val="Sautdindex"/>
                <w:rFonts w:ascii="Arial" w:cs="Arial" w:hAnsi="Arial"/>
                <w:vanish w:val="false"/>
                <w:sz w:val="20"/>
                <w:szCs w:val="20"/>
              </w:rPr>
              <w:tab/>
              <w:t>6</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09">
            <w:r>
              <w:rPr>
                <w:webHidden/>
                <w:rStyle w:val="Sautdindex"/>
                <w:rFonts w:ascii="Arial" w:cs="Arial" w:hAnsi="Arial"/>
                <w:color w:val="auto"/>
                <w:sz w:val="20"/>
                <w:szCs w:val="20"/>
              </w:rPr>
              <w:t>Article 4.1.</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Conditions d’attribution de la contrepartie obligatoire en repos</w:t>
            </w:r>
            <w:r>
              <w:rPr>
                <w:webHidden/>
              </w:rPr>
              <w:fldChar w:fldCharType="begin"/>
            </w:r>
            <w:r>
              <w:rPr>
                <w:webHidden/>
              </w:rPr>
              <w:instrText xml:space="preserve">PAGEREF _Toc212201509 \h</w:instrText>
            </w:r>
            <w:r>
              <w:rPr>
                <w:webHidden/>
              </w:rPr>
              <w:fldChar w:fldCharType="separate"/>
            </w:r>
            <w:r>
              <w:rPr>
                <w:rStyle w:val="Sautdindex"/>
                <w:rFonts w:ascii="Arial" w:cs="Arial" w:hAnsi="Arial"/>
                <w:vanish w:val="false"/>
                <w:sz w:val="20"/>
                <w:szCs w:val="20"/>
              </w:rPr>
              <w:tab/>
              <w:t>6</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0">
            <w:r>
              <w:rPr>
                <w:webHidden/>
                <w:rStyle w:val="Sautdindex"/>
                <w:rFonts w:ascii="Arial" w:cs="Arial" w:hAnsi="Arial"/>
                <w:color w:val="auto"/>
                <w:sz w:val="20"/>
                <w:szCs w:val="20"/>
              </w:rPr>
              <w:t>Article 4.2.</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Modalités de prise de la contrepartie obligatoire en repos</w:t>
            </w:r>
            <w:r>
              <w:rPr>
                <w:webHidden/>
              </w:rPr>
              <w:fldChar w:fldCharType="begin"/>
            </w:r>
            <w:r>
              <w:rPr>
                <w:webHidden/>
              </w:rPr>
              <w:instrText xml:space="preserve">PAGEREF _Toc212201510 \h</w:instrText>
            </w:r>
            <w:r>
              <w:rPr>
                <w:webHidden/>
              </w:rPr>
              <w:fldChar w:fldCharType="separate"/>
            </w:r>
            <w:r>
              <w:rPr>
                <w:rStyle w:val="Sautdindex"/>
                <w:rFonts w:ascii="Arial" w:cs="Arial" w:hAnsi="Arial"/>
                <w:vanish w:val="false"/>
                <w:sz w:val="20"/>
                <w:szCs w:val="20"/>
              </w:rPr>
              <w:tab/>
              <w:t>6</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1">
            <w:r>
              <w:rPr>
                <w:webHidden/>
                <w:rStyle w:val="Sautdindex"/>
                <w:rFonts w:ascii="Arial" w:cs="Arial" w:eastAsia="Times New Roman" w:hAnsi="Arial"/>
                <w:i/>
                <w:iCs/>
                <w:color w:val="auto"/>
                <w:sz w:val="20"/>
                <w:szCs w:val="20"/>
              </w:rPr>
              <w:t>Article 4.2.1.</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Ouverture du droit au repos</w:t>
            </w:r>
            <w:r>
              <w:rPr>
                <w:webHidden/>
              </w:rPr>
              <w:fldChar w:fldCharType="begin"/>
            </w:r>
            <w:r>
              <w:rPr>
                <w:webHidden/>
              </w:rPr>
              <w:instrText xml:space="preserve">PAGEREF _Toc212201511 \h</w:instrText>
            </w:r>
            <w:r>
              <w:rPr>
                <w:webHidden/>
              </w:rPr>
              <w:fldChar w:fldCharType="separate"/>
            </w:r>
            <w:r>
              <w:rPr>
                <w:rStyle w:val="Sautdindex"/>
                <w:rFonts w:ascii="Arial" w:cs="Arial" w:hAnsi="Arial"/>
                <w:vanish w:val="false"/>
                <w:sz w:val="20"/>
                <w:szCs w:val="20"/>
              </w:rPr>
              <w:tab/>
              <w:t>6</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2">
            <w:r>
              <w:rPr>
                <w:webHidden/>
                <w:rStyle w:val="Sautdindex"/>
                <w:rFonts w:ascii="Arial" w:cs="Arial" w:eastAsia="Times New Roman" w:hAnsi="Arial"/>
                <w:i/>
                <w:iCs/>
                <w:color w:val="auto"/>
                <w:sz w:val="20"/>
                <w:szCs w:val="20"/>
              </w:rPr>
              <w:t>Article 4.2.2.</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Forme du repos</w:t>
            </w:r>
            <w:r>
              <w:rPr>
                <w:webHidden/>
              </w:rPr>
              <w:fldChar w:fldCharType="begin"/>
            </w:r>
            <w:r>
              <w:rPr>
                <w:webHidden/>
              </w:rPr>
              <w:instrText xml:space="preserve">PAGEREF _Toc212201512 \h</w:instrText>
            </w:r>
            <w:r>
              <w:rPr>
                <w:webHidden/>
              </w:rPr>
              <w:fldChar w:fldCharType="separate"/>
            </w:r>
            <w:r>
              <w:rPr>
                <w:rStyle w:val="Sautdindex"/>
                <w:rFonts w:ascii="Arial" w:cs="Arial" w:hAnsi="Arial"/>
                <w:vanish w:val="false"/>
                <w:sz w:val="20"/>
                <w:szCs w:val="20"/>
              </w:rPr>
              <w:tab/>
              <w:t>6</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3">
            <w:r>
              <w:rPr>
                <w:webHidden/>
                <w:rStyle w:val="Sautdindex"/>
                <w:rFonts w:ascii="Arial" w:cs="Arial" w:eastAsia="Times New Roman" w:hAnsi="Arial"/>
                <w:i/>
                <w:iCs/>
                <w:color w:val="auto"/>
                <w:sz w:val="20"/>
                <w:szCs w:val="20"/>
              </w:rPr>
              <w:t>Article 4.2.3.</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Délai de prise du repos</w:t>
            </w:r>
            <w:r>
              <w:rPr>
                <w:webHidden/>
              </w:rPr>
              <w:fldChar w:fldCharType="begin"/>
            </w:r>
            <w:r>
              <w:rPr>
                <w:webHidden/>
              </w:rPr>
              <w:instrText xml:space="preserve">PAGEREF _Toc212201513 \h</w:instrText>
            </w:r>
            <w:r>
              <w:rPr>
                <w:webHidden/>
              </w:rPr>
              <w:fldChar w:fldCharType="separate"/>
            </w:r>
            <w:r>
              <w:rPr>
                <w:rStyle w:val="Sautdindex"/>
                <w:rFonts w:ascii="Arial" w:cs="Arial" w:hAnsi="Arial"/>
                <w:vanish w:val="false"/>
                <w:sz w:val="20"/>
                <w:szCs w:val="20"/>
              </w:rPr>
              <w:tab/>
              <w:t>6</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4">
            <w:r>
              <w:rPr>
                <w:webHidden/>
                <w:rStyle w:val="Sautdindex"/>
                <w:rFonts w:ascii="Arial" w:cs="Arial" w:eastAsia="Times New Roman" w:hAnsi="Arial"/>
                <w:i/>
                <w:iCs/>
                <w:color w:val="auto"/>
                <w:sz w:val="20"/>
                <w:szCs w:val="20"/>
              </w:rPr>
              <w:t>Article 4.2.4.</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Demande de repos</w:t>
            </w:r>
            <w:r>
              <w:rPr>
                <w:webHidden/>
              </w:rPr>
              <w:fldChar w:fldCharType="begin"/>
            </w:r>
            <w:r>
              <w:rPr>
                <w:webHidden/>
              </w:rPr>
              <w:instrText xml:space="preserve">PAGEREF _Toc212201514 \h</w:instrText>
            </w:r>
            <w:r>
              <w:rPr>
                <w:webHidden/>
              </w:rPr>
              <w:fldChar w:fldCharType="separate"/>
            </w:r>
            <w:r>
              <w:rPr>
                <w:rStyle w:val="Sautdindex"/>
                <w:rFonts w:ascii="Arial" w:cs="Arial" w:hAnsi="Arial"/>
                <w:vanish w:val="false"/>
                <w:sz w:val="20"/>
                <w:szCs w:val="20"/>
              </w:rPr>
              <w:tab/>
              <w:t>7</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5">
            <w:r>
              <w:rPr>
                <w:webHidden/>
                <w:rStyle w:val="Sautdindex"/>
                <w:rFonts w:ascii="Arial" w:cs="Arial" w:eastAsia="Times New Roman" w:hAnsi="Arial"/>
                <w:i/>
                <w:iCs/>
                <w:color w:val="auto"/>
                <w:sz w:val="20"/>
                <w:szCs w:val="20"/>
              </w:rPr>
              <w:t>Article 4.2.5.</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Absence de demande de repos</w:t>
            </w:r>
            <w:r>
              <w:rPr>
                <w:webHidden/>
              </w:rPr>
              <w:fldChar w:fldCharType="begin"/>
            </w:r>
            <w:r>
              <w:rPr>
                <w:webHidden/>
              </w:rPr>
              <w:instrText xml:space="preserve">PAGEREF _Toc212201515 \h</w:instrText>
            </w:r>
            <w:r>
              <w:rPr>
                <w:webHidden/>
              </w:rPr>
              <w:fldChar w:fldCharType="separate"/>
            </w:r>
            <w:r>
              <w:rPr>
                <w:rStyle w:val="Sautdindex"/>
                <w:rFonts w:ascii="Arial" w:cs="Arial" w:hAnsi="Arial"/>
                <w:vanish w:val="false"/>
                <w:sz w:val="20"/>
                <w:szCs w:val="20"/>
              </w:rPr>
              <w:tab/>
              <w:t>7</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6">
            <w:r>
              <w:rPr>
                <w:webHidden/>
                <w:rStyle w:val="Sautdindex"/>
                <w:rFonts w:ascii="Arial" w:cs="Arial" w:eastAsia="Times New Roman" w:hAnsi="Arial"/>
                <w:i/>
                <w:iCs/>
                <w:color w:val="auto"/>
                <w:sz w:val="20"/>
                <w:szCs w:val="20"/>
              </w:rPr>
              <w:t>Article 4.2.6.</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Comptabilisation du repos</w:t>
            </w:r>
            <w:r>
              <w:rPr>
                <w:webHidden/>
              </w:rPr>
              <w:fldChar w:fldCharType="begin"/>
            </w:r>
            <w:r>
              <w:rPr>
                <w:webHidden/>
              </w:rPr>
              <w:instrText xml:space="preserve">PAGEREF _Toc212201516 \h</w:instrText>
            </w:r>
            <w:r>
              <w:rPr>
                <w:webHidden/>
              </w:rPr>
              <w:fldChar w:fldCharType="separate"/>
            </w:r>
            <w:r>
              <w:rPr>
                <w:rStyle w:val="Sautdindex"/>
                <w:rFonts w:ascii="Arial" w:cs="Arial" w:hAnsi="Arial"/>
                <w:vanish w:val="false"/>
                <w:sz w:val="20"/>
                <w:szCs w:val="20"/>
              </w:rPr>
              <w:tab/>
              <w:t>7</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7">
            <w:r>
              <w:rPr>
                <w:webHidden/>
                <w:rStyle w:val="Sautdindex"/>
                <w:rFonts w:ascii="Arial" w:cs="Arial" w:eastAsia="Times New Roman" w:hAnsi="Arial"/>
                <w:i/>
                <w:iCs/>
                <w:color w:val="auto"/>
                <w:sz w:val="20"/>
                <w:szCs w:val="20"/>
              </w:rPr>
              <w:t>Article 4.2.7.</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Indemnisation du repos</w:t>
            </w:r>
            <w:r>
              <w:rPr>
                <w:webHidden/>
              </w:rPr>
              <w:fldChar w:fldCharType="begin"/>
            </w:r>
            <w:r>
              <w:rPr>
                <w:webHidden/>
              </w:rPr>
              <w:instrText xml:space="preserve">PAGEREF _Toc212201517 \h</w:instrText>
            </w:r>
            <w:r>
              <w:rPr>
                <w:webHidden/>
              </w:rPr>
              <w:fldChar w:fldCharType="separate"/>
            </w:r>
            <w:r>
              <w:rPr>
                <w:rStyle w:val="Sautdindex"/>
                <w:rFonts w:ascii="Arial" w:cs="Arial" w:hAnsi="Arial"/>
                <w:vanish w:val="false"/>
                <w:sz w:val="20"/>
                <w:szCs w:val="20"/>
              </w:rPr>
              <w:tab/>
              <w:t>7</w:t>
            </w:r>
            <w:r>
              <w:rPr>
                <w:webHidden/>
              </w:rPr>
              <w:fldChar w:fldCharType="end"/>
            </w:r>
          </w:hyperlink>
        </w:p>
        <w:p>
          <w:pPr>
            <w:pStyle w:val="TOC2"/>
            <w:tabs>
              <w:tab w:pos="708" w:val="clear"/>
              <w:tab w:leader="none" w:pos="1680" w:val="left"/>
              <w:tab w:leader="dot" w:pos="9062" w:val="right"/>
            </w:tabs>
            <w:rPr>
              <w:rFonts w:ascii="Arial" w:cs="Arial" w:eastAsia="" w:eastAsiaTheme="minorEastAsia" w:hAnsi="Arial"/>
              <w:kern w:val="2"/>
              <w:sz w:val="20"/>
              <w:szCs w:val="20"/>
              <w:lang w:eastAsia="fr-FR"/>
              <w14:ligatures w14:val="standardContextual"/>
            </w:rPr>
          </w:pPr>
          <w:hyperlink w:anchor="_Toc212201518">
            <w:r>
              <w:rPr>
                <w:webHidden/>
                <w:rStyle w:val="Sautdindex"/>
                <w:rFonts w:ascii="Arial" w:cs="Arial" w:eastAsia="Times New Roman" w:hAnsi="Arial"/>
                <w:i/>
                <w:iCs/>
                <w:color w:val="auto"/>
                <w:sz w:val="20"/>
                <w:szCs w:val="20"/>
              </w:rPr>
              <w:t>Article 4.2.8.</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eastAsia="Times New Roman" w:hAnsi="Arial"/>
                <w:i/>
                <w:iCs/>
                <w:color w:val="auto"/>
                <w:sz w:val="20"/>
                <w:szCs w:val="20"/>
              </w:rPr>
              <w:t>Information des salariés</w:t>
            </w:r>
            <w:r>
              <w:rPr>
                <w:webHidden/>
              </w:rPr>
              <w:fldChar w:fldCharType="begin"/>
            </w:r>
            <w:r>
              <w:rPr>
                <w:webHidden/>
              </w:rPr>
              <w:instrText xml:space="preserve">PAGEREF _Toc212201518 \h</w:instrText>
            </w:r>
            <w:r>
              <w:rPr>
                <w:webHidden/>
              </w:rPr>
              <w:fldChar w:fldCharType="separate"/>
            </w:r>
            <w:r>
              <w:rPr>
                <w:rStyle w:val="Sautdindex"/>
                <w:rFonts w:ascii="Arial" w:cs="Arial" w:hAnsi="Arial"/>
                <w:vanish w:val="false"/>
                <w:sz w:val="20"/>
                <w:szCs w:val="20"/>
              </w:rPr>
              <w:tab/>
              <w:t>8</w:t>
            </w:r>
            <w:r>
              <w:rPr>
                <w:webHidden/>
              </w:rPr>
              <w:fldChar w:fldCharType="end"/>
            </w:r>
          </w:hyperlink>
        </w:p>
        <w:p>
          <w:pPr>
            <w:pStyle w:val="TOC1"/>
            <w:tabs>
              <w:tab w:pos="708" w:val="clear"/>
              <w:tab w:leader="none" w:pos="1440" w:val="left"/>
              <w:tab w:leader="dot" w:pos="9062" w:val="right"/>
            </w:tabs>
            <w:rPr>
              <w:rFonts w:ascii="Arial" w:cs="Arial" w:eastAsia="" w:eastAsiaTheme="minorEastAsia" w:hAnsi="Arial"/>
              <w:kern w:val="2"/>
              <w:sz w:val="20"/>
              <w:szCs w:val="20"/>
              <w:lang w:eastAsia="fr-FR"/>
              <w14:ligatures w14:val="standardContextual"/>
            </w:rPr>
          </w:pPr>
          <w:hyperlink w:anchor="_Toc212201519">
            <w:r>
              <w:rPr>
                <w:webHidden/>
                <w:rStyle w:val="Sautdindex"/>
                <w:rFonts w:ascii="Arial" w:cs="Arial" w:hAnsi="Arial"/>
                <w:color w:val="auto"/>
                <w:sz w:val="20"/>
                <w:szCs w:val="20"/>
              </w:rPr>
              <w:t>ARTICLE 5 :</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DISPOSITIONS FINALES</w:t>
            </w:r>
            <w:r>
              <w:rPr>
                <w:webHidden/>
              </w:rPr>
              <w:fldChar w:fldCharType="begin"/>
            </w:r>
            <w:r>
              <w:rPr>
                <w:webHidden/>
              </w:rPr>
              <w:instrText xml:space="preserve">PAGEREF _Toc212201519 \h</w:instrText>
            </w:r>
            <w:r>
              <w:rPr>
                <w:webHidden/>
              </w:rPr>
              <w:fldChar w:fldCharType="separate"/>
            </w:r>
            <w:r>
              <w:rPr>
                <w:rStyle w:val="Sautdindex"/>
                <w:rFonts w:ascii="Arial" w:cs="Arial" w:hAnsi="Arial"/>
                <w:vanish w:val="false"/>
                <w:sz w:val="20"/>
                <w:szCs w:val="20"/>
              </w:rPr>
              <w:tab/>
              <w:t>8</w:t>
            </w:r>
            <w:r>
              <w:rPr>
                <w:webHidden/>
              </w:rPr>
              <w:fldChar w:fldCharType="end"/>
            </w:r>
          </w:hyperlink>
        </w:p>
        <w:p>
          <w:pPr>
            <w:pStyle w:val="TOC1"/>
            <w:tabs>
              <w:tab w:pos="708" w:val="clear"/>
              <w:tab w:leader="none" w:pos="1440" w:val="left"/>
              <w:tab w:leader="dot" w:pos="9062" w:val="right"/>
            </w:tabs>
            <w:ind w:left="284"/>
            <w:rPr>
              <w:rFonts w:ascii="Arial" w:cs="Arial" w:eastAsia="" w:eastAsiaTheme="minorEastAsia" w:hAnsi="Arial"/>
              <w:kern w:val="2"/>
              <w:sz w:val="20"/>
              <w:szCs w:val="20"/>
              <w:lang w:eastAsia="fr-FR"/>
              <w14:ligatures w14:val="standardContextual"/>
            </w:rPr>
          </w:pPr>
          <w:hyperlink w:anchor="_Toc212201520">
            <w:r>
              <w:rPr>
                <w:webHidden/>
                <w:rStyle w:val="Sautdindex"/>
                <w:rFonts w:ascii="Arial" w:cs="Arial" w:hAnsi="Arial"/>
                <w:color w:val="auto"/>
                <w:sz w:val="20"/>
                <w:szCs w:val="20"/>
              </w:rPr>
              <w:t>Article 5.1.</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Durée de l’accord</w:t>
            </w:r>
            <w:r>
              <w:rPr>
                <w:webHidden/>
              </w:rPr>
              <w:fldChar w:fldCharType="begin"/>
            </w:r>
            <w:r>
              <w:rPr>
                <w:webHidden/>
              </w:rPr>
              <w:instrText xml:space="preserve">PAGEREF _Toc212201520 \h</w:instrText>
            </w:r>
            <w:r>
              <w:rPr>
                <w:webHidden/>
              </w:rPr>
              <w:fldChar w:fldCharType="separate"/>
            </w:r>
            <w:r>
              <w:rPr>
                <w:rStyle w:val="Sautdindex"/>
                <w:rFonts w:ascii="Arial" w:cs="Arial" w:hAnsi="Arial"/>
                <w:vanish w:val="false"/>
                <w:sz w:val="20"/>
                <w:szCs w:val="20"/>
              </w:rPr>
              <w:tab/>
              <w:t>8</w:t>
            </w:r>
            <w:r>
              <w:rPr>
                <w:webHidden/>
              </w:rPr>
              <w:fldChar w:fldCharType="end"/>
            </w:r>
          </w:hyperlink>
        </w:p>
        <w:p>
          <w:pPr>
            <w:pStyle w:val="TOC1"/>
            <w:tabs>
              <w:tab w:pos="708" w:val="clear"/>
              <w:tab w:leader="none" w:pos="1440" w:val="left"/>
              <w:tab w:leader="dot" w:pos="9062" w:val="right"/>
            </w:tabs>
            <w:ind w:left="284"/>
            <w:rPr>
              <w:rFonts w:ascii="Arial" w:cs="Arial" w:eastAsia="" w:eastAsiaTheme="minorEastAsia" w:hAnsi="Arial"/>
              <w:kern w:val="2"/>
              <w:sz w:val="20"/>
              <w:szCs w:val="20"/>
              <w:lang w:eastAsia="fr-FR"/>
              <w14:ligatures w14:val="standardContextual"/>
            </w:rPr>
          </w:pPr>
          <w:hyperlink w:anchor="_Toc212201521">
            <w:r>
              <w:rPr>
                <w:webHidden/>
                <w:rStyle w:val="Sautdindex"/>
                <w:rFonts w:ascii="Arial" w:cs="Arial" w:hAnsi="Arial"/>
                <w:color w:val="auto"/>
                <w:sz w:val="20"/>
                <w:szCs w:val="20"/>
              </w:rPr>
              <w:t>Article 5.2.</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Révision de l’accord</w:t>
            </w:r>
            <w:r>
              <w:rPr>
                <w:webHidden/>
              </w:rPr>
              <w:fldChar w:fldCharType="begin"/>
            </w:r>
            <w:r>
              <w:rPr>
                <w:webHidden/>
              </w:rPr>
              <w:instrText xml:space="preserve">PAGEREF _Toc212201521 \h</w:instrText>
            </w:r>
            <w:r>
              <w:rPr>
                <w:webHidden/>
              </w:rPr>
              <w:fldChar w:fldCharType="separate"/>
            </w:r>
            <w:r>
              <w:rPr>
                <w:rStyle w:val="Sautdindex"/>
                <w:rFonts w:ascii="Arial" w:cs="Arial" w:hAnsi="Arial"/>
                <w:vanish w:val="false"/>
                <w:sz w:val="20"/>
                <w:szCs w:val="20"/>
              </w:rPr>
              <w:tab/>
              <w:t>8</w:t>
            </w:r>
            <w:r>
              <w:rPr>
                <w:webHidden/>
              </w:rPr>
              <w:fldChar w:fldCharType="end"/>
            </w:r>
          </w:hyperlink>
        </w:p>
        <w:p>
          <w:pPr>
            <w:pStyle w:val="TOC1"/>
            <w:tabs>
              <w:tab w:pos="708" w:val="clear"/>
              <w:tab w:leader="none" w:pos="1440" w:val="left"/>
              <w:tab w:leader="dot" w:pos="9062" w:val="right"/>
            </w:tabs>
            <w:ind w:left="284"/>
            <w:rPr>
              <w:rFonts w:ascii="Arial" w:cs="Arial" w:eastAsia="" w:eastAsiaTheme="minorEastAsia" w:hAnsi="Arial"/>
              <w:kern w:val="2"/>
              <w:sz w:val="20"/>
              <w:szCs w:val="20"/>
              <w:lang w:eastAsia="fr-FR"/>
              <w14:ligatures w14:val="standardContextual"/>
            </w:rPr>
          </w:pPr>
          <w:hyperlink w:anchor="_Toc212201522">
            <w:r>
              <w:rPr>
                <w:webHidden/>
                <w:rStyle w:val="Sautdindex"/>
                <w:rFonts w:ascii="Arial" w:cs="Arial" w:hAnsi="Arial"/>
                <w:color w:val="auto"/>
                <w:sz w:val="20"/>
                <w:szCs w:val="20"/>
              </w:rPr>
              <w:t>Article 5.3.</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Dénonciation de l’accord</w:t>
            </w:r>
            <w:r>
              <w:rPr>
                <w:webHidden/>
              </w:rPr>
              <w:fldChar w:fldCharType="begin"/>
            </w:r>
            <w:r>
              <w:rPr>
                <w:webHidden/>
              </w:rPr>
              <w:instrText xml:space="preserve">PAGEREF _Toc212201522 \h</w:instrText>
            </w:r>
            <w:r>
              <w:rPr>
                <w:webHidden/>
              </w:rPr>
              <w:fldChar w:fldCharType="separate"/>
            </w:r>
            <w:r>
              <w:rPr>
                <w:rStyle w:val="Sautdindex"/>
                <w:rFonts w:ascii="Arial" w:cs="Arial" w:hAnsi="Arial"/>
                <w:vanish w:val="false"/>
                <w:sz w:val="20"/>
                <w:szCs w:val="20"/>
              </w:rPr>
              <w:tab/>
              <w:t>8</w:t>
            </w:r>
            <w:r>
              <w:rPr>
                <w:webHidden/>
              </w:rPr>
              <w:fldChar w:fldCharType="end"/>
            </w:r>
          </w:hyperlink>
        </w:p>
        <w:p>
          <w:pPr>
            <w:pStyle w:val="TOC1"/>
            <w:tabs>
              <w:tab w:pos="708" w:val="clear"/>
              <w:tab w:leader="none" w:pos="1440" w:val="left"/>
              <w:tab w:leader="dot" w:pos="9062" w:val="right"/>
            </w:tabs>
            <w:ind w:left="284"/>
            <w:rPr>
              <w:rFonts w:ascii="Arial" w:cs="Arial" w:eastAsia="" w:eastAsiaTheme="minorEastAsia" w:hAnsi="Arial"/>
              <w:kern w:val="2"/>
              <w:sz w:val="20"/>
              <w:szCs w:val="20"/>
              <w:lang w:eastAsia="fr-FR"/>
              <w14:ligatures w14:val="standardContextual"/>
            </w:rPr>
          </w:pPr>
          <w:hyperlink w:anchor="_Toc212201523">
            <w:r>
              <w:rPr>
                <w:webHidden/>
                <w:rStyle w:val="Sautdindex"/>
                <w:rFonts w:ascii="Arial" w:cs="Arial" w:hAnsi="Arial"/>
                <w:color w:val="auto"/>
                <w:sz w:val="20"/>
                <w:szCs w:val="20"/>
              </w:rPr>
              <w:t>Article 5.4.</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Modalités de prise en compte des demandes relatives aux thèmes de négociation</w:t>
            </w:r>
            <w:r>
              <w:rPr>
                <w:webHidden/>
              </w:rPr>
              <w:fldChar w:fldCharType="begin"/>
            </w:r>
            <w:r>
              <w:rPr>
                <w:webHidden/>
              </w:rPr>
              <w:instrText xml:space="preserve">PAGEREF _Toc212201523 \h</w:instrText>
            </w:r>
            <w:r>
              <w:rPr>
                <w:webHidden/>
              </w:rPr>
              <w:fldChar w:fldCharType="separate"/>
            </w:r>
            <w:r>
              <w:rPr>
                <w:rStyle w:val="Sautdindex"/>
                <w:rFonts w:ascii="Arial" w:cs="Arial" w:hAnsi="Arial"/>
                <w:vanish w:val="false"/>
                <w:sz w:val="20"/>
                <w:szCs w:val="20"/>
              </w:rPr>
              <w:tab/>
              <w:t>9</w:t>
            </w:r>
            <w:r>
              <w:rPr>
                <w:webHidden/>
              </w:rPr>
              <w:fldChar w:fldCharType="end"/>
            </w:r>
          </w:hyperlink>
        </w:p>
        <w:p>
          <w:pPr>
            <w:pStyle w:val="TOC1"/>
            <w:tabs>
              <w:tab w:pos="708" w:val="clear"/>
              <w:tab w:leader="none" w:pos="1440" w:val="left"/>
              <w:tab w:leader="dot" w:pos="9062" w:val="right"/>
            </w:tabs>
            <w:ind w:left="284"/>
            <w:rPr>
              <w:rFonts w:ascii="Arial" w:cs="Arial" w:eastAsia="" w:eastAsiaTheme="minorEastAsia" w:hAnsi="Arial"/>
              <w:kern w:val="2"/>
              <w:sz w:val="20"/>
              <w:szCs w:val="20"/>
              <w:lang w:eastAsia="fr-FR"/>
              <w14:ligatures w14:val="standardContextual"/>
            </w:rPr>
          </w:pPr>
          <w:hyperlink w:anchor="_Toc212201524">
            <w:r>
              <w:rPr>
                <w:webHidden/>
                <w:rStyle w:val="Sautdindex"/>
                <w:rFonts w:ascii="Arial" w:cs="Arial" w:hAnsi="Arial"/>
                <w:color w:val="auto"/>
                <w:sz w:val="20"/>
                <w:szCs w:val="20"/>
              </w:rPr>
              <w:t>Article 5.5.</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Interprétation de l’accord</w:t>
            </w:r>
            <w:r>
              <w:rPr>
                <w:webHidden/>
              </w:rPr>
              <w:fldChar w:fldCharType="begin"/>
            </w:r>
            <w:r>
              <w:rPr>
                <w:webHidden/>
              </w:rPr>
              <w:instrText xml:space="preserve">PAGEREF _Toc212201524 \h</w:instrText>
            </w:r>
            <w:r>
              <w:rPr>
                <w:webHidden/>
              </w:rPr>
              <w:fldChar w:fldCharType="separate"/>
            </w:r>
            <w:r>
              <w:rPr>
                <w:rStyle w:val="Sautdindex"/>
                <w:rFonts w:ascii="Arial" w:cs="Arial" w:hAnsi="Arial"/>
                <w:vanish w:val="false"/>
                <w:sz w:val="20"/>
                <w:szCs w:val="20"/>
              </w:rPr>
              <w:tab/>
              <w:t>9</w:t>
            </w:r>
            <w:r>
              <w:rPr>
                <w:webHidden/>
              </w:rPr>
              <w:fldChar w:fldCharType="end"/>
            </w:r>
          </w:hyperlink>
        </w:p>
        <w:p>
          <w:pPr>
            <w:pStyle w:val="TOC1"/>
            <w:tabs>
              <w:tab w:pos="708" w:val="clear"/>
              <w:tab w:leader="none" w:pos="1440" w:val="left"/>
              <w:tab w:leader="dot" w:pos="9062" w:val="right"/>
            </w:tabs>
            <w:ind w:left="284"/>
            <w:rPr>
              <w:rFonts w:ascii="Arial" w:cs="Arial" w:eastAsia="" w:eastAsiaTheme="minorEastAsia" w:hAnsi="Arial"/>
              <w:kern w:val="2"/>
              <w:sz w:val="20"/>
              <w:szCs w:val="20"/>
              <w:lang w:eastAsia="fr-FR"/>
              <w14:ligatures w14:val="standardContextual"/>
            </w:rPr>
          </w:pPr>
          <w:hyperlink w:anchor="_Toc212201525">
            <w:r>
              <w:rPr>
                <w:webHidden/>
                <w:rStyle w:val="Sautdindex"/>
                <w:rFonts w:ascii="Arial" w:cs="Arial" w:hAnsi="Arial"/>
                <w:color w:val="auto"/>
                <w:sz w:val="20"/>
                <w:szCs w:val="20"/>
              </w:rPr>
              <w:t>Article 5.6.</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Suivi de l’accord</w:t>
            </w:r>
            <w:r>
              <w:rPr>
                <w:webHidden/>
              </w:rPr>
              <w:fldChar w:fldCharType="begin"/>
            </w:r>
            <w:r>
              <w:rPr>
                <w:webHidden/>
              </w:rPr>
              <w:instrText xml:space="preserve">PAGEREF _Toc212201525 \h</w:instrText>
            </w:r>
            <w:r>
              <w:rPr>
                <w:webHidden/>
              </w:rPr>
              <w:fldChar w:fldCharType="separate"/>
            </w:r>
            <w:r>
              <w:rPr>
                <w:rStyle w:val="Sautdindex"/>
                <w:rFonts w:ascii="Arial" w:cs="Arial" w:hAnsi="Arial"/>
                <w:vanish w:val="false"/>
                <w:sz w:val="20"/>
                <w:szCs w:val="20"/>
              </w:rPr>
              <w:tab/>
              <w:t>9</w:t>
            </w:r>
            <w:r>
              <w:rPr>
                <w:webHidden/>
              </w:rPr>
              <w:fldChar w:fldCharType="end"/>
            </w:r>
          </w:hyperlink>
        </w:p>
        <w:p>
          <w:pPr>
            <w:pStyle w:val="TOC1"/>
            <w:tabs>
              <w:tab w:pos="708" w:val="clear"/>
              <w:tab w:leader="none" w:pos="1440" w:val="left"/>
              <w:tab w:leader="dot" w:pos="9062" w:val="right"/>
            </w:tabs>
            <w:ind w:left="284"/>
            <w:rPr/>
          </w:pPr>
          <w:hyperlink w:anchor="_Toc212201526">
            <w:r>
              <w:rPr>
                <w:webHidden/>
                <w:rStyle w:val="Sautdindex"/>
                <w:rFonts w:ascii="Arial" w:cs="Arial" w:hAnsi="Arial"/>
                <w:color w:val="auto"/>
                <w:sz w:val="20"/>
                <w:szCs w:val="20"/>
              </w:rPr>
              <w:t>Article 5.7.</w:t>
            </w:r>
            <w:r>
              <w:rPr>
                <w:rStyle w:val="Sautdindex"/>
                <w:rFonts w:ascii="Arial" w:cs="Arial" w:eastAsia="" w:eastAsiaTheme="minorEastAsia" w:hAnsi="Arial"/>
                <w:kern w:val="2"/>
                <w:sz w:val="20"/>
                <w:szCs w:val="20"/>
                <w:lang w:eastAsia="fr-FR"/>
                <w14:ligatures w14:val="standardContextual"/>
              </w:rPr>
              <w:tab/>
            </w:r>
            <w:r>
              <w:rPr>
                <w:rStyle w:val="Sautdindex"/>
                <w:rFonts w:ascii="Arial" w:cs="Arial" w:hAnsi="Arial"/>
                <w:color w:val="auto"/>
                <w:sz w:val="20"/>
                <w:szCs w:val="20"/>
              </w:rPr>
              <w:t>Prise d’effet et formalités : publicité et dépôt</w:t>
            </w:r>
            <w:r>
              <w:rPr>
                <w:webHidden/>
              </w:rPr>
              <w:fldChar w:fldCharType="begin"/>
            </w:r>
            <w:r>
              <w:rPr>
                <w:webHidden/>
              </w:rPr>
              <w:instrText xml:space="preserve">PAGEREF _Toc212201526 \h</w:instrText>
            </w:r>
            <w:r>
              <w:rPr>
                <w:webHidden/>
              </w:rPr>
              <w:fldChar w:fldCharType="separate"/>
            </w:r>
            <w:r>
              <w:rPr>
                <w:rStyle w:val="Sautdindex"/>
                <w:rFonts w:ascii="Arial" w:cs="Arial" w:hAnsi="Arial"/>
                <w:vanish w:val="false"/>
                <w:sz w:val="20"/>
                <w:szCs w:val="20"/>
              </w:rPr>
              <w:tab/>
              <w:t>9</w:t>
            </w:r>
            <w:r>
              <w:rPr>
                <w:webHidden/>
              </w:rPr>
              <w:fldChar w:fldCharType="end"/>
            </w:r>
          </w:hyperlink>
        </w:p>
        <w:p>
          <w:pPr>
            <w:pStyle w:val="TOC1"/>
            <w:tabs>
              <w:tab w:pos="708" w:val="clear"/>
              <w:tab w:leader="none" w:pos="1440" w:val="left"/>
              <w:tab w:leader="dot" w:pos="9062" w:val="right"/>
            </w:tabs>
            <w:rPr>
              <w:rFonts w:ascii="Arial" w:cs="Arial" w:hAnsi="Arial"/>
              <w:sz w:val="20"/>
              <w:szCs w:val="20"/>
            </w:rPr>
          </w:pPr>
          <w:r>
            <w:rPr>
              <w:rFonts w:ascii="Arial" w:cs="Arial" w:hAnsi="Arial"/>
              <w:sz w:val="20"/>
              <w:szCs w:val="20"/>
            </w:rPr>
            <w:t>ANNEXE 1 - NOTE D’INFORMATION AU PERSONNEL………………………………………………….11</w:t>
          </w:r>
          <w:r>
            <w:rPr>
              <w:sz w:val="20"/>
              <w:szCs w:val="20"/>
              <w:rFonts w:ascii="Arial" w:cs="Arial" w:hAnsi="Arial"/>
            </w:rPr>
            <w:fldChar w:fldCharType="end"/>
          </w:r>
        </w:p>
      </w:sdtContent>
    </w:sdt>
    <w:p>
      <w:pPr>
        <w:pStyle w:val="Normal"/>
        <w:rPr>
          <w:rFonts w:ascii="Arial" w:cs="Arial" w:hAnsi="Arial"/>
          <w:sz w:val="20"/>
          <w:szCs w:val="20"/>
        </w:rPr>
      </w:pPr>
      <w:r>
        <w:rPr>
          <w:rFonts w:ascii="Arial" w:cs="Arial" w:hAnsi="Arial"/>
          <w:sz w:val="20"/>
          <w:szCs w:val="20"/>
        </w:rPr>
      </w:r>
    </w:p>
    <w:p>
      <w:pPr>
        <w:pStyle w:val="BodyText"/>
        <w:spacing w:after="0" w:before="120" w:line="240" w:lineRule="auto"/>
        <w:jc w:val="both"/>
        <w:rPr>
          <w:rFonts w:ascii="Arial" w:cs="Arial" w:hAnsi="Arial"/>
          <w:b/>
          <w:szCs w:val="22"/>
          <w:u w:val="single"/>
          <w:lang w:val="fr-FR"/>
        </w:rPr>
      </w:pPr>
      <w:r>
        <w:rPr>
          <w:rFonts w:ascii="Arial" w:cs="Arial" w:hAnsi="Arial"/>
          <w:b/>
          <w:szCs w:val="22"/>
          <w:u w:val="single"/>
          <w:lang w:val="fr-FR"/>
        </w:rPr>
      </w:r>
    </w:p>
    <w:p>
      <w:pPr>
        <w:pStyle w:val="Normal"/>
        <w:rPr>
          <w:rFonts w:ascii="Arial" w:cs="Arial" w:eastAsia="Times New Roman" w:hAnsi="Arial"/>
          <w:b/>
          <w:sz w:val="24"/>
        </w:rPr>
      </w:pPr>
      <w:r>
        <w:rPr>
          <w:rFonts w:ascii="Arial" w:cs="Arial" w:eastAsia="Times New Roman" w:hAnsi="Arial"/>
          <w:b/>
          <w:sz w:val="24"/>
        </w:rPr>
      </w:r>
      <w:r>
        <w:br w:type="page"/>
      </w:r>
    </w:p>
    <w:p>
      <w:pPr>
        <w:pStyle w:val="Heading1"/>
        <w:numPr>
          <w:ilvl w:val="0"/>
          <w:numId w:val="0"/>
        </w:numPr>
        <w:spacing w:after="0" w:before="0"/>
        <w:ind w:hanging="0" w:left="360"/>
        <w:rPr/>
      </w:pPr>
      <w:bookmarkStart w:id="3" w:name="_Toc212201500"/>
      <w:r>
        <w:rPr/>
        <w:t>PREAMBULE</w:t>
      </w:r>
      <w:bookmarkEnd w:id="3"/>
    </w:p>
    <w:p>
      <w:pPr>
        <w:pStyle w:val="Default"/>
        <w:spacing w:after="0" w:before="120"/>
        <w:jc w:val="both"/>
        <w:rPr>
          <w:rFonts w:ascii="Arial" w:cs="Arial" w:hAnsi="Arial"/>
          <w:sz w:val="22"/>
          <w:szCs w:val="22"/>
        </w:rPr>
      </w:pPr>
      <w:r>
        <w:rPr>
          <w:rFonts w:ascii="Arial" w:cs="Arial" w:hAnsi="Arial"/>
          <w:sz w:val="22"/>
          <w:szCs w:val="22"/>
        </w:rPr>
        <w:t>L’activité de la société CORNU TERRASSEMENT étant des travaux publics, elle est soumise à une variabilité de sa charge de travail nécessitant une souplesse dans l’organisation du temps de travail et dans le recours aux heures supplémentaires.</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Il a donc été envisagé de négocier sur ce point. </w:t>
      </w:r>
    </w:p>
    <w:p>
      <w:pPr>
        <w:pStyle w:val="BodyText"/>
        <w:spacing w:after="0" w:before="120" w:line="240" w:lineRule="auto"/>
        <w:jc w:val="both"/>
        <w:rPr>
          <w:rFonts w:ascii="Arial" w:cs="Arial" w:hAnsi="Arial"/>
          <w:szCs w:val="22"/>
          <w:lang w:val="fr-FR"/>
        </w:rPr>
      </w:pPr>
      <w:r>
        <w:rPr>
          <w:rFonts w:ascii="Arial" w:cs="Arial" w:hAnsi="Arial"/>
          <w:szCs w:val="22"/>
          <w:lang w:val="fr-FR"/>
        </w:rPr>
        <w:t>Les parties au présent accord ont en effet constaté que les dispositions en vigueur au sein de la société devaient être revues et adaptées pour tenir compte de l’organisation du travail au sein de la société ainsi que des attentes des salariés.</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Les réalités économiques, les évolutions législatives et les contraintes propres à la société </w:t>
      </w:r>
      <w:r>
        <w:rPr>
          <w:rFonts w:ascii="Arial" w:cs="Arial" w:hAnsi="Arial"/>
          <w:szCs w:val="22"/>
        </w:rPr>
        <w:t>CORNU TERRASSEMENT,</w:t>
      </w:r>
      <w:r>
        <w:rPr>
          <w:rFonts w:ascii="Arial" w:cs="Arial" w:hAnsi="Arial"/>
          <w:szCs w:val="22"/>
          <w:lang w:val="fr-FR"/>
        </w:rPr>
        <w:t xml:space="preserve"> l’ont ainsi conduite à soumettre aux salariés un projet d’accord, afin d’adapter le contingent annuel d’heures supplémentaires aux contraintes et besoins de son activité, tout en reconnaissant la nécessité de prendre en compte les impératifs de sécurité, de la santé et de la vie sociale et familiale des salariés.</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Pour rappel, le contingent d’heures supplémentaires est une limite annuelle au-delà de laquelle le salarié concerné bénéficie, de droit, d’un repos. </w:t>
      </w:r>
    </w:p>
    <w:p>
      <w:pPr>
        <w:pStyle w:val="BodyText"/>
        <w:spacing w:after="0" w:before="120" w:line="240" w:lineRule="auto"/>
        <w:jc w:val="both"/>
        <w:rPr>
          <w:rFonts w:ascii="Arial" w:cs="Arial" w:hAnsi="Arial"/>
          <w:szCs w:val="22"/>
          <w:lang w:val="fr-FR"/>
        </w:rPr>
      </w:pPr>
      <w:r>
        <w:rPr>
          <w:rFonts w:ascii="Arial" w:cs="Arial" w:hAnsi="Arial"/>
          <w:szCs w:val="22"/>
          <w:lang w:val="fr-FR"/>
        </w:rPr>
        <w:t>À ce titre, l’employeur rappelle que les dispositions conventionnelles en vigueur dans la branche prévoient un contingent d’heures supplémentaires de 145 heures, par an et par salarié. Il est augmenté de 35 heures par an et par salarié pour les salariés dont l'horaire n'est pas annualisé.</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Il est également rappelé qu’à défaut d’accord collectif, le contingent légal en vigueur est fixé à 220 heures par an et par salarié (article D. 3121-24 du Code du travail). </w:t>
      </w:r>
    </w:p>
    <w:p>
      <w:pPr>
        <w:pStyle w:val="BodyText"/>
        <w:spacing w:after="0" w:before="120" w:line="240" w:lineRule="auto"/>
        <w:jc w:val="both"/>
        <w:rPr>
          <w:rFonts w:ascii="Arial" w:cs="Arial" w:hAnsi="Arial"/>
          <w:szCs w:val="22"/>
          <w:lang w:val="fr-FR"/>
        </w:rPr>
      </w:pPr>
      <w:r>
        <w:rPr>
          <w:rFonts w:ascii="Arial" w:cs="Arial" w:hAnsi="Arial"/>
          <w:szCs w:val="22"/>
          <w:lang w:val="fr-FR"/>
        </w:rPr>
        <w:t>Le nombre d’heures incluses dans le contingent conventionnel se révèle être inadapté aux besoins de l’activité de la société, alors même que ses salariés sont volontaires pour travailler au-delà du contingent actuel.</w:t>
      </w:r>
    </w:p>
    <w:p>
      <w:pPr>
        <w:pStyle w:val="BodyText"/>
        <w:spacing w:after="0" w:before="120" w:line="240" w:lineRule="auto"/>
        <w:jc w:val="both"/>
        <w:rPr>
          <w:rFonts w:ascii="Arial" w:cs="Arial" w:hAnsi="Arial"/>
          <w:szCs w:val="22"/>
          <w:lang w:val="fr-FR"/>
        </w:rPr>
      </w:pPr>
      <w:r>
        <w:rPr>
          <w:rFonts w:ascii="Arial" w:cs="Arial" w:hAnsi="Arial"/>
          <w:szCs w:val="22"/>
          <w:lang w:val="fr-FR"/>
        </w:rPr>
        <w:t>C’est en l’état de ces considérations, compte tenu de la nécessité de faciliter et de sécuriser le recours aux heures supplémentaires, que l’employeur a proposé d’adopter un contingent d’heures supplémentaires supérieur à celui prévu à ce jour par les dispositions conventionnelles en vigueur.</w:t>
      </w:r>
    </w:p>
    <w:p>
      <w:pPr>
        <w:pStyle w:val="BodyText"/>
        <w:spacing w:after="0" w:before="120" w:line="240" w:lineRule="auto"/>
        <w:jc w:val="both"/>
        <w:rPr>
          <w:rFonts w:ascii="Arial" w:cs="Arial" w:hAnsi="Arial"/>
          <w:szCs w:val="22"/>
          <w:lang w:val="fr-FR"/>
        </w:rPr>
      </w:pPr>
      <w:r>
        <w:rPr>
          <w:rFonts w:ascii="Arial" w:cs="Arial" w:hAnsi="Arial"/>
          <w:szCs w:val="22"/>
          <w:lang w:val="fr-FR"/>
        </w:rPr>
        <w:t>Au-delà de l’augmentation du contingent annuel d’heures supplémentaires, le présent accord a pour objet de fixer les modalités de dépassement éventuel du contingent d’heures supplémentaires et de prise des contreparties en repos afférentes.</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Le présent accord est donc conclu en application des articles L. 3121-33 et L. 2253-3 du Code du travail. </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Consciente de l’intérêt que peut représenter un tel accord, </w:t>
      </w:r>
      <w:r>
        <w:rPr>
          <w:rFonts w:ascii="Arial" w:cs="Arial" w:hAnsi="Arial"/>
          <w:iCs/>
          <w:szCs w:val="22"/>
          <w:lang w:val="fr-FR"/>
        </w:rPr>
        <w:t>la société</w:t>
      </w:r>
      <w:r>
        <w:rPr>
          <w:rFonts w:ascii="Arial" w:cs="Arial" w:hAnsi="Arial"/>
          <w:szCs w:val="22"/>
          <w:lang w:val="fr-FR"/>
        </w:rPr>
        <w:t xml:space="preserve"> a engagé des négociations.</w:t>
      </w:r>
    </w:p>
    <w:p>
      <w:pPr>
        <w:pStyle w:val="BodyText"/>
        <w:spacing w:after="0" w:before="120" w:line="240" w:lineRule="auto"/>
        <w:jc w:val="both"/>
        <w:rPr>
          <w:rFonts w:ascii="Arial" w:cs="Arial" w:hAnsi="Arial"/>
          <w:color w:val="FF0000"/>
          <w:lang w:val="fr-FR"/>
        </w:rPr>
      </w:pPr>
      <w:r>
        <w:rPr>
          <w:rFonts w:ascii="Arial" w:cs="Arial" w:hAnsi="Arial"/>
          <w:lang w:val="fr-FR"/>
        </w:rPr>
        <w:t>En raison de l’effectif de moins de 20 salariés (ETP) et suite à la carence de représentants du personnel aux dernières élections du 9 juin 2023, la société a décidé de proposer directement aux salariés un projet d’accord sur le contingent annuel d’heures supplémentaires.</w:t>
      </w:r>
    </w:p>
    <w:p>
      <w:pPr>
        <w:pStyle w:val="BodyText"/>
        <w:spacing w:after="0" w:before="120" w:line="240" w:lineRule="auto"/>
        <w:jc w:val="both"/>
        <w:rPr>
          <w:rFonts w:ascii="Arial" w:cs="Arial" w:hAnsi="Arial"/>
          <w:szCs w:val="22"/>
          <w:lang w:val="fr-FR"/>
        </w:rPr>
      </w:pPr>
      <w:r>
        <w:rPr>
          <w:rFonts w:ascii="Arial" w:cs="Arial" w:hAnsi="Arial"/>
          <w:szCs w:val="22"/>
          <w:lang w:val="fr-FR"/>
        </w:rPr>
        <w:t>L’opposabilité et la validité de cet accord d’entreprise sont soumises à l’approbation par les salariés à la majorité des 2/3 du personnel.</w:t>
      </w:r>
    </w:p>
    <w:p>
      <w:pPr>
        <w:pStyle w:val="BodyText"/>
        <w:spacing w:after="0" w:before="120" w:line="240" w:lineRule="auto"/>
        <w:jc w:val="both"/>
        <w:rPr>
          <w:rFonts w:ascii="Arial" w:cs="Arial" w:hAnsi="Arial"/>
          <w:lang w:val="fr-FR"/>
        </w:rPr>
      </w:pPr>
      <w:r>
        <w:rPr>
          <w:rFonts w:ascii="Arial" w:cs="Arial" w:hAnsi="Arial"/>
          <w:lang w:val="fr-FR"/>
        </w:rPr>
        <w:t>Le projet d’accord a été communiqué à chaque salariés de la société le 2 décembre 2025. Une consultation de l’ensemble du personnel a été organisée le 19 décembre 2025, à l’issue de laquelle le projet d’accord a été adopté.</w:t>
      </w:r>
    </w:p>
    <w:p>
      <w:pPr>
        <w:pStyle w:val="Normal"/>
        <w:rPr>
          <w:rFonts w:ascii="Arial" w:cs="Arial" w:eastAsia="Times New Roman" w:hAnsi="Arial"/>
          <w:b/>
        </w:rPr>
      </w:pPr>
      <w:r>
        <w:rPr>
          <w:rFonts w:ascii="Arial" w:cs="Arial" w:eastAsia="Times New Roman" w:hAnsi="Arial"/>
          <w:b/>
        </w:rPr>
      </w:r>
    </w:p>
    <w:p>
      <w:pPr>
        <w:pStyle w:val="BodyText"/>
        <w:spacing w:after="0" w:before="120" w:line="240" w:lineRule="auto"/>
        <w:jc w:val="both"/>
        <w:rPr>
          <w:rFonts w:ascii="Arial" w:cs="Arial" w:hAnsi="Arial"/>
          <w:b/>
          <w:szCs w:val="22"/>
          <w:u w:val="single"/>
          <w:lang w:val="fr-FR"/>
        </w:rPr>
      </w:pPr>
      <w:r>
        <w:rPr>
          <w:rFonts w:ascii="Arial" w:cs="Arial" w:hAnsi="Arial"/>
          <w:b/>
          <w:szCs w:val="22"/>
          <w:u w:val="single"/>
          <w:lang w:val="fr-FR"/>
        </w:rPr>
        <w:t>Il EST CONVENU ENTRE LES PARTIES CE QUI SUIT :</w:t>
      </w:r>
    </w:p>
    <w:p>
      <w:pPr>
        <w:pStyle w:val="Normal"/>
        <w:rPr>
          <w:rFonts w:ascii="Arial" w:cs="Arial" w:eastAsia="Times New Roman" w:hAnsi="Arial"/>
          <w:b/>
          <w:u w:val="single"/>
        </w:rPr>
      </w:pPr>
      <w:r>
        <w:rPr>
          <w:rFonts w:ascii="Arial" w:cs="Arial" w:eastAsia="Times New Roman" w:hAnsi="Arial"/>
          <w:b/>
          <w:u w:val="single"/>
        </w:rPr>
      </w:r>
      <w:r>
        <w:br w:type="page"/>
      </w:r>
    </w:p>
    <w:p>
      <w:pPr>
        <w:pStyle w:val="Heading1"/>
        <w:numPr>
          <w:ilvl w:val="0"/>
          <w:numId w:val="4"/>
        </w:numPr>
        <w:spacing w:after="0" w:before="0"/>
        <w:rPr/>
      </w:pPr>
      <w:bookmarkStart w:id="4" w:name="_Toc212201501"/>
      <w:r>
        <w:rPr/>
        <w:t>OBJET</w:t>
      </w:r>
      <w:bookmarkEnd w:id="4"/>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 présent accord a pour objet d’augmenter le contingent annuel d’heures supplémentaires, de fixer les modalités de dépassement éventuel de celui-ci et de prise des contreparties en repos afférentes.</w:t>
      </w:r>
    </w:p>
    <w:p>
      <w:pPr>
        <w:pStyle w:val="Heading1"/>
        <w:numPr>
          <w:ilvl w:val="0"/>
          <w:numId w:val="4"/>
        </w:numPr>
        <w:rPr/>
      </w:pPr>
      <w:bookmarkStart w:id="5" w:name="_Toc212201502"/>
      <w:r>
        <w:rPr/>
        <w:t>CHAMPS D’APPLICATION</w:t>
      </w:r>
      <w:bookmarkEnd w:id="5"/>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r>
    </w:p>
    <w:p>
      <w:pPr>
        <w:pStyle w:val="Heading2"/>
        <w:numPr>
          <w:ilvl w:val="1"/>
          <w:numId w:val="5"/>
        </w:numPr>
        <w:rPr/>
      </w:pPr>
      <w:bookmarkStart w:id="6" w:name="_Toc212201503"/>
      <w:r>
        <w:rPr/>
        <w:t>Champ d’application territorial</w:t>
      </w:r>
      <w:bookmarkEnd w:id="6"/>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 présent accord sera applicable à l'ensemble des établissements de la SARL CORNU TERRASSEMENT dont le siège social est situé au 90 chemin de Pansard, 07300 Saint-Barthélémy-le-Plain.</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r>
    </w:p>
    <w:p>
      <w:pPr>
        <w:pStyle w:val="Heading2"/>
        <w:numPr>
          <w:ilvl w:val="1"/>
          <w:numId w:val="6"/>
        </w:numPr>
        <w:rPr/>
      </w:pPr>
      <w:bookmarkStart w:id="7" w:name="_Toc212201504"/>
      <w:r>
        <w:rPr/>
        <w:t>Champ d’application professionnel</w:t>
      </w:r>
      <w:bookmarkEnd w:id="7"/>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Le présent accord s’applique à l’ensemble des salariés de l’entreprise précitée qui exercent leur activité à temps complet et dont la durée du travail est décomptée en heures, quelle que soit la nature de leur contrat de travail. </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Sont donc notamment exclus les éventuels salariés en forfait jours et les salariés à temps partiel.</w:t>
      </w:r>
    </w:p>
    <w:p>
      <w:pPr>
        <w:pStyle w:val="Heading1"/>
        <w:numPr>
          <w:ilvl w:val="0"/>
          <w:numId w:val="4"/>
        </w:numPr>
        <w:rPr/>
      </w:pPr>
      <w:bookmarkStart w:id="8" w:name="_Toc212201505"/>
      <w:r>
        <w:rPr/>
        <w:t>CONTINGENT D’HEURES SUPPLEMENTAIRES</w:t>
      </w:r>
      <w:bookmarkEnd w:id="8"/>
    </w:p>
    <w:p>
      <w:pPr>
        <w:pStyle w:val="Normal"/>
        <w:rPr/>
      </w:pPr>
      <w:r>
        <w:rPr/>
      </w:r>
    </w:p>
    <w:p>
      <w:pPr>
        <w:pStyle w:val="Heading2"/>
        <w:numPr>
          <w:ilvl w:val="1"/>
          <w:numId w:val="7"/>
        </w:numPr>
        <w:rPr/>
      </w:pPr>
      <w:bookmarkStart w:id="9" w:name="_Toc212201506"/>
      <w:r>
        <w:rPr/>
        <w:t>Accomplissement d’heures supplémentaires</w:t>
      </w:r>
      <w:bookmarkEnd w:id="9"/>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Constituent des heures supplémentaires, les heures accomplies au-delà de la durée légale hebdomadaire.</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La durée légale hebdomadaire de travail effectif des salariés à temps complet étant fixée à 35 heures, les heures supplémentaires sont donc toutes les heures effectuées au-delà de 35 heures.</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 calcul des heures supplémentaires s'effectue par semaine, sauf en cas d'annualisation du temps de travail.</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En l'absence de stipulations contraires dans l’accord de branche, la semaine débute le lundi à 0 heure et se termine le dimanche à 24 heures.</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En outre, seules les heures supplémentaires effectuées au-delà de la durée collective et expressément demandées par l’employeur auront la nature d’heures supplémentaires. </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Les contreparties aux heures supplémentaires comprises dans le contingent seront déterminées conformément aux dispositions légales et conventionnelles en vigueur. </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Il est rappelé qu’au jour de la signature du présent accord, en l’absence de dispositions conventionnelles en la matière, les taux de majoration horaire des heures supplémentaires réalisées à l’intérieur du contingent sont fixés à :</w:t>
      </w:r>
    </w:p>
    <w:p>
      <w:pPr>
        <w:pStyle w:val="Default"/>
        <w:numPr>
          <w:ilvl w:val="0"/>
          <w:numId w:val="3"/>
        </w:numPr>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25 % pour les huit premières heures supplémentaires travaillées dans la même semaine (pour une durée légale du travail de 35h, de la 36</w:t>
      </w:r>
      <w:r>
        <w:rPr>
          <w:rFonts w:ascii="Arial" w:cs="Arial" w:eastAsia="Calibri" w:eastAsiaTheme="minorHAnsi" w:hAnsi="Arial"/>
          <w:color w:val="auto"/>
          <w:sz w:val="22"/>
          <w:szCs w:val="22"/>
          <w:vertAlign w:val="superscript"/>
          <w:lang w:eastAsia="en-US"/>
        </w:rPr>
        <w:t>ème</w:t>
      </w:r>
      <w:r>
        <w:rPr>
          <w:rFonts w:ascii="Arial" w:cs="Arial" w:eastAsia="Calibri" w:eastAsiaTheme="minorHAnsi" w:hAnsi="Arial"/>
          <w:color w:val="auto"/>
          <w:sz w:val="22"/>
          <w:szCs w:val="22"/>
          <w:lang w:eastAsia="en-US"/>
        </w:rPr>
        <w:t xml:space="preserve"> à la 43</w:t>
      </w:r>
      <w:r>
        <w:rPr>
          <w:rFonts w:ascii="Arial" w:cs="Arial" w:eastAsia="Calibri" w:eastAsiaTheme="minorHAnsi" w:hAnsi="Arial"/>
          <w:color w:val="auto"/>
          <w:sz w:val="22"/>
          <w:szCs w:val="22"/>
          <w:vertAlign w:val="superscript"/>
          <w:lang w:eastAsia="en-US"/>
        </w:rPr>
        <w:t>ème</w:t>
      </w:r>
      <w:r>
        <w:rPr>
          <w:rFonts w:ascii="Arial" w:cs="Arial" w:eastAsia="Calibri" w:eastAsiaTheme="minorHAnsi" w:hAnsi="Arial"/>
          <w:color w:val="auto"/>
          <w:sz w:val="22"/>
          <w:szCs w:val="22"/>
          <w:lang w:eastAsia="en-US"/>
        </w:rPr>
        <w:t xml:space="preserve"> heure) ;</w:t>
      </w:r>
    </w:p>
    <w:p>
      <w:pPr>
        <w:pStyle w:val="Default"/>
        <w:numPr>
          <w:ilvl w:val="0"/>
          <w:numId w:val="3"/>
        </w:numPr>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50 % pour les heures suivantes.</w:t>
      </w:r>
    </w:p>
    <w:p>
      <w:pPr>
        <w:pStyle w:val="Normal"/>
        <w:rPr>
          <w:rFonts w:ascii="Arial" w:cs="Arial" w:hAnsi="Arial"/>
        </w:rPr>
      </w:pPr>
      <w:r>
        <w:rPr>
          <w:rFonts w:ascii="Arial" w:cs="Arial" w:hAnsi="Arial"/>
        </w:rPr>
      </w:r>
      <w:r>
        <w:br w:type="page"/>
      </w:r>
    </w:p>
    <w:p>
      <w:pPr>
        <w:pStyle w:val="Default"/>
        <w:spacing w:after="0" w:before="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Les heures supplémentaires effectuées à l’intérieur du contingent ne donnent pas lieu à une contrepartie obligatoire en repos, à la différence des heures supplémentaires effectuées au-delà du contingent.</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Il est également rappelé que le recours aux heures supplémentaires ne peut en aucun cas avoir pour effet de porter les durées journalières et hebdomadaires de travail au-delà des limites maximales fixées par les dispositions légales et conventionnelles en vigueur. </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De la même manière, le recours aux heures supplémentaires ne doit pas conduire à écarter les règles relatives aux durées minimales de repos fixées par les dispositions légales et conventionnelles en vigueur. </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r>
    </w:p>
    <w:p>
      <w:pPr>
        <w:pStyle w:val="Heading2"/>
        <w:numPr>
          <w:ilvl w:val="1"/>
          <w:numId w:val="7"/>
        </w:numPr>
        <w:rPr/>
      </w:pPr>
      <w:bookmarkStart w:id="10" w:name="_Toc212201507"/>
      <w:r>
        <w:rPr/>
        <w:t>Contingent annuel d’heures supplémentaires</w:t>
      </w:r>
      <w:bookmarkEnd w:id="10"/>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 contingent annuel vise à instituer une limite au nombre des heures supplémentaires effectuées par an et par salarié. Au-delà de cette limite, le salarié doit bénéficier d’une contrepartie obligatoire en repos. Ainsi, le contingent annuel ne constitue pas une limite absolue puisqu'il peut être dépassé.</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Le volume du contingent annuel d'heures supplémentaires est fixé par accord collectif, ou à défaut, par décret. </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A titre informatif, dans la branche des Travaux publics, le contingent annuel d’heures supplémentaires conventionnel est fixé à</w:t>
      </w:r>
      <w:r>
        <w:rPr>
          <w:rFonts w:ascii="Arial" w:cs="Arial" w:eastAsia="Calibri" w:eastAsiaTheme="minorHAnsi" w:hAnsi="Arial"/>
          <w:iCs/>
          <w:color w:val="auto"/>
          <w:sz w:val="22"/>
          <w:szCs w:val="22"/>
          <w:lang w:eastAsia="en-US"/>
        </w:rPr>
        <w:t xml:space="preserve"> 145 heures par an et par salarié. En application des d</w:t>
      </w:r>
      <w:r>
        <w:rPr>
          <w:rFonts w:ascii="Arial" w:cs="Arial" w:eastAsia="Calibri" w:eastAsiaTheme="minorHAnsi" w:hAnsi="Arial"/>
          <w:color w:val="auto"/>
          <w:sz w:val="22"/>
          <w:szCs w:val="22"/>
          <w:lang w:eastAsia="en-US"/>
        </w:rPr>
        <w:t>ispositions conventionnelles en vigueur</w:t>
      </w:r>
      <w:r>
        <w:rPr>
          <w:rFonts w:ascii="Arial" w:cs="Arial" w:eastAsia="Calibri" w:eastAsiaTheme="minorHAnsi" w:hAnsi="Arial"/>
          <w:iCs/>
          <w:color w:val="auto"/>
          <w:sz w:val="22"/>
          <w:szCs w:val="22"/>
          <w:lang w:eastAsia="en-US"/>
        </w:rPr>
        <w:t>, ce contingent de 145 heures est augmenté de 35 heures par an et par salarié pour les salariés dont l'horaire n'est pas annualisé</w:t>
      </w:r>
      <w:r>
        <w:rPr>
          <w:rFonts w:ascii="Arial" w:cs="Arial" w:eastAsia="Calibri" w:eastAsiaTheme="minorHAnsi" w:hAnsi="Arial"/>
          <w:color w:val="auto"/>
          <w:sz w:val="22"/>
          <w:szCs w:val="22"/>
          <w:lang w:eastAsia="en-US"/>
        </w:rPr>
        <w:t>.</w:t>
      </w:r>
    </w:p>
    <w:p>
      <w:pPr>
        <w:pStyle w:val="Default"/>
        <w:spacing w:after="0" w:before="120"/>
        <w:jc w:val="both"/>
        <w:rPr>
          <w:rFonts w:ascii="Arial" w:cs="Arial" w:eastAsia="Calibri" w:eastAsiaTheme="minorHAnsi" w:hAnsi="Arial"/>
          <w:iCs/>
          <w:color w:val="auto"/>
          <w:sz w:val="22"/>
          <w:szCs w:val="22"/>
          <w:lang w:eastAsia="en-US"/>
        </w:rPr>
      </w:pPr>
      <w:r>
        <w:rPr>
          <w:rFonts w:ascii="Arial" w:cs="Arial" w:eastAsia="Calibri" w:eastAsiaTheme="minorHAnsi" w:hAnsi="Arial"/>
          <w:color w:val="auto"/>
          <w:sz w:val="22"/>
          <w:szCs w:val="22"/>
          <w:lang w:eastAsia="en-US"/>
        </w:rPr>
        <w:t>Le présent accord a pour objet d’augmenter le contingent annuel d’heures supplémentaires, et de le fixer ainsi à 350 heures par an et par salarié ; étant entendu que cette limite s’applique tant aux salariés dont la durée du travail est appréciée sur la semaine que sur une période supérieure à la semaine.</w:t>
      </w:r>
    </w:p>
    <w:p>
      <w:pPr>
        <w:pStyle w:val="Default"/>
        <w:spacing w:after="0" w:before="120"/>
        <w:jc w:val="both"/>
        <w:rPr>
          <w:rFonts w:ascii="Arial" w:cs="Arial" w:eastAsia="Calibri" w:eastAsiaTheme="minorHAnsi" w:hAnsi="Arial"/>
          <w:iCs/>
          <w:color w:val="auto"/>
          <w:sz w:val="22"/>
          <w:szCs w:val="22"/>
          <w:lang w:eastAsia="en-US"/>
        </w:rPr>
      </w:pPr>
      <w:r>
        <w:rPr>
          <w:rFonts w:ascii="Arial" w:cs="Arial" w:eastAsia="Calibri" w:eastAsiaTheme="minorHAnsi" w:hAnsi="Arial"/>
          <w:color w:val="auto"/>
          <w:sz w:val="22"/>
          <w:szCs w:val="22"/>
          <w:lang w:eastAsia="en-US"/>
        </w:rPr>
        <w:t>La période de référence pour calculer le contingent est l’année civile</w:t>
      </w:r>
      <w:r>
        <w:rPr>
          <w:rFonts w:ascii="Arial" w:cs="Arial" w:eastAsia="Calibri" w:eastAsiaTheme="minorHAnsi" w:hAnsi="Arial"/>
          <w:iCs/>
          <w:color w:val="auto"/>
          <w:sz w:val="22"/>
          <w:szCs w:val="22"/>
          <w:lang w:eastAsia="en-US"/>
        </w:rPr>
        <w:t>, soit du 1</w:t>
      </w:r>
      <w:r>
        <w:rPr>
          <w:rFonts w:ascii="Arial" w:cs="Arial" w:eastAsia="Calibri" w:eastAsiaTheme="minorHAnsi" w:hAnsi="Arial"/>
          <w:iCs/>
          <w:color w:val="auto"/>
          <w:sz w:val="22"/>
          <w:szCs w:val="22"/>
          <w:vertAlign w:val="superscript"/>
          <w:lang w:eastAsia="en-US"/>
        </w:rPr>
        <w:t>er</w:t>
      </w:r>
      <w:r>
        <w:rPr>
          <w:rFonts w:ascii="Arial" w:cs="Arial" w:eastAsia="Calibri" w:eastAsiaTheme="minorHAnsi" w:hAnsi="Arial"/>
          <w:iCs/>
          <w:color w:val="auto"/>
          <w:sz w:val="22"/>
          <w:szCs w:val="22"/>
          <w:lang w:eastAsia="en-US"/>
        </w:rPr>
        <w:t xml:space="preserve"> janvier N au </w:t>
      </w:r>
      <w:r>
        <w:rPr>
          <w:rFonts w:ascii="Arial" w:cs="Arial" w:eastAsia="Calibri" w:eastAsiaTheme="minorHAnsi" w:hAnsi="Arial"/>
          <w:color w:val="auto"/>
          <w:sz w:val="22"/>
          <w:szCs w:val="22"/>
          <w:lang w:eastAsia="en-US"/>
        </w:rPr>
        <w:t>31 décembre N de chaque année.</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 contingent d’heures supplémentaires déterminé ci-dessus ne sera pas proratisé pour les salariés entrés ou sortis en cours d’année, ainsi que pour les salariés en contrat à durée déterminée n’étant pas présents sur toute la période de référence.</w:t>
      </w:r>
    </w:p>
    <w:p>
      <w:pPr>
        <w:pStyle w:val="Default"/>
        <w:spacing w:after="0" w:before="120"/>
        <w:jc w:val="both"/>
        <w:rPr>
          <w:rFonts w:ascii="Arial" w:cs="Arial" w:eastAsia="Calibri" w:eastAsiaTheme="minorHAnsi" w:hAnsi="Arial"/>
          <w:color w:val="auto"/>
          <w:sz w:val="22"/>
          <w:szCs w:val="22"/>
          <w:highlight w:val="green"/>
          <w:lang w:eastAsia="en-US"/>
        </w:rPr>
      </w:pPr>
      <w:r>
        <w:rPr>
          <w:rFonts w:ascii="Arial" w:cs="Arial" w:eastAsia="Calibri" w:eastAsiaTheme="minorHAnsi" w:hAnsi="Arial"/>
          <w:color w:val="auto"/>
          <w:sz w:val="22"/>
          <w:szCs w:val="22"/>
          <w:lang w:eastAsia="en-US"/>
        </w:rPr>
        <w:t>En principe, les heures prises en compte pour le calcul du contingent sont celles accomplies au-delà de la durée légale du travail. Seules les heures de travail effectif ou assimilées sont prises en compte.</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 xml:space="preserve">A titre informatif, sans préjudice des évolutions futures, il est rappelé conformément aux dispositions légales en vigueur, que les heures suivantes ne sont pas imputées sur le contingent annuel : </w:t>
      </w:r>
    </w:p>
    <w:p>
      <w:pPr>
        <w:pStyle w:val="Default"/>
        <w:numPr>
          <w:ilvl w:val="0"/>
          <w:numId w:val="3"/>
        </w:numPr>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les heures supplémentaires effectuées dans le cadre de</w:t>
      </w:r>
      <w:r>
        <w:rPr>
          <w:rFonts w:ascii="Fira Sans" w:cs="" w:cstheme="minorBidi" w:eastAsia="Calibri" w:eastAsiaTheme="minorHAnsi" w:hAnsi="Fira Sans"/>
          <w:sz w:val="23"/>
          <w:szCs w:val="23"/>
          <w:shd w:fill="FFFFFF" w:val="clear"/>
          <w:lang w:eastAsia="en-US"/>
        </w:rPr>
        <w:t xml:space="preserve"> </w:t>
      </w:r>
      <w:r>
        <w:rPr>
          <w:rFonts w:ascii="Arial" w:cs="Arial" w:eastAsia="Calibri" w:eastAsiaTheme="minorHAnsi" w:hAnsi="Arial"/>
          <w:color w:val="auto"/>
          <w:sz w:val="22"/>
          <w:szCs w:val="22"/>
          <w:lang w:eastAsia="en-US"/>
        </w:rPr>
        <w:t>travaux urgents dont l'exécution immédiate est nécessaire pour organiser des mesures de sauvetage, prévenir des accidents imminents ou réparer des accidents survenus au matériel, aux installations ou aux bâtiments de l'établissement ;</w:t>
      </w:r>
    </w:p>
    <w:p>
      <w:pPr>
        <w:pStyle w:val="Default"/>
        <w:numPr>
          <w:ilvl w:val="0"/>
          <w:numId w:val="3"/>
        </w:numPr>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les heures supplémentaires ouvrant droit au repos compensateur de remplacement. A ce titre, seules les heures supplémentaires donnant lieu à une compensation intégrale sous forme de repos, portant à la fois sur le paiement de l'heure et sur sa majoration, sont non imputables ;</w:t>
      </w:r>
    </w:p>
    <w:p>
      <w:pPr>
        <w:pStyle w:val="Default"/>
        <w:numPr>
          <w:ilvl w:val="0"/>
          <w:numId w:val="3"/>
        </w:numPr>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les heures correspondant à la journée de solidarité dans la limite de 7 heures.</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t>Cette liste n’est pas</w:t>
      </w:r>
      <w:r>
        <w:rPr/>
        <w:t xml:space="preserve"> </w:t>
      </w:r>
      <w:r>
        <w:rPr>
          <w:rFonts w:ascii="Arial" w:cs="Arial" w:eastAsia="Calibri" w:eastAsiaTheme="minorHAnsi" w:hAnsi="Arial"/>
          <w:color w:val="auto"/>
          <w:sz w:val="22"/>
          <w:szCs w:val="22"/>
          <w:lang w:eastAsia="en-US"/>
        </w:rPr>
        <w:t>exhaustive.</w:t>
      </w:r>
    </w:p>
    <w:p>
      <w:pPr>
        <w:pStyle w:val="Normal"/>
        <w:rPr>
          <w:rFonts w:ascii="Arial" w:cs="Arial" w:hAnsi="Arial"/>
          <w:color w:themeColor="text2" w:themeTint="99" w:val="548DD4"/>
          <w:sz w:val="28"/>
          <w:szCs w:val="32"/>
        </w:rPr>
      </w:pPr>
      <w:r>
        <w:rPr>
          <w:rFonts w:ascii="Arial" w:cs="Arial" w:hAnsi="Arial"/>
          <w:color w:themeColor="text2" w:themeTint="99" w:val="548DD4"/>
          <w:sz w:val="28"/>
          <w:szCs w:val="32"/>
        </w:rPr>
      </w:r>
      <w:r>
        <w:br w:type="page"/>
      </w:r>
    </w:p>
    <w:p>
      <w:pPr>
        <w:pStyle w:val="Heading1"/>
        <w:numPr>
          <w:ilvl w:val="0"/>
          <w:numId w:val="4"/>
        </w:numPr>
        <w:spacing w:after="0" w:before="0"/>
        <w:rPr/>
      </w:pPr>
      <w:bookmarkStart w:id="11" w:name="_Toc212201508"/>
      <w:r>
        <w:rPr/>
        <w:t>CONTREPARTIE OBLIGATOIRE EN REPOS</w:t>
      </w:r>
      <w:bookmarkEnd w:id="11"/>
      <w:r>
        <w:rPr/>
        <w:t xml:space="preserve"> </w:t>
      </w:r>
    </w:p>
    <w:p>
      <w:pPr>
        <w:pStyle w:val="Default"/>
        <w:spacing w:after="0" w:before="120"/>
        <w:jc w:val="both"/>
        <w:rPr>
          <w:rFonts w:ascii="Arial" w:cs="Arial" w:eastAsia="Calibri" w:eastAsiaTheme="minorHAnsi" w:hAnsi="Arial"/>
          <w:color w:val="auto"/>
          <w:sz w:val="22"/>
          <w:szCs w:val="22"/>
          <w:lang w:eastAsia="en-US"/>
        </w:rPr>
      </w:pPr>
      <w:r>
        <w:rPr>
          <w:rFonts w:ascii="Arial" w:cs="Arial" w:eastAsia="Calibri" w:eastAsiaTheme="minorHAnsi" w:hAnsi="Arial"/>
          <w:color w:val="auto"/>
          <w:sz w:val="22"/>
          <w:szCs w:val="22"/>
          <w:lang w:eastAsia="en-US"/>
        </w:rPr>
      </w:r>
    </w:p>
    <w:p>
      <w:pPr>
        <w:pStyle w:val="Heading2"/>
        <w:numPr>
          <w:ilvl w:val="1"/>
          <w:numId w:val="8"/>
        </w:numPr>
        <w:rPr/>
      </w:pPr>
      <w:bookmarkStart w:id="12" w:name="_Toc212201509"/>
      <w:r>
        <w:rPr/>
        <w:t>Conditions d’attribution de la contrepartie obligatoire en repos</w:t>
      </w:r>
      <w:bookmarkEnd w:id="12"/>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En vertu de l’article L. 3121-30 du Code du travail, le salarié peut accomplir des heures supplémentaires au-delà du contingent.</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Dans ce cas, toute heure supplémentaire effectuée par le salarié au-delà du contingent annuel d’heures supplémentaires lui ouvre droit à une contrepartie obligatoire en repos.</w:t>
      </w:r>
      <w:r>
        <w:rPr/>
        <w:t xml:space="preserve"> </w:t>
      </w:r>
      <w:r>
        <w:rPr>
          <w:rFonts w:ascii="Arial" w:cs="Arial" w:eastAsia="Arial" w:hAnsi="Arial"/>
          <w:lang w:eastAsia="fr-FR"/>
        </w:rPr>
        <w:t>Elle s'ajoute à la rémunération des heures au taux majoré.</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Les dispositions conventionnelles en vigueur dans la branche prévoient notamment que les heures supplémentaires exceptionnelles réalisées au-delà du contingent conventionnel</w:t>
      </w:r>
      <w:r>
        <w:rPr>
          <w:rFonts w:ascii="Arial" w:cs="Arial" w:eastAsia="Arial" w:hAnsi="Arial"/>
          <w:i/>
          <w:lang w:eastAsia="fr-FR"/>
        </w:rPr>
        <w:t xml:space="preserve"> « ouvrent droit à un repos compensateur dont la durée est égale au nombre d'heures supplémentaires exceptionnelles effectuées. Ce temps de repos compensateur intégralement indemnisé, qui ne se cumule pas avec les dispositions légales ou conventionnelles ayant le même objet, sera pris dans un délai maximum de deux mois suivant la date à laquelle le droit au repos compensateur aura été acquis. </w:t>
      </w:r>
      <w:r>
        <w:rPr>
          <w:rFonts w:ascii="Arial" w:cs="Arial" w:eastAsia="Arial" w:hAnsi="Arial"/>
          <w:lang w:eastAsia="fr-FR"/>
        </w:rPr>
        <w:t>»</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Par dérogation, le présent accord prévoit que, compte tenu de l’effectif de la société à la date de sa conclusion, toute heure supplémentaire accomplie au-delà du contingent annuel ouvrira droit à une contrepartie obligatoire en repos fixée à 50 %, conformément à l’article L. 3121-33 du Code du travail. Toutefois, si, à l’avenir, l’effectif de la société augmente à plus de 20 salariés, le pourcentage sera alors de 100%, dans le respect de la législation en vigueur.</w:t>
      </w:r>
    </w:p>
    <w:p>
      <w:pPr>
        <w:pStyle w:val="Normal"/>
        <w:spacing w:after="75" w:before="75" w:line="240" w:lineRule="auto"/>
        <w:ind w:left="15" w:right="15"/>
        <w:jc w:val="both"/>
        <w:rPr/>
      </w:pPr>
      <w:r>
        <w:rPr>
          <w:rFonts w:ascii="Arial" w:cs="Arial" w:eastAsia="Arial" w:hAnsi="Arial"/>
          <w:lang w:eastAsia="fr-FR"/>
        </w:rPr>
        <w:t>Par « effectif » est visé l’effectif moyen du nombre de personnes employées au cours de chacun des mois de l'année civile précédente. En effet, conformément aux dispositions légales en vigueur, ce seuil d'effectif de 20 salariés est décompté selon les règles du code de la sécurité sociale prévues à l'article L. 130-1 du Code de la sécurité sociale. Le franchissement à la hausse du seuil d'effectif ne sera pris en compte, le cas échéant, que lorsque ce dernier aura été atteint ou dépassé pendant cinq années civiles consécutives.</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Cet effectif annuel moyen sera apprécié au 31 décembre de chaque année.</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A titre d’exemple, à compter de l’entrée en vigueur du présent accord, 1 heure supplémentaire réalisée au-delà du contingent ouvrira droit à un repos obligatoire de 0,50 heure. Pour un effectif de plus de 20 salariés, 1 heure supplémentaire réalisée au-delà du contingent annuel ouvrirait droit à un repos obligatoire de 1 heure.</w:t>
      </w:r>
    </w:p>
    <w:p>
      <w:pPr>
        <w:pStyle w:val="BodyText"/>
        <w:spacing w:after="120" w:before="130" w:line="240" w:lineRule="auto"/>
        <w:rPr>
          <w:rFonts w:ascii="Arial" w:cs="Arial" w:hAnsi="Arial"/>
          <w:i/>
          <w:i/>
          <w:szCs w:val="22"/>
        </w:rPr>
      </w:pPr>
      <w:r>
        <w:rPr>
          <w:rFonts w:ascii="Arial" w:cs="Arial" w:hAnsi="Arial"/>
          <w:i/>
          <w:szCs w:val="22"/>
        </w:rPr>
      </w:r>
    </w:p>
    <w:p>
      <w:pPr>
        <w:pStyle w:val="Heading2"/>
        <w:numPr>
          <w:ilvl w:val="1"/>
          <w:numId w:val="8"/>
        </w:numPr>
        <w:rPr/>
      </w:pPr>
      <w:bookmarkStart w:id="13" w:name="_Toc212201510"/>
      <w:r>
        <w:rPr/>
        <w:t>Modalités de prise de la contrepartie obligatoire en repos</w:t>
      </w:r>
      <w:bookmarkEnd w:id="13"/>
      <w:r>
        <w:rPr/>
        <w:t xml:space="preserve"> </w:t>
      </w:r>
    </w:p>
    <w:p>
      <w:pPr>
        <w:pStyle w:val="Normal"/>
        <w:spacing w:after="75" w:before="75" w:line="240" w:lineRule="auto"/>
        <w:ind w:right="15"/>
        <w:jc w:val="both"/>
        <w:rPr>
          <w:rFonts w:ascii="Arial" w:cs="Arial" w:eastAsia="Arial" w:hAnsi="Arial"/>
          <w:lang w:eastAsia="fr-FR"/>
        </w:rPr>
      </w:pPr>
      <w:r>
        <w:rPr>
          <w:rFonts w:ascii="Arial" w:cs="Arial" w:eastAsia="Arial" w:hAnsi="Arial"/>
          <w:lang w:eastAsia="fr-FR"/>
        </w:rPr>
      </w:r>
    </w:p>
    <w:p>
      <w:pPr>
        <w:pStyle w:val="Heading2"/>
        <w:numPr>
          <w:ilvl w:val="2"/>
          <w:numId w:val="8"/>
        </w:numPr>
        <w:rPr>
          <w:rFonts w:eastAsia="Times New Roman"/>
          <w:i/>
          <w:i/>
          <w:iCs/>
          <w:color w:themeColor="accent1" w:themeShade="80" w:val="244061"/>
          <w:sz w:val="22"/>
          <w:szCs w:val="24"/>
        </w:rPr>
      </w:pPr>
      <w:bookmarkStart w:id="14" w:name="_Toc212201511"/>
      <w:r>
        <w:rPr>
          <w:rFonts w:eastAsia="Times New Roman"/>
          <w:i/>
          <w:iCs/>
          <w:color w:themeColor="accent1" w:themeShade="80" w:val="244061"/>
          <w:sz w:val="22"/>
          <w:szCs w:val="24"/>
        </w:rPr>
        <w:t>Ouverture du droit au repos</w:t>
      </w:r>
      <w:bookmarkEnd w:id="14"/>
      <w:r>
        <w:rPr>
          <w:rFonts w:eastAsia="Times New Roman"/>
          <w:i/>
          <w:iCs/>
          <w:color w:themeColor="accent1" w:themeShade="80" w:val="244061"/>
          <w:sz w:val="22"/>
          <w:szCs w:val="24"/>
        </w:rPr>
        <w:t xml:space="preserve"> </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Le droit à la contrepartie obligatoire en repos est réputé ouvert dès que la durée de ce repos atteint 7 heures.</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t>La prise du repos par le salarié est obligatoire.</w:t>
      </w:r>
    </w:p>
    <w:p>
      <w:pPr>
        <w:pStyle w:val="Normal"/>
        <w:spacing w:after="75" w:before="75" w:line="240" w:lineRule="auto"/>
        <w:ind w:left="15" w:right="15"/>
        <w:jc w:val="both"/>
        <w:rPr>
          <w:rFonts w:ascii="Arial" w:cs="Arial" w:eastAsia="Arial" w:hAnsi="Arial"/>
          <w:lang w:eastAsia="fr-FR"/>
        </w:rPr>
      </w:pPr>
      <w:r>
        <w:rPr>
          <w:rFonts w:ascii="Arial" w:cs="Arial" w:eastAsia="Arial" w:hAnsi="Arial"/>
          <w:lang w:eastAsia="fr-FR"/>
        </w:rPr>
      </w:r>
    </w:p>
    <w:p>
      <w:pPr>
        <w:pStyle w:val="Heading2"/>
        <w:numPr>
          <w:ilvl w:val="2"/>
          <w:numId w:val="8"/>
        </w:numPr>
        <w:rPr>
          <w:rFonts w:eastAsia="Times New Roman"/>
          <w:i/>
          <w:i/>
          <w:iCs/>
          <w:color w:themeColor="accent1" w:themeShade="80" w:val="244061"/>
          <w:sz w:val="22"/>
          <w:szCs w:val="24"/>
        </w:rPr>
      </w:pPr>
      <w:bookmarkStart w:id="15" w:name="_Toc212201512"/>
      <w:r>
        <w:rPr>
          <w:rFonts w:eastAsia="Times New Roman"/>
          <w:i/>
          <w:iCs/>
          <w:color w:themeColor="accent1" w:themeShade="80" w:val="244061"/>
          <w:sz w:val="22"/>
          <w:szCs w:val="24"/>
        </w:rPr>
        <w:t>Forme du repos</w:t>
      </w:r>
      <w:bookmarkEnd w:id="15"/>
      <w:r>
        <w:rPr>
          <w:rFonts w:eastAsia="Times New Roman"/>
          <w:i/>
          <w:iCs/>
          <w:color w:themeColor="accent1" w:themeShade="80" w:val="244061"/>
          <w:sz w:val="22"/>
          <w:szCs w:val="24"/>
        </w:rPr>
        <w:t xml:space="preserve"> </w:t>
      </w:r>
    </w:p>
    <w:p>
      <w:pPr>
        <w:pStyle w:val="Normal"/>
        <w:spacing w:after="75" w:before="75" w:line="240" w:lineRule="auto"/>
        <w:jc w:val="both"/>
        <w:rPr>
          <w:rFonts w:ascii="Arial" w:cs="Arial" w:eastAsia="Times New Roman" w:hAnsi="Arial"/>
          <w:iCs/>
          <w:lang w:eastAsia="fr-FR"/>
        </w:rPr>
      </w:pPr>
      <w:r>
        <w:rPr>
          <w:rFonts w:ascii="Arial" w:cs="Arial" w:eastAsia="Times New Roman" w:hAnsi="Arial"/>
          <w:lang w:eastAsia="fr-FR"/>
        </w:rPr>
        <w:t xml:space="preserve">Le repos est pris </w:t>
      </w:r>
      <w:r>
        <w:rPr>
          <w:rFonts w:ascii="Arial" w:cs="Arial" w:eastAsia="Times New Roman" w:hAnsi="Arial"/>
          <w:iCs/>
          <w:lang w:eastAsia="fr-FR"/>
        </w:rPr>
        <w:t>par journée entière.</w:t>
      </w:r>
    </w:p>
    <w:p>
      <w:pPr>
        <w:pStyle w:val="Normal"/>
        <w:spacing w:after="120" w:before="0" w:line="240" w:lineRule="auto"/>
        <w:jc w:val="both"/>
        <w:rPr>
          <w:rFonts w:ascii="Arial" w:cs="Arial" w:eastAsia="Times New Roman" w:hAnsi="Arial"/>
          <w:lang w:eastAsia="fr-FR"/>
        </w:rPr>
      </w:pPr>
      <w:r>
        <w:rPr>
          <w:rFonts w:ascii="Arial" w:cs="Arial" w:eastAsia="Times New Roman" w:hAnsi="Arial"/>
          <w:lang w:eastAsia="fr-FR"/>
        </w:rPr>
      </w:r>
    </w:p>
    <w:p>
      <w:pPr>
        <w:pStyle w:val="Heading2"/>
        <w:numPr>
          <w:ilvl w:val="2"/>
          <w:numId w:val="8"/>
        </w:numPr>
        <w:rPr>
          <w:rFonts w:eastAsia="Times New Roman"/>
          <w:i/>
          <w:i/>
          <w:iCs/>
          <w:color w:themeColor="accent1" w:themeShade="80" w:val="244061"/>
          <w:sz w:val="22"/>
          <w:szCs w:val="24"/>
        </w:rPr>
      </w:pPr>
      <w:bookmarkStart w:id="16" w:name="_Toc212201513"/>
      <w:r>
        <w:rPr>
          <w:rFonts w:eastAsia="Times New Roman"/>
          <w:i/>
          <w:iCs/>
          <w:color w:themeColor="accent1" w:themeShade="80" w:val="244061"/>
          <w:sz w:val="22"/>
          <w:szCs w:val="24"/>
        </w:rPr>
        <w:t>Délai de prise du repos</w:t>
      </w:r>
      <w:bookmarkEnd w:id="16"/>
      <w:r>
        <w:rPr>
          <w:rFonts w:eastAsia="Times New Roman"/>
          <w:i/>
          <w:iCs/>
          <w:color w:themeColor="accent1" w:themeShade="80" w:val="244061"/>
          <w:sz w:val="22"/>
          <w:szCs w:val="24"/>
        </w:rPr>
        <w:t xml:space="preserve"> </w:t>
      </w:r>
    </w:p>
    <w:p>
      <w:pPr>
        <w:pStyle w:val="Normal"/>
        <w:spacing w:after="75" w:before="75" w:line="240" w:lineRule="auto"/>
        <w:jc w:val="both"/>
        <w:rPr>
          <w:rFonts w:ascii="Arial" w:cs="Arial" w:eastAsia="Times New Roman" w:hAnsi="Arial"/>
          <w:lang w:eastAsia="fr-FR"/>
        </w:rPr>
      </w:pPr>
      <w:r>
        <w:rPr>
          <w:rFonts w:ascii="Arial" w:cs="Arial" w:eastAsia="Times New Roman" w:hAnsi="Arial"/>
          <w:lang w:eastAsia="fr-FR"/>
        </w:rPr>
        <w:t>Le repos devra être pris dans un délai maximum de deux mois suivant l’ouverture du droit, sous réserve des cas de report prévus à l’article suivant.</w:t>
      </w:r>
    </w:p>
    <w:p>
      <w:pPr>
        <w:pStyle w:val="Normal"/>
        <w:spacing w:after="120" w:before="0" w:line="240" w:lineRule="auto"/>
        <w:jc w:val="both"/>
        <w:rPr>
          <w:rFonts w:ascii="Arial" w:cs="Arial" w:eastAsia="Times New Roman" w:hAnsi="Arial"/>
          <w:lang w:eastAsia="fr-FR"/>
        </w:rPr>
      </w:pPr>
      <w:r>
        <w:rPr>
          <w:rFonts w:ascii="Arial" w:cs="Arial" w:eastAsia="Times New Roman" w:hAnsi="Arial"/>
          <w:lang w:eastAsia="fr-FR"/>
        </w:rPr>
      </w:r>
    </w:p>
    <w:p>
      <w:pPr>
        <w:pStyle w:val="Heading2"/>
        <w:numPr>
          <w:ilvl w:val="2"/>
          <w:numId w:val="8"/>
        </w:numPr>
        <w:rPr>
          <w:rFonts w:eastAsia="Times New Roman"/>
          <w:i/>
          <w:i/>
          <w:iCs/>
          <w:color w:themeColor="accent1" w:themeShade="80" w:val="244061"/>
          <w:sz w:val="22"/>
          <w:szCs w:val="24"/>
        </w:rPr>
      </w:pPr>
      <w:bookmarkStart w:id="17" w:name="_Toc212201514"/>
      <w:r>
        <w:rPr>
          <w:rFonts w:eastAsia="Times New Roman"/>
          <w:i/>
          <w:iCs/>
          <w:color w:themeColor="accent1" w:themeShade="80" w:val="244061"/>
          <w:sz w:val="22"/>
          <w:szCs w:val="24"/>
        </w:rPr>
        <w:t>Demande de repos</w:t>
      </w:r>
      <w:bookmarkEnd w:id="17"/>
      <w:r>
        <w:rPr>
          <w:rFonts w:eastAsia="Times New Roman"/>
          <w:i/>
          <w:iCs/>
          <w:color w:themeColor="accent1" w:themeShade="80" w:val="244061"/>
          <w:sz w:val="22"/>
          <w:szCs w:val="24"/>
        </w:rPr>
        <w:t xml:space="preserve"> </w:t>
      </w:r>
    </w:p>
    <w:p>
      <w:pPr>
        <w:pStyle w:val="Normal"/>
        <w:spacing w:after="75" w:before="75" w:line="240" w:lineRule="auto"/>
        <w:jc w:val="both"/>
        <w:rPr>
          <w:rFonts w:ascii="Arial" w:cs="Arial" w:eastAsia="Times New Roman" w:hAnsi="Arial"/>
          <w:lang w:eastAsia="fr-FR"/>
        </w:rPr>
      </w:pPr>
      <w:r>
        <w:rPr>
          <w:rFonts w:ascii="Arial" w:cs="Arial" w:eastAsia="Times New Roman" w:hAnsi="Arial"/>
          <w:lang w:eastAsia="fr-FR"/>
        </w:rPr>
        <w:t>Le salarié devra adresser sa demande de repos à l’employeur par écrit en précisant la date et la durée du repos.</w:t>
      </w:r>
    </w:p>
    <w:p>
      <w:pPr>
        <w:pStyle w:val="Normal"/>
        <w:spacing w:after="120" w:before="0" w:line="240" w:lineRule="auto"/>
        <w:jc w:val="both"/>
        <w:rPr>
          <w:rFonts w:ascii="Arial" w:cs="Arial" w:eastAsia="Times New Roman" w:hAnsi="Arial"/>
          <w:lang w:eastAsia="fr-FR"/>
        </w:rPr>
      </w:pPr>
      <w:bookmarkStart w:id="18" w:name="_Hlk211610669"/>
      <w:r>
        <w:rPr>
          <w:rFonts w:ascii="Arial" w:cs="Arial" w:eastAsia="Times New Roman" w:hAnsi="Arial"/>
          <w:lang w:eastAsia="fr-FR"/>
        </w:rPr>
        <w:t>Cette demande devra être effectuée au plus tard quinze jours calendaires avant la date à laquelle le salarié souhaite prendre le repos.</w:t>
      </w:r>
      <w:bookmarkEnd w:id="18"/>
    </w:p>
    <w:p>
      <w:pPr>
        <w:pStyle w:val="Normal"/>
        <w:spacing w:after="120" w:before="0" w:line="240" w:lineRule="auto"/>
        <w:jc w:val="both"/>
        <w:rPr>
          <w:rFonts w:ascii="Arial" w:cs="Arial" w:eastAsia="Times New Roman" w:hAnsi="Arial"/>
          <w:iCs/>
          <w:lang w:eastAsia="fr-FR"/>
        </w:rPr>
      </w:pPr>
      <w:r>
        <w:rPr>
          <w:rFonts w:ascii="Arial" w:cs="Arial" w:eastAsia="Times New Roman" w:hAnsi="Arial"/>
          <w:iCs/>
          <w:lang w:eastAsia="fr-FR"/>
        </w:rPr>
        <w:t xml:space="preserve">L’employeur informera le salarié dans un délai de sept jours calendaires suivant la réception de la demande : </w:t>
      </w:r>
    </w:p>
    <w:p>
      <w:pPr>
        <w:pStyle w:val="Normal"/>
        <w:numPr>
          <w:ilvl w:val="0"/>
          <w:numId w:val="2"/>
        </w:numPr>
        <w:spacing w:after="120" w:before="0" w:line="240" w:lineRule="auto"/>
        <w:jc w:val="both"/>
        <w:rPr>
          <w:rFonts w:ascii="Arial" w:cs="Arial" w:eastAsia="Times New Roman" w:hAnsi="Arial"/>
          <w:iCs/>
          <w:lang w:eastAsia="fr-FR"/>
        </w:rPr>
      </w:pPr>
      <w:r>
        <w:rPr>
          <w:rFonts w:ascii="Arial" w:cs="Arial" w:eastAsia="Times New Roman" w:hAnsi="Arial"/>
          <w:iCs/>
          <w:lang w:eastAsia="fr-FR"/>
        </w:rPr>
        <w:t xml:space="preserve">Soit de son accord ; </w:t>
      </w:r>
    </w:p>
    <w:p>
      <w:pPr>
        <w:pStyle w:val="Normal"/>
        <w:numPr>
          <w:ilvl w:val="0"/>
          <w:numId w:val="2"/>
        </w:numPr>
        <w:spacing w:after="120" w:before="0" w:line="240" w:lineRule="auto"/>
        <w:jc w:val="both"/>
        <w:rPr>
          <w:rFonts w:ascii="Arial" w:cs="Arial" w:eastAsia="Times New Roman" w:hAnsi="Arial"/>
          <w:iCs/>
          <w:lang w:eastAsia="fr-FR"/>
        </w:rPr>
      </w:pPr>
      <w:r>
        <w:rPr>
          <w:rFonts w:ascii="Arial" w:cs="Arial" w:eastAsia="Times New Roman" w:hAnsi="Arial"/>
          <w:iCs/>
          <w:lang w:eastAsia="fr-FR"/>
        </w:rPr>
        <w:t xml:space="preserve">Soit de son refus en cas d’impératifs liés au fonctionnement de l’entreprise. </w:t>
      </w:r>
      <w:r>
        <w:rPr>
          <w:rFonts w:ascii="Arial" w:cs="Arial" w:eastAsia="Times New Roman" w:hAnsi="Arial"/>
          <w:lang w:eastAsia="fr-FR"/>
        </w:rPr>
        <w:t xml:space="preserve">Dans ce cas, l’employeur fera connaître au salarié les raisons relevant d'impératifs liés au fonctionnement de l'entreprise qui motivent le report de la demande et proposera au salarié une autre date de repos </w:t>
      </w:r>
      <w:r>
        <w:rPr>
          <w:rFonts w:ascii="Arial" w:cs="Arial" w:eastAsia="Times New Roman" w:hAnsi="Arial"/>
          <w:iCs/>
          <w:lang w:eastAsia="fr-FR"/>
        </w:rPr>
        <w:t>à l’intérieur du délai de deux mois.</w:t>
      </w:r>
    </w:p>
    <w:p>
      <w:pPr>
        <w:pStyle w:val="Normal"/>
        <w:spacing w:after="120" w:before="0" w:line="240" w:lineRule="auto"/>
        <w:jc w:val="both"/>
        <w:rPr>
          <w:rFonts w:ascii="Arial" w:cs="Arial" w:eastAsia="Times New Roman" w:hAnsi="Arial"/>
          <w:lang w:eastAsia="fr-FR"/>
        </w:rPr>
      </w:pPr>
      <w:r>
        <w:rPr>
          <w:rFonts w:ascii="Arial" w:cs="Arial" w:eastAsia="Times New Roman" w:hAnsi="Arial"/>
          <w:lang w:eastAsia="fr-FR"/>
        </w:rPr>
        <w:t>Lorsque des impératifs liés au fonctionnement de l’entreprise font obstacle à ce que plusieurs demandes de repos soient simultanément satisfaites, les demandes seront départagées, selon l’ordre de priorité suivant :</w:t>
      </w:r>
    </w:p>
    <w:p>
      <w:pPr>
        <w:pStyle w:val="Normal"/>
        <w:spacing w:after="120" w:before="0" w:line="240" w:lineRule="auto"/>
        <w:ind w:left="709"/>
        <w:jc w:val="both"/>
        <w:rPr>
          <w:rFonts w:ascii="Arial" w:cs="Arial" w:eastAsia="Times New Roman" w:hAnsi="Arial"/>
          <w:lang w:eastAsia="fr-FR"/>
        </w:rPr>
      </w:pPr>
      <w:r>
        <w:rPr>
          <w:rFonts w:ascii="Arial" w:cs="Arial" w:eastAsia="Times New Roman" w:hAnsi="Arial"/>
          <w:lang w:eastAsia="fr-FR"/>
        </w:rPr>
        <w:t>1° les demandes déjà différées ;</w:t>
      </w:r>
    </w:p>
    <w:p>
      <w:pPr>
        <w:pStyle w:val="Normal"/>
        <w:spacing w:after="120" w:before="0" w:line="240" w:lineRule="auto"/>
        <w:ind w:left="709"/>
        <w:jc w:val="both"/>
        <w:rPr>
          <w:rFonts w:ascii="Arial" w:cs="Arial" w:eastAsia="Times New Roman" w:hAnsi="Arial"/>
          <w:lang w:eastAsia="fr-FR"/>
        </w:rPr>
      </w:pPr>
      <w:r>
        <w:rPr>
          <w:rFonts w:ascii="Arial" w:cs="Arial" w:eastAsia="Times New Roman" w:hAnsi="Arial"/>
          <w:lang w:eastAsia="fr-FR"/>
        </w:rPr>
        <w:t>2° la situation de famille ;</w:t>
      </w:r>
    </w:p>
    <w:p>
      <w:pPr>
        <w:pStyle w:val="Normal"/>
        <w:spacing w:after="120" w:before="0" w:line="240" w:lineRule="auto"/>
        <w:ind w:left="709"/>
        <w:jc w:val="both"/>
        <w:rPr>
          <w:rFonts w:ascii="Arial" w:cs="Arial" w:eastAsia="Times New Roman" w:hAnsi="Arial"/>
          <w:lang w:eastAsia="fr-FR"/>
        </w:rPr>
      </w:pPr>
      <w:r>
        <w:rPr>
          <w:rFonts w:ascii="Arial" w:cs="Arial" w:eastAsia="Times New Roman" w:hAnsi="Arial"/>
          <w:lang w:eastAsia="fr-FR"/>
        </w:rPr>
        <w:t>3° l’ordre d’arrivée des demandes ;</w:t>
      </w:r>
    </w:p>
    <w:p>
      <w:pPr>
        <w:pStyle w:val="Normal"/>
        <w:spacing w:after="120" w:before="0" w:line="240" w:lineRule="auto"/>
        <w:ind w:left="709"/>
        <w:jc w:val="both"/>
        <w:rPr>
          <w:rFonts w:ascii="Arial" w:cs="Arial" w:eastAsia="Times New Roman" w:hAnsi="Arial"/>
          <w:lang w:eastAsia="fr-FR"/>
        </w:rPr>
      </w:pPr>
      <w:r>
        <w:rPr>
          <w:rFonts w:ascii="Arial" w:cs="Arial" w:eastAsia="Times New Roman" w:hAnsi="Arial"/>
          <w:lang w:eastAsia="fr-FR"/>
        </w:rPr>
        <w:t>4° l’ancienneté dans l’entreprise.</w:t>
      </w:r>
    </w:p>
    <w:p>
      <w:pPr>
        <w:pStyle w:val="Normal"/>
        <w:spacing w:after="120" w:before="0" w:line="240" w:lineRule="auto"/>
        <w:jc w:val="both"/>
        <w:rPr>
          <w:rFonts w:ascii="Arial" w:cs="Arial" w:eastAsia="Times New Roman" w:hAnsi="Arial"/>
          <w:iCs/>
          <w:lang w:eastAsia="fr-FR"/>
        </w:rPr>
      </w:pPr>
      <w:r>
        <w:rPr>
          <w:rFonts w:ascii="Arial" w:cs="Arial" w:eastAsia="Times New Roman" w:hAnsi="Arial"/>
          <w:iCs/>
          <w:lang w:eastAsia="fr-FR"/>
        </w:rPr>
      </w:r>
    </w:p>
    <w:p>
      <w:pPr>
        <w:pStyle w:val="Heading2"/>
        <w:numPr>
          <w:ilvl w:val="2"/>
          <w:numId w:val="8"/>
        </w:numPr>
        <w:rPr>
          <w:rFonts w:eastAsia="Times New Roman"/>
          <w:i/>
          <w:i/>
          <w:iCs/>
          <w:color w:themeColor="accent1" w:themeShade="80" w:val="244061"/>
          <w:sz w:val="22"/>
          <w:szCs w:val="24"/>
        </w:rPr>
      </w:pPr>
      <w:bookmarkStart w:id="19" w:name="_Toc212201515"/>
      <w:r>
        <w:rPr>
          <w:rFonts w:eastAsia="Times New Roman"/>
          <w:i/>
          <w:iCs/>
          <w:color w:themeColor="accent1" w:themeShade="80" w:val="244061"/>
          <w:sz w:val="22"/>
          <w:szCs w:val="24"/>
        </w:rPr>
        <w:t>Absence de demande de repos</w:t>
      </w:r>
      <w:bookmarkEnd w:id="19"/>
      <w:r>
        <w:rPr>
          <w:rFonts w:eastAsia="Times New Roman"/>
          <w:i/>
          <w:iCs/>
          <w:color w:themeColor="accent1" w:themeShade="80" w:val="244061"/>
          <w:sz w:val="22"/>
          <w:szCs w:val="24"/>
        </w:rPr>
        <w:t xml:space="preserve"> </w:t>
      </w:r>
    </w:p>
    <w:p>
      <w:pPr>
        <w:pStyle w:val="Normal"/>
        <w:spacing w:after="75" w:before="75" w:line="240" w:lineRule="auto"/>
        <w:jc w:val="both"/>
        <w:rPr>
          <w:rFonts w:ascii="Arial" w:cs="Arial" w:eastAsia="Times New Roman" w:hAnsi="Arial"/>
          <w:lang w:eastAsia="fr-FR"/>
        </w:rPr>
      </w:pPr>
      <w:r>
        <w:rPr>
          <w:rFonts w:ascii="Arial" w:cs="Arial" w:eastAsia="Times New Roman" w:hAnsi="Arial"/>
          <w:lang w:eastAsia="fr-FR"/>
        </w:rPr>
        <w:t xml:space="preserve">L’absence de demande de prise du repos par le salarié dans le délai de deux mois ne pourra entrainer la perte de son droit au repos. Dans ce cas, l’employeur lui demandera de prendre effectivement ses repos dans un délai maximum d’un an. </w:t>
      </w:r>
    </w:p>
    <w:p>
      <w:pPr>
        <w:pStyle w:val="Normal"/>
        <w:spacing w:after="120" w:before="0" w:line="240" w:lineRule="auto"/>
        <w:jc w:val="both"/>
        <w:rPr>
          <w:rFonts w:ascii="Arial" w:cs="Arial" w:eastAsia="Times New Roman" w:hAnsi="Arial"/>
          <w:lang w:eastAsia="fr-FR"/>
        </w:rPr>
      </w:pPr>
      <w:r>
        <w:rPr>
          <w:rFonts w:ascii="Arial" w:cs="Arial" w:eastAsia="Times New Roman" w:hAnsi="Arial"/>
          <w:lang w:eastAsia="fr-FR"/>
        </w:rPr>
        <w:t>L’employeur se réserve la possibilité d’imposer au salarié des jours de repos dès lors que le salarié n’en a pas fait la demande dans le délai de deux mois.</w:t>
      </w:r>
    </w:p>
    <w:p>
      <w:pPr>
        <w:pStyle w:val="Normal"/>
        <w:spacing w:after="120" w:before="0" w:line="240" w:lineRule="auto"/>
        <w:jc w:val="both"/>
        <w:rPr>
          <w:rFonts w:ascii="Arial" w:cs="Arial" w:eastAsia="Times New Roman" w:hAnsi="Arial"/>
          <w:sz w:val="24"/>
          <w:szCs w:val="20"/>
          <w:lang w:eastAsia="fr-FR"/>
        </w:rPr>
      </w:pPr>
      <w:r>
        <w:rPr>
          <w:rFonts w:ascii="Arial" w:cs="Arial" w:eastAsia="Times New Roman" w:hAnsi="Arial"/>
          <w:lang w:eastAsia="fr-FR"/>
        </w:rPr>
        <w:t>Dans cette hypothèse, l’employeur préviendra le salarié de la date de son repos au plus tard une semaine avant la date à laquelle il souhaite que le salarié prenne ledit repos. Le salarié ne pourra pas refuser le jour de repos imposé.</w:t>
      </w:r>
    </w:p>
    <w:p>
      <w:pPr>
        <w:pStyle w:val="Normal"/>
        <w:tabs>
          <w:tab w:pos="708" w:val="clear"/>
          <w:tab w:leader="none" w:pos="709" w:val="left"/>
        </w:tabs>
        <w:spacing w:after="120" w:before="0" w:line="240" w:lineRule="auto"/>
        <w:jc w:val="both"/>
        <w:rPr>
          <w:rFonts w:ascii="Arial" w:cs="Arial" w:eastAsia="Times New Roman" w:hAnsi="Arial"/>
          <w:lang w:eastAsia="fr-FR"/>
        </w:rPr>
      </w:pPr>
      <w:r>
        <w:rPr>
          <w:rFonts w:ascii="Arial" w:cs="Arial" w:eastAsia="Times New Roman" w:hAnsi="Arial"/>
          <w:lang w:eastAsia="fr-FR"/>
        </w:rPr>
      </w:r>
    </w:p>
    <w:p>
      <w:pPr>
        <w:pStyle w:val="Heading2"/>
        <w:numPr>
          <w:ilvl w:val="2"/>
          <w:numId w:val="8"/>
        </w:numPr>
        <w:rPr>
          <w:rFonts w:eastAsia="Times New Roman"/>
          <w:i/>
          <w:i/>
          <w:iCs/>
          <w:color w:themeColor="accent1" w:themeShade="80" w:val="244061"/>
          <w:sz w:val="22"/>
          <w:szCs w:val="24"/>
        </w:rPr>
      </w:pPr>
      <w:bookmarkStart w:id="20" w:name="_Toc212201516"/>
      <w:r>
        <w:rPr>
          <w:rFonts w:eastAsia="Times New Roman"/>
          <w:i/>
          <w:iCs/>
          <w:color w:themeColor="accent1" w:themeShade="80" w:val="244061"/>
          <w:sz w:val="22"/>
          <w:szCs w:val="24"/>
        </w:rPr>
        <w:t>Comptabilisation du repos</w:t>
      </w:r>
      <w:bookmarkEnd w:id="20"/>
      <w:r>
        <w:rPr>
          <w:rFonts w:eastAsia="Times New Roman"/>
          <w:i/>
          <w:iCs/>
          <w:color w:themeColor="accent1" w:themeShade="80" w:val="244061"/>
          <w:sz w:val="22"/>
          <w:szCs w:val="24"/>
        </w:rPr>
        <w:t xml:space="preserve"> </w:t>
      </w:r>
    </w:p>
    <w:p>
      <w:pPr>
        <w:pStyle w:val="Normal"/>
        <w:spacing w:after="75" w:before="75" w:line="240" w:lineRule="auto"/>
        <w:jc w:val="both"/>
        <w:rPr>
          <w:rFonts w:ascii="Arial" w:cs="Arial" w:eastAsia="Times New Roman" w:hAnsi="Arial"/>
          <w:lang w:eastAsia="fr-FR"/>
        </w:rPr>
      </w:pPr>
      <w:r>
        <w:rPr>
          <w:rFonts w:ascii="Arial" w:cs="Arial" w:eastAsia="Times New Roman" w:hAnsi="Arial"/>
          <w:iCs/>
          <w:lang w:eastAsia="fr-FR"/>
        </w:rPr>
        <w:t>La journée</w:t>
      </w:r>
      <w:r>
        <w:rPr>
          <w:rFonts w:ascii="Arial" w:cs="Arial" w:eastAsia="Times New Roman" w:hAnsi="Arial"/>
          <w:i/>
          <w:lang w:eastAsia="fr-FR"/>
        </w:rPr>
        <w:t xml:space="preserve"> </w:t>
      </w:r>
      <w:r>
        <w:rPr>
          <w:rFonts w:ascii="Arial" w:cs="Arial" w:eastAsia="Times New Roman" w:hAnsi="Arial"/>
          <w:lang w:eastAsia="fr-FR"/>
        </w:rPr>
        <w:t xml:space="preserve">au cours de laquelle le repos est pris sera déduite du compteur de droit à repos à raison du nombre d’heures de travail que le salarié aurait accompli pendant cette journée. </w:t>
      </w:r>
    </w:p>
    <w:p>
      <w:pPr>
        <w:pStyle w:val="Normal"/>
        <w:tabs>
          <w:tab w:pos="708" w:val="clear"/>
          <w:tab w:leader="none" w:pos="709" w:val="left"/>
        </w:tabs>
        <w:spacing w:after="120" w:before="0" w:line="240" w:lineRule="auto"/>
        <w:jc w:val="both"/>
        <w:rPr>
          <w:rFonts w:ascii="Arial" w:cs="Arial" w:eastAsia="Times New Roman" w:hAnsi="Arial"/>
          <w:lang w:eastAsia="fr-FR"/>
        </w:rPr>
      </w:pPr>
      <w:r>
        <w:rPr>
          <w:rFonts w:ascii="Arial" w:cs="Arial" w:eastAsia="Times New Roman" w:hAnsi="Arial"/>
          <w:lang w:eastAsia="fr-FR"/>
        </w:rPr>
        <w:t>La contrepartie obligatoire en repos est assimilée à une période de travail effectif pour le calcul des droits des salariés.</w:t>
      </w:r>
    </w:p>
    <w:p>
      <w:pPr>
        <w:pStyle w:val="Normal"/>
        <w:tabs>
          <w:tab w:pos="708" w:val="clear"/>
          <w:tab w:leader="none" w:pos="709" w:val="left"/>
        </w:tabs>
        <w:spacing w:after="120" w:before="0" w:line="240" w:lineRule="auto"/>
        <w:jc w:val="both"/>
        <w:rPr>
          <w:rFonts w:ascii="Arial" w:cs="Arial" w:eastAsia="Times New Roman" w:hAnsi="Arial"/>
          <w:lang w:eastAsia="fr-FR"/>
        </w:rPr>
      </w:pPr>
      <w:r>
        <w:rPr>
          <w:rFonts w:ascii="Arial" w:cs="Arial" w:eastAsia="Times New Roman" w:hAnsi="Arial"/>
          <w:lang w:eastAsia="fr-FR"/>
        </w:rPr>
      </w:r>
    </w:p>
    <w:p>
      <w:pPr>
        <w:pStyle w:val="Heading2"/>
        <w:numPr>
          <w:ilvl w:val="2"/>
          <w:numId w:val="8"/>
        </w:numPr>
        <w:rPr>
          <w:rFonts w:eastAsia="Times New Roman"/>
          <w:i/>
          <w:i/>
          <w:iCs/>
          <w:color w:themeColor="accent1" w:themeShade="80" w:val="244061"/>
          <w:sz w:val="22"/>
          <w:szCs w:val="24"/>
        </w:rPr>
      </w:pPr>
      <w:bookmarkStart w:id="21" w:name="_Toc212201517"/>
      <w:r>
        <w:rPr>
          <w:rFonts w:eastAsia="Times New Roman"/>
          <w:i/>
          <w:iCs/>
          <w:color w:themeColor="accent1" w:themeShade="80" w:val="244061"/>
          <w:sz w:val="22"/>
          <w:szCs w:val="24"/>
        </w:rPr>
        <w:t>Indemnisation du repos</w:t>
      </w:r>
      <w:bookmarkEnd w:id="21"/>
    </w:p>
    <w:p>
      <w:pPr>
        <w:pStyle w:val="Normal"/>
        <w:spacing w:after="75" w:before="75" w:line="240" w:lineRule="auto"/>
        <w:jc w:val="both"/>
        <w:rPr>
          <w:rFonts w:ascii="Arial" w:cs="Arial" w:eastAsia="Times New Roman" w:hAnsi="Arial"/>
          <w:lang w:eastAsia="fr-FR"/>
        </w:rPr>
      </w:pPr>
      <w:r>
        <w:rPr>
          <w:rFonts w:ascii="Arial" w:cs="Arial" w:eastAsia="Times New Roman" w:hAnsi="Arial"/>
          <w:lang w:eastAsia="fr-FR"/>
        </w:rPr>
        <w:t>La prise du repos n’entraînera aucune diminution de la rémunération par rapport à celle que le salarié aurait perçue s’il avait accompli son travail.</w:t>
      </w:r>
    </w:p>
    <w:p>
      <w:pPr>
        <w:pStyle w:val="Normal"/>
        <w:spacing w:after="75" w:before="75" w:line="240" w:lineRule="auto"/>
        <w:jc w:val="both"/>
        <w:rPr>
          <w:rFonts w:ascii="Arial" w:cs="Arial" w:eastAsia="Times New Roman" w:hAnsi="Arial"/>
          <w:lang w:eastAsia="fr-FR"/>
        </w:rPr>
      </w:pPr>
      <w:r>
        <w:rPr>
          <w:rFonts w:ascii="Arial" w:cs="Arial" w:eastAsia="Times New Roman" w:hAnsi="Arial"/>
          <w:lang w:eastAsia="fr-FR"/>
        </w:rPr>
        <w:t>En cas de rupture du contrat de travail, si le salarié n’a pas pu bénéficier du repos auquel il a droit ou si le salarié n’a pas acquis de droits suffisants pour pouvoir prendre ce repos, une indemnité en espèces correspondant aux droits acquis lui sera versée. Dans ce cas, cette indemnité sera égale au nombre d’heures de repos acquis et non pris multiplié par le taux normal en vigueur (hors majoration) du salarié.</w:t>
      </w:r>
    </w:p>
    <w:p>
      <w:pPr>
        <w:pStyle w:val="Heading2"/>
        <w:numPr>
          <w:ilvl w:val="2"/>
          <w:numId w:val="8"/>
        </w:numPr>
        <w:rPr>
          <w:rFonts w:eastAsia="Times New Roman"/>
          <w:i/>
          <w:i/>
          <w:iCs/>
          <w:color w:themeColor="accent1" w:themeShade="80" w:val="244061"/>
          <w:sz w:val="22"/>
          <w:szCs w:val="24"/>
        </w:rPr>
      </w:pPr>
      <w:bookmarkStart w:id="22" w:name="_Toc212201518"/>
      <w:r>
        <w:rPr>
          <w:rFonts w:eastAsia="Times New Roman"/>
          <w:i/>
          <w:iCs/>
          <w:color w:themeColor="accent1" w:themeShade="80" w:val="244061"/>
          <w:sz w:val="22"/>
          <w:szCs w:val="24"/>
        </w:rPr>
        <w:t>Information des salariés</w:t>
      </w:r>
      <w:bookmarkEnd w:id="22"/>
      <w:r>
        <w:rPr>
          <w:rFonts w:eastAsia="Times New Roman"/>
          <w:i/>
          <w:iCs/>
          <w:color w:themeColor="accent1" w:themeShade="80" w:val="244061"/>
          <w:sz w:val="22"/>
          <w:szCs w:val="24"/>
        </w:rPr>
        <w:t xml:space="preserve"> </w:t>
      </w:r>
    </w:p>
    <w:p>
      <w:pPr>
        <w:pStyle w:val="Normal"/>
        <w:spacing w:after="75" w:before="75" w:line="240" w:lineRule="auto"/>
        <w:jc w:val="both"/>
        <w:rPr>
          <w:rFonts w:ascii="Arial" w:cs="Arial" w:eastAsia="Times New Roman" w:hAnsi="Arial"/>
          <w:lang w:eastAsia="fr-FR"/>
        </w:rPr>
      </w:pPr>
      <w:r>
        <w:rPr>
          <w:rFonts w:ascii="Arial" w:cs="Arial" w:eastAsia="Times New Roman" w:hAnsi="Arial"/>
          <w:lang w:eastAsia="fr-FR"/>
        </w:rPr>
        <w:t xml:space="preserve">En application des dispositions de l’article D. 3171-11 du Code du travail, les salariés seront informés du nombre d’heures de repos porté à leur crédit par un document annexé au bulletin de paie. </w:t>
      </w:r>
    </w:p>
    <w:p>
      <w:pPr>
        <w:pStyle w:val="Normal"/>
        <w:spacing w:after="120" w:before="0" w:line="240" w:lineRule="auto"/>
        <w:jc w:val="both"/>
        <w:rPr>
          <w:rFonts w:ascii="Arial" w:cs="Arial" w:eastAsia="Times New Roman" w:hAnsi="Arial"/>
          <w:lang w:eastAsia="fr-FR"/>
        </w:rPr>
      </w:pPr>
      <w:r>
        <w:rPr>
          <w:rFonts w:ascii="Arial" w:cs="Arial" w:eastAsia="Times New Roman" w:hAnsi="Arial"/>
          <w:lang w:eastAsia="fr-FR"/>
        </w:rPr>
        <w:t xml:space="preserve">Dès que ce nombre atteint 7 heures, le document comportera une mention notifiant l’ouverture du droit à repos et l’obligation de le prendre dans un délai maximum de deux mois après son ouverture. </w:t>
      </w:r>
    </w:p>
    <w:p>
      <w:pPr>
        <w:pStyle w:val="Heading1"/>
        <w:numPr>
          <w:ilvl w:val="0"/>
          <w:numId w:val="4"/>
        </w:numPr>
        <w:rPr/>
      </w:pPr>
      <w:bookmarkStart w:id="23" w:name="_Toc212201519"/>
      <w:r>
        <w:rPr/>
        <w:t>DISPOSITIONS FINALES</w:t>
      </w:r>
      <w:bookmarkEnd w:id="23"/>
    </w:p>
    <w:p>
      <w:pPr>
        <w:pStyle w:val="Heading1"/>
        <w:numPr>
          <w:ilvl w:val="1"/>
          <w:numId w:val="13"/>
        </w:numPr>
        <w:rPr>
          <w:b/>
          <w:bCs/>
          <w:color w:themeColor="accent1" w:themeShade="bf" w:val="365F91"/>
          <w:sz w:val="24"/>
          <w:szCs w:val="28"/>
        </w:rPr>
      </w:pPr>
      <w:bookmarkStart w:id="24" w:name="_Toc212201520"/>
      <w:r>
        <w:rPr>
          <w:b/>
          <w:bCs/>
          <w:color w:themeColor="accent1" w:themeShade="bf" w:val="365F91"/>
          <w:sz w:val="24"/>
          <w:szCs w:val="28"/>
        </w:rPr>
        <w:t>Durée de l’accord</w:t>
      </w:r>
      <w:bookmarkEnd w:id="24"/>
    </w:p>
    <w:p>
      <w:pPr>
        <w:pStyle w:val="BodyText"/>
        <w:spacing w:after="0" w:before="120" w:line="240" w:lineRule="auto"/>
        <w:jc w:val="both"/>
        <w:rPr>
          <w:rFonts w:ascii="Arial" w:cs="Arial" w:hAnsi="Arial"/>
          <w:lang w:val="fr-FR"/>
        </w:rPr>
      </w:pPr>
      <w:r>
        <w:rPr>
          <w:rFonts w:ascii="Arial" w:cs="Arial" w:hAnsi="Arial"/>
          <w:lang w:val="fr-FR"/>
        </w:rPr>
        <w:t>Le présent accord est conclu pour une durée indéterminée et il s’appliquera à compter du 1</w:t>
      </w:r>
      <w:r>
        <w:rPr>
          <w:rFonts w:ascii="Arial" w:cs="Arial" w:hAnsi="Arial"/>
          <w:vertAlign w:val="superscript"/>
          <w:lang w:val="fr-FR"/>
        </w:rPr>
        <w:t>er</w:t>
      </w:r>
      <w:r>
        <w:rPr>
          <w:rFonts w:ascii="Arial" w:cs="Arial" w:hAnsi="Arial"/>
          <w:lang w:val="fr-FR"/>
        </w:rPr>
        <w:t xml:space="preserve"> janvier 2026. </w:t>
      </w:r>
    </w:p>
    <w:p>
      <w:pPr>
        <w:pStyle w:val="Heading1"/>
        <w:numPr>
          <w:ilvl w:val="1"/>
          <w:numId w:val="14"/>
        </w:numPr>
        <w:rPr>
          <w:b/>
          <w:bCs/>
          <w:color w:themeColor="accent1" w:themeShade="bf" w:val="365F91"/>
          <w:sz w:val="24"/>
          <w:szCs w:val="28"/>
        </w:rPr>
      </w:pPr>
      <w:bookmarkStart w:id="25" w:name="_Toc212201521"/>
      <w:r>
        <w:rPr>
          <w:b/>
          <w:bCs/>
          <w:color w:themeColor="accent1" w:themeShade="bf" w:val="365F91"/>
          <w:sz w:val="24"/>
          <w:szCs w:val="28"/>
        </w:rPr>
        <w:t>Révision de l’accord</w:t>
      </w:r>
      <w:bookmarkEnd w:id="25"/>
      <w:r>
        <w:rPr>
          <w:b/>
          <w:bCs/>
          <w:color w:themeColor="accent1" w:themeShade="bf" w:val="365F91"/>
          <w:sz w:val="24"/>
          <w:szCs w:val="28"/>
        </w:rPr>
        <w:t xml:space="preserve"> </w:t>
      </w:r>
    </w:p>
    <w:p>
      <w:pPr>
        <w:pStyle w:val="Normal"/>
        <w:spacing w:after="0" w:before="120" w:line="240" w:lineRule="auto"/>
        <w:jc w:val="both"/>
        <w:rPr>
          <w:rFonts w:ascii="Arial" w:cs="Arial" w:hAnsi="Arial"/>
        </w:rPr>
      </w:pPr>
      <w:r>
        <w:rPr>
          <w:rFonts w:ascii="Arial" w:cs="Arial" w:hAnsi="Arial"/>
        </w:rPr>
        <w:t xml:space="preserve">Pendant sa durée d'application, le présent accord pourra être révisé conformément aux dispositions légales qui lui sont applicables. </w:t>
      </w:r>
    </w:p>
    <w:p>
      <w:pPr>
        <w:pStyle w:val="Normal"/>
        <w:spacing w:after="0" w:before="120" w:line="240" w:lineRule="auto"/>
        <w:jc w:val="both"/>
        <w:rPr>
          <w:rFonts w:ascii="Arial" w:cs="Arial" w:hAnsi="Arial"/>
        </w:rPr>
      </w:pPr>
      <w:r>
        <w:rPr>
          <w:rFonts w:ascii="Arial" w:cs="Arial" w:hAnsi="Arial"/>
        </w:rPr>
        <w:t xml:space="preserve">Toute personne ainsi habilitée devra adresser sa demande de révision par lettre recommandée avec accusé de réception à chacune des parties signataires. Celle-ci devra comporter l’indication des dispositions dont la révision est demandée, accompagnée, le cas échéant, de propositions de remplacement. </w:t>
      </w:r>
    </w:p>
    <w:p>
      <w:pPr>
        <w:pStyle w:val="Normal"/>
        <w:spacing w:after="0" w:before="120" w:line="240" w:lineRule="auto"/>
        <w:jc w:val="both"/>
        <w:rPr>
          <w:rFonts w:ascii="Arial" w:cs="Arial" w:hAnsi="Arial"/>
        </w:rPr>
      </w:pPr>
      <w:r>
        <w:rPr>
          <w:rFonts w:ascii="Arial" w:cs="Arial" w:hAnsi="Arial"/>
        </w:rPr>
        <w:t xml:space="preserve">Le plus rapidement possible et au plus tard dans un délai de trois mois suivant la réception de cette lettre, les parties concernées devront ouvrir une négociation en vue de la rédaction d’un nouveau texte. </w:t>
      </w:r>
    </w:p>
    <w:p>
      <w:pPr>
        <w:pStyle w:val="Normal"/>
        <w:spacing w:after="0" w:before="120" w:line="240" w:lineRule="auto"/>
        <w:jc w:val="both"/>
        <w:rPr>
          <w:rFonts w:ascii="Arial" w:cs="Arial" w:hAnsi="Arial"/>
        </w:rPr>
      </w:pPr>
      <w:r>
        <w:rPr>
          <w:rFonts w:ascii="Arial" w:cs="Arial" w:hAnsi="Arial"/>
        </w:rPr>
        <w:t>La révision proposée donnera éventuellement lieu à l’établissement d’un avenant se substituant de plein droit aux stipulations de l’accord qu’il modifie sous réserve de remplir les conditions de validité.</w:t>
      </w:r>
    </w:p>
    <w:p>
      <w:pPr>
        <w:pStyle w:val="Normal"/>
        <w:spacing w:after="0" w:before="120" w:line="240" w:lineRule="auto"/>
        <w:jc w:val="both"/>
        <w:rPr>
          <w:rFonts w:ascii="Arial" w:cs="Arial" w:hAnsi="Arial"/>
        </w:rPr>
      </w:pPr>
      <w:r>
        <w:rPr>
          <w:rFonts w:ascii="Arial" w:cs="Arial" w:hAnsi="Arial"/>
        </w:rPr>
        <w:t>Cet avenant devra faire l’objet des formalités de dépôt prévues à l’article L. 2231-6 du Code du travail.</w:t>
      </w:r>
    </w:p>
    <w:p>
      <w:pPr>
        <w:pStyle w:val="Normal"/>
        <w:spacing w:after="0" w:before="120" w:line="240" w:lineRule="auto"/>
        <w:jc w:val="both"/>
        <w:rPr>
          <w:rFonts w:ascii="Arial" w:cs="Arial" w:hAnsi="Arial"/>
        </w:rPr>
      </w:pPr>
      <w:r>
        <w:rPr>
          <w:rFonts w:ascii="Arial" w:cs="Arial" w:hAnsi="Arial"/>
        </w:rPr>
        <w:t>Dans l’attente de son entrée en vigueur, les dispositions de l’accord, objet de la demande de révision, continueront de produire effet.</w:t>
      </w:r>
    </w:p>
    <w:p>
      <w:pPr>
        <w:pStyle w:val="Heading1"/>
        <w:numPr>
          <w:ilvl w:val="1"/>
          <w:numId w:val="15"/>
        </w:numPr>
        <w:rPr>
          <w:b/>
          <w:bCs/>
          <w:color w:themeColor="accent1" w:themeShade="bf" w:val="365F91"/>
          <w:sz w:val="24"/>
          <w:szCs w:val="28"/>
        </w:rPr>
      </w:pPr>
      <w:bookmarkStart w:id="26" w:name="_Toc212201522"/>
      <w:r>
        <w:rPr>
          <w:b/>
          <w:bCs/>
          <w:color w:themeColor="accent1" w:themeShade="bf" w:val="365F91"/>
          <w:sz w:val="24"/>
          <w:szCs w:val="28"/>
        </w:rPr>
        <w:t>Dénonciation de l’accord</w:t>
      </w:r>
      <w:bookmarkEnd w:id="26"/>
    </w:p>
    <w:p>
      <w:pPr>
        <w:pStyle w:val="Normal"/>
        <w:spacing w:after="0" w:before="120" w:line="240" w:lineRule="auto"/>
        <w:jc w:val="both"/>
        <w:rPr>
          <w:rFonts w:ascii="Arial" w:cs="Arial" w:hAnsi="Arial"/>
        </w:rPr>
      </w:pPr>
      <w:r>
        <w:rPr>
          <w:rFonts w:ascii="Arial" w:cs="Arial" w:hAnsi="Arial"/>
        </w:rPr>
        <w:t xml:space="preserve">Le présent accord pourra être dénoncé par l’une ou l’autre des parties signataires, conformément aux dispositions légales qui lui sont applicables. </w:t>
      </w:r>
    </w:p>
    <w:p>
      <w:pPr>
        <w:pStyle w:val="Normal"/>
        <w:spacing w:after="0" w:before="120" w:line="240" w:lineRule="auto"/>
        <w:jc w:val="both"/>
        <w:rPr>
          <w:rFonts w:ascii="Arial" w:cs="Arial" w:hAnsi="Arial"/>
        </w:rPr>
      </w:pPr>
      <w:r>
        <w:rPr>
          <w:rFonts w:ascii="Arial" w:cs="Arial" w:hAnsi="Arial"/>
        </w:rPr>
        <w:t>La dénonciation devra alors être notifiée à chacune des autres parties signataires ou adhérentes et donner lieu à dépôt conformément aux articles L. 2231-6 et L. 2261-1 du Code du travail.</w:t>
      </w:r>
    </w:p>
    <w:p>
      <w:pPr>
        <w:pStyle w:val="Normal"/>
        <w:spacing w:after="0" w:before="120" w:line="240" w:lineRule="auto"/>
        <w:jc w:val="both"/>
        <w:rPr>
          <w:rFonts w:ascii="Arial" w:cs="Arial" w:hAnsi="Arial"/>
        </w:rPr>
      </w:pPr>
      <w:r>
        <w:rPr>
          <w:rFonts w:ascii="Arial" w:cs="Arial" w:hAnsi="Arial"/>
        </w:rPr>
        <w:t>La date de dépôt constituera le point de départ du délai de préavis. Une nouvelle négociation s'engagera, à la demande d'une des parties intéressées, dans les trois mois suivant le début du préavis. Elle pourra donner lieu à un accord, y compris avant l'expiration de ce dernier.</w:t>
      </w:r>
    </w:p>
    <w:p>
      <w:pPr>
        <w:pStyle w:val="Normal"/>
        <w:spacing w:after="0" w:before="120" w:line="240" w:lineRule="auto"/>
        <w:jc w:val="both"/>
        <w:rPr>
          <w:rFonts w:ascii="Arial" w:cs="Arial" w:hAnsi="Arial"/>
        </w:rPr>
      </w:pPr>
      <w:r>
        <w:rPr>
          <w:rFonts w:ascii="Arial" w:cs="Arial" w:hAnsi="Arial"/>
        </w:rPr>
        <w:t>La dénonciation prendra effet au terme d’un préavis de trois mois. A cette date, l’accord dénoncé continuera de produire effet conformément aux dispositions légales pendant un an, sauf application d’un accord de substitution.</w:t>
      </w:r>
    </w:p>
    <w:p>
      <w:pPr>
        <w:pStyle w:val="Normal"/>
        <w:spacing w:after="0" w:before="120" w:line="240" w:lineRule="auto"/>
        <w:jc w:val="both"/>
        <w:rPr>
          <w:rFonts w:ascii="Arial" w:cs="Arial" w:hAnsi="Arial"/>
        </w:rPr>
      </w:pPr>
      <w:r>
        <w:rPr>
          <w:rFonts w:ascii="Arial" w:cs="Arial" w:hAnsi="Arial"/>
        </w:rPr>
        <w:t xml:space="preserve">En cas de dénonciation du présent accord collectif et en l’absence de conclusion d’un nouvel accord, dans le délai requis d’un an, le présent accord cessera de produire effet. </w:t>
      </w:r>
    </w:p>
    <w:p>
      <w:pPr>
        <w:pStyle w:val="Heading1"/>
        <w:numPr>
          <w:ilvl w:val="1"/>
          <w:numId w:val="16"/>
        </w:numPr>
        <w:jc w:val="both"/>
        <w:rPr>
          <w:b/>
          <w:bCs/>
          <w:color w:themeColor="accent1" w:themeShade="bf" w:val="365F91"/>
          <w:sz w:val="24"/>
          <w:szCs w:val="28"/>
        </w:rPr>
      </w:pPr>
      <w:bookmarkStart w:id="27" w:name="_Toc212201523"/>
      <w:r>
        <w:rPr>
          <w:b/>
          <w:bCs/>
          <w:color w:themeColor="accent1" w:themeShade="bf" w:val="365F91"/>
          <w:sz w:val="24"/>
          <w:szCs w:val="28"/>
        </w:rPr>
        <w:t>Modalités de prise en compte des demandes relatives aux thèmes de négociation</w:t>
      </w:r>
      <w:bookmarkEnd w:id="27"/>
    </w:p>
    <w:p>
      <w:pPr>
        <w:pStyle w:val="BodyText"/>
        <w:spacing w:after="0" w:before="120" w:line="240" w:lineRule="auto"/>
        <w:jc w:val="both"/>
        <w:rPr>
          <w:rFonts w:ascii="Arial" w:cs="Arial" w:hAnsi="Arial"/>
          <w:szCs w:val="22"/>
          <w:lang w:val="fr-FR"/>
        </w:rPr>
      </w:pPr>
      <w:r>
        <w:rPr>
          <w:rFonts w:ascii="Arial" w:cs="Arial" w:hAnsi="Arial"/>
          <w:szCs w:val="22"/>
          <w:lang w:val="fr-FR"/>
        </w:rPr>
        <w:t>En cas de demande de la part d’une ou plusieurs organisation(s) syndicale(s) sur le thème faisant l’objet du présent accord, l’employeur s’engage à y apporter une réponse dans un délai raisonnable ou de l’inscrire à l’ordre du jour de la prochaine réunion annuelle, le cas échéant.</w:t>
      </w:r>
    </w:p>
    <w:p>
      <w:pPr>
        <w:pStyle w:val="Heading1"/>
        <w:numPr>
          <w:ilvl w:val="1"/>
          <w:numId w:val="17"/>
        </w:numPr>
        <w:rPr>
          <w:b/>
          <w:bCs/>
          <w:color w:themeColor="accent1" w:themeShade="bf" w:val="365F91"/>
          <w:sz w:val="24"/>
          <w:szCs w:val="28"/>
        </w:rPr>
      </w:pPr>
      <w:bookmarkStart w:id="28" w:name="_Toc212201524"/>
      <w:r>
        <w:rPr>
          <w:b/>
          <w:bCs/>
          <w:color w:themeColor="accent1" w:themeShade="bf" w:val="365F91"/>
          <w:sz w:val="24"/>
          <w:szCs w:val="28"/>
        </w:rPr>
        <w:t>Interprétation de l’accord</w:t>
      </w:r>
      <w:bookmarkEnd w:id="28"/>
      <w:r>
        <w:rPr>
          <w:b/>
          <w:bCs/>
          <w:color w:themeColor="accent1" w:themeShade="bf" w:val="365F91"/>
          <w:sz w:val="24"/>
          <w:szCs w:val="28"/>
        </w:rPr>
        <w:t xml:space="preserve"> </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Les représentants de chacune des parties signataires conviennent de se rencontrer à la requête de la partie la plus diligente, dans les jours suivant la demande, pour étudier et tenter de régler tout différend d’ordre individuel ou collectif né de l’application du présent accord. La demande de réunion consigne l’exposé précis du différend. </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Le représentant des salariés sera le salarié le plus âgé de l’entreprise, sauf si le différent d’interprétation le concerne directement. Dans cette hypothèse, le représentant des salariés sera le deuxième salarié le plus âgé, sauf si le différent d’interprétation le concerne directement, etc, … </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Si le différent d’interprétation concerne tous les salariés, le représentant des salariés sera élu par le personnel. </w:t>
      </w:r>
    </w:p>
    <w:p>
      <w:pPr>
        <w:pStyle w:val="BodyText"/>
        <w:spacing w:after="0" w:before="120" w:line="240" w:lineRule="auto"/>
        <w:jc w:val="both"/>
        <w:rPr>
          <w:rFonts w:ascii="Arial" w:cs="Arial" w:hAnsi="Arial"/>
          <w:szCs w:val="22"/>
          <w:lang w:val="fr-FR"/>
        </w:rPr>
      </w:pPr>
      <w:r>
        <w:rPr>
          <w:rFonts w:ascii="Arial" w:cs="Arial" w:hAnsi="Arial"/>
          <w:szCs w:val="22"/>
          <w:lang w:val="fr-FR"/>
        </w:rPr>
        <w:t xml:space="preserve">La position retenue en fin de réunion fait l’objet d’un procès-verbal rédigé par la Direction. Le document est remis à chacune des parties signataires. Si cela est nécessaire, une seconde réunion pourra être organisée dans les jours qui suivent la première.  </w:t>
      </w:r>
    </w:p>
    <w:p>
      <w:pPr>
        <w:pStyle w:val="Heading1"/>
        <w:numPr>
          <w:ilvl w:val="1"/>
          <w:numId w:val="18"/>
        </w:numPr>
        <w:rPr>
          <w:b/>
          <w:bCs/>
          <w:color w:themeColor="accent1" w:themeShade="bf" w:val="365F91"/>
          <w:sz w:val="24"/>
          <w:szCs w:val="28"/>
        </w:rPr>
      </w:pPr>
      <w:bookmarkStart w:id="29" w:name="_Toc212201525"/>
      <w:r>
        <w:rPr>
          <w:b/>
          <w:bCs/>
          <w:color w:themeColor="accent1" w:themeShade="bf" w:val="365F91"/>
          <w:sz w:val="24"/>
          <w:szCs w:val="28"/>
        </w:rPr>
        <w:t>Suivi de l’accord</w:t>
      </w:r>
      <w:bookmarkEnd w:id="29"/>
    </w:p>
    <w:p>
      <w:pPr>
        <w:pStyle w:val="BodyText"/>
        <w:spacing w:after="0" w:before="120" w:line="240" w:lineRule="auto"/>
        <w:jc w:val="both"/>
        <w:rPr>
          <w:rFonts w:ascii="Arial" w:cs="Arial" w:hAnsi="Arial"/>
          <w:szCs w:val="22"/>
          <w:lang w:val="fr-FR"/>
        </w:rPr>
      </w:pPr>
      <w:r>
        <w:rPr>
          <w:rFonts w:ascii="Arial" w:cs="Arial" w:hAnsi="Arial"/>
          <w:szCs w:val="22"/>
          <w:lang w:val="fr-FR"/>
        </w:rPr>
        <w:t>Un bilan de l’application de l’accord sera établi à la fin de la première année de mise en place de la nouvelle organisation du travail et sera soumis aux parties à la négociation du présent accord.</w:t>
      </w:r>
    </w:p>
    <w:p>
      <w:pPr>
        <w:pStyle w:val="Default"/>
        <w:spacing w:after="0" w:before="120"/>
        <w:jc w:val="both"/>
        <w:rPr>
          <w:rFonts w:ascii="Arial" w:cs="Arial" w:eastAsia="Calibri" w:eastAsiaTheme="minorHAnsi" w:hAnsi="Arial"/>
          <w:iCs/>
          <w:color w:val="auto"/>
          <w:sz w:val="22"/>
          <w:szCs w:val="22"/>
          <w:lang w:eastAsia="en-US"/>
        </w:rPr>
      </w:pPr>
      <w:r>
        <w:rPr>
          <w:rFonts w:ascii="Arial" w:cs="Arial" w:eastAsia="Calibri" w:eastAsiaTheme="minorHAnsi" w:hAnsi="Arial"/>
          <w:color w:val="auto"/>
          <w:sz w:val="22"/>
          <w:szCs w:val="22"/>
          <w:lang w:eastAsia="en-US"/>
        </w:rPr>
        <w:t xml:space="preserve">Le Comité social et économique, s’il en existe, sera consulté sur les conséquences pratiques de la mise en œuvre de </w:t>
      </w:r>
      <w:r>
        <w:rPr>
          <w:rFonts w:ascii="Arial" w:cs="Arial" w:eastAsia="Calibri" w:eastAsiaTheme="minorHAnsi" w:hAnsi="Arial"/>
          <w:iCs/>
          <w:color w:val="auto"/>
          <w:sz w:val="22"/>
          <w:szCs w:val="22"/>
          <w:lang w:eastAsia="en-US"/>
        </w:rPr>
        <w:t xml:space="preserve">ce contingent. Seront examinés l’impact de ce régime sur l’organisation du travail, l’amplitude des journées et la charge de travail des salariés concernés. </w:t>
      </w:r>
    </w:p>
    <w:p>
      <w:pPr>
        <w:pStyle w:val="BodyText"/>
        <w:spacing w:after="0" w:before="120" w:line="240" w:lineRule="auto"/>
        <w:jc w:val="both"/>
        <w:rPr>
          <w:rFonts w:ascii="Arial" w:cs="Arial" w:hAnsi="Arial"/>
          <w:szCs w:val="22"/>
          <w:lang w:val="fr-FR"/>
        </w:rPr>
      </w:pPr>
      <w:r>
        <w:rPr>
          <w:rFonts w:ascii="Arial" w:cs="Arial" w:hAnsi="Arial"/>
          <w:szCs w:val="22"/>
          <w:lang w:val="fr-FR"/>
        </w:rPr>
        <w:t>Par ailleurs, en cas d'évolution législative ou conventionnelle susceptible de remettre en cause tout ou partie des dispositions du présent accord, les parties signataires conviennent de se réunir à nouveau, dans un délai de deux mois après la publication de ces textes, afin d'adapter lesdites dispositions.</w:t>
      </w:r>
    </w:p>
    <w:p>
      <w:pPr>
        <w:pStyle w:val="Heading1"/>
        <w:numPr>
          <w:ilvl w:val="1"/>
          <w:numId w:val="19"/>
        </w:numPr>
        <w:rPr>
          <w:b/>
          <w:bCs/>
          <w:color w:themeColor="accent1" w:themeShade="bf" w:val="365F91"/>
          <w:sz w:val="24"/>
          <w:szCs w:val="28"/>
        </w:rPr>
      </w:pPr>
      <w:bookmarkStart w:id="30" w:name="_Toc212201526"/>
      <w:r>
        <w:rPr>
          <w:b/>
          <w:bCs/>
          <w:color w:themeColor="accent1" w:themeShade="bf" w:val="365F91"/>
          <w:sz w:val="24"/>
          <w:szCs w:val="28"/>
        </w:rPr>
        <w:t>Prise d’effet et formalités : publicité et dépôt</w:t>
      </w:r>
      <w:bookmarkEnd w:id="30"/>
    </w:p>
    <w:p>
      <w:pPr>
        <w:pStyle w:val="Normal"/>
        <w:spacing w:after="200" w:before="120"/>
        <w:jc w:val="both"/>
        <w:rPr>
          <w:rFonts w:ascii="Arial" w:cs="Arial" w:hAnsi="Arial"/>
        </w:rPr>
      </w:pPr>
      <w:r>
        <w:rPr>
          <w:rFonts w:ascii="Arial" w:cs="Arial" w:hAnsi="Arial"/>
        </w:rPr>
        <w:t>Le présent accord est déposé :</w:t>
      </w:r>
    </w:p>
    <w:p>
      <w:pPr>
        <w:pStyle w:val="ListParagraph"/>
        <w:numPr>
          <w:ilvl w:val="0"/>
          <w:numId w:val="1"/>
        </w:numPr>
        <w:spacing w:after="0" w:before="120" w:line="240" w:lineRule="auto"/>
        <w:jc w:val="both"/>
        <w:rPr>
          <w:rFonts w:ascii="Arial" w:cs="Arial" w:hAnsi="Arial"/>
        </w:rPr>
      </w:pPr>
      <w:r>
        <w:rPr>
          <w:rFonts w:ascii="Arial" w:cs="Arial" w:hAnsi="Arial"/>
        </w:rPr>
        <w:t xml:space="preserve">sur la plateforme de téléprocédure « TéléAccords » du ministère du travail accessible depuis le site internet </w:t>
      </w:r>
      <w:hyperlink r:id="rId2">
        <w:r>
          <w:rPr>
            <w:rStyle w:val="Hyperlink"/>
            <w:rFonts w:ascii="Arial" w:cs="Arial" w:hAnsi="Arial"/>
          </w:rPr>
          <w:t>www.teleaccords.travail-emploi.gouv.fr</w:t>
        </w:r>
      </w:hyperlink>
      <w:r>
        <w:rPr>
          <w:rFonts w:ascii="Arial" w:cs="Arial" w:hAnsi="Arial"/>
        </w:rPr>
        <w:t xml:space="preserve"> ;</w:t>
      </w:r>
    </w:p>
    <w:p>
      <w:pPr>
        <w:pStyle w:val="ListParagraph"/>
        <w:numPr>
          <w:ilvl w:val="0"/>
          <w:numId w:val="1"/>
        </w:numPr>
        <w:spacing w:after="0" w:before="120" w:line="240" w:lineRule="auto"/>
        <w:jc w:val="both"/>
        <w:rPr>
          <w:rFonts w:ascii="Arial" w:cs="Arial" w:hAnsi="Arial"/>
        </w:rPr>
      </w:pPr>
      <w:r>
        <w:rPr>
          <w:rFonts w:ascii="Arial" w:cs="Arial" w:hAnsi="Arial"/>
        </w:rPr>
        <w:t>auprès du secrétariat-greffe du Conseil de Prud’hommes d’Annonay à l’adresse suivante, 26 boulevard de la République, 07100 Annonay.</w:t>
      </w:r>
    </w:p>
    <w:p>
      <w:pPr>
        <w:pStyle w:val="Normal"/>
        <w:spacing w:after="200" w:before="120"/>
        <w:jc w:val="both"/>
        <w:rPr>
          <w:rFonts w:ascii="Arial" w:cs="Arial" w:hAnsi="Arial"/>
        </w:rPr>
      </w:pPr>
      <w:r>
        <w:rPr>
          <w:rFonts w:ascii="Arial" w:cs="Arial" w:hAnsi="Arial"/>
        </w:rPr>
        <w:t>La Direction se chargera des formalités de dépôt.</w:t>
      </w:r>
    </w:p>
    <w:p>
      <w:pPr>
        <w:pStyle w:val="Normal"/>
        <w:spacing w:after="200" w:before="120"/>
        <w:jc w:val="both"/>
        <w:rPr>
          <w:rFonts w:ascii="Arial" w:cs="Arial" w:hAnsi="Arial"/>
        </w:rPr>
      </w:pPr>
      <w:r>
        <w:rPr>
          <w:rFonts w:ascii="Arial" w:cs="Arial" w:hAnsi="Arial"/>
        </w:rPr>
        <w:t xml:space="preserve">Un exemplaire de l’accord sera consultable sur le lieu de travail par les salariés. </w:t>
      </w:r>
    </w:p>
    <w:p>
      <w:pPr>
        <w:pStyle w:val="Normal"/>
        <w:spacing w:after="200" w:before="120"/>
        <w:jc w:val="both"/>
        <w:rPr>
          <w:rFonts w:ascii="Arial" w:cs="Arial" w:hAnsi="Arial"/>
        </w:rPr>
      </w:pPr>
      <w:r>
        <w:rPr>
          <w:rFonts w:ascii="Arial" w:cs="Arial" w:hAnsi="Arial"/>
        </w:rPr>
        <w:t>Les salariés seront informés de son existence, du lieu de consultation et le cas échéant, des modalités de consultation, par un avis apposé aux emplacements réservés à la communication avec le personnel.</w:t>
      </w:r>
    </w:p>
    <w:p>
      <w:pPr>
        <w:pStyle w:val="Normal"/>
        <w:spacing w:after="200" w:before="120"/>
        <w:jc w:val="both"/>
        <w:rPr>
          <w:rFonts w:ascii="Arial" w:cs="Arial" w:hAnsi="Arial"/>
        </w:rPr>
      </w:pPr>
      <w:r>
        <w:rPr>
          <w:rFonts w:ascii="Arial" w:cs="Arial" w:hAnsi="Arial"/>
        </w:rPr>
        <w:t>En outre, la société s’engage à remettre à chaque salarié, au moment de l’embauche, une notice d’information listant les conventions et accords applicables.</w:t>
      </w:r>
    </w:p>
    <w:p>
      <w:pPr>
        <w:pStyle w:val="Normal"/>
        <w:spacing w:after="200" w:before="120"/>
        <w:rPr>
          <w:rFonts w:ascii="Arial" w:cs="Arial" w:hAnsi="Arial"/>
        </w:rPr>
      </w:pPr>
      <w:r>
        <w:rPr>
          <w:rFonts w:ascii="Arial" w:cs="Arial" w:hAnsi="Arial"/>
        </w:rPr>
      </w:r>
    </w:p>
    <w:p>
      <w:pPr>
        <w:pStyle w:val="Normal"/>
        <w:rPr>
          <w:rFonts w:ascii="Arial" w:cs="Arial" w:eastAsia="Times New Roman" w:hAnsi="Arial"/>
        </w:rPr>
      </w:pPr>
      <w:r>
        <w:rPr>
          <w:rFonts w:ascii="Arial" w:cs="Arial" w:eastAsia="Times New Roman" w:hAnsi="Arial"/>
        </w:rPr>
      </w:r>
    </w:p>
    <w:p>
      <w:pPr>
        <w:pStyle w:val="BodyText"/>
        <w:jc w:val="both"/>
        <w:rPr>
          <w:rFonts w:ascii="Arial" w:cs="Arial" w:hAnsi="Arial"/>
        </w:rPr>
      </w:pPr>
      <w:r>
        <w:rPr>
          <w:rFonts w:ascii="Arial" w:cs="Arial" w:hAnsi="Arial"/>
        </w:rPr>
        <w:t>Fait à Saint-Barthélemy-le-Plain,</w:t>
      </w:r>
    </w:p>
    <w:p>
      <w:pPr>
        <w:pStyle w:val="BodyText"/>
        <w:jc w:val="both"/>
        <w:rPr>
          <w:rFonts w:ascii="Arial" w:cs="Arial" w:hAnsi="Arial"/>
          <w:b/>
          <w:szCs w:val="22"/>
          <w:lang w:val="fr-FR"/>
        </w:rPr>
      </w:pPr>
      <w:r>
        <w:rPr>
          <w:rFonts w:ascii="Arial" w:cs="Arial" w:hAnsi="Arial"/>
          <w:szCs w:val="22"/>
          <w:lang w:val="fr-FR"/>
        </w:rPr>
        <w:t>Le 02/12/2025</w:t>
      </w:r>
    </w:p>
    <w:p>
      <w:pPr>
        <w:pStyle w:val="Normal"/>
        <w:jc w:val="both"/>
        <w:rPr>
          <w:rFonts w:ascii="Arial" w:cs="Arial" w:hAnsi="Arial"/>
          <w:b/>
          <w:u w:val="single"/>
        </w:rPr>
      </w:pPr>
      <w:r>
        <w:rPr>
          <w:rFonts w:ascii="Arial" w:cs="Arial" w:hAnsi="Arial"/>
          <w:b/>
          <w:u w:val="single"/>
        </w:rPr>
      </w:r>
    </w:p>
    <w:p>
      <w:pPr>
        <w:pStyle w:val="Normal"/>
        <w:spacing w:after="0" w:before="0"/>
        <w:jc w:val="both"/>
        <w:rPr>
          <w:rFonts w:ascii="Arial" w:cs="Arial" w:hAnsi="Arial"/>
          <w:b/>
          <w:u w:val="single"/>
        </w:rPr>
      </w:pPr>
      <w:r>
        <w:rPr>
          <w:rFonts w:ascii="Arial" w:cs="Arial" w:eastAsia="Times New Roman" w:hAnsi="Arial"/>
          <w:b/>
          <w:u w:val="single"/>
        </w:rPr>
        <w:t>Pour les salariés</w:t>
      </w:r>
      <w:r>
        <w:rPr>
          <w:rFonts w:ascii="Arial" w:cs="Arial" w:hAnsi="Arial"/>
          <w:b/>
        </w:rPr>
        <w:tab/>
        <w:tab/>
        <w:tab/>
        <w:tab/>
      </w:r>
      <w:r>
        <w:rPr>
          <w:rFonts w:ascii="Arial" w:cs="Arial" w:hAnsi="Arial"/>
          <w:b/>
          <w:u w:val="single"/>
        </w:rPr>
        <w:t xml:space="preserve">Pour la SARL CORNU TERRASSEMENT </w:t>
      </w:r>
    </w:p>
    <w:p>
      <w:pPr>
        <w:pStyle w:val="Normal"/>
        <w:ind w:firstLine="708" w:left="3540"/>
        <w:jc w:val="both"/>
        <w:rPr>
          <w:rFonts w:ascii="Arial" w:cs="Arial" w:hAnsi="Arial"/>
          <w:b/>
          <w:u w:val="single"/>
        </w:rPr>
      </w:pPr>
      <w:r>
        <w:rPr>
          <w:rFonts w:ascii="Arial" w:cs="Arial" w:hAnsi="Arial"/>
          <w:b/>
          <w:u w:val="single"/>
        </w:rPr>
        <w:t xml:space="preserve">TRANSPORT LOCATION </w:t>
      </w:r>
    </w:p>
    <w:p>
      <w:pPr>
        <w:pStyle w:val="Normal"/>
        <w:jc w:val="both"/>
        <w:rPr>
          <w:rFonts w:ascii="Arial" w:cs="Arial" w:hAnsi="Arial"/>
          <w:b/>
        </w:rPr>
      </w:pPr>
      <w:r>
        <w:rPr>
          <w:rFonts w:ascii="Arial" w:cs="Arial" w:hAnsi="Arial"/>
        </w:rPr>
        <w:t>PV de la consultation du 19/12/2025</w:t>
      </w:r>
      <w:r>
        <w:rPr>
          <w:rFonts w:ascii="Arial" w:cs="Arial" w:hAnsi="Arial"/>
          <w:b/>
        </w:rPr>
        <w:tab/>
        <w:tab/>
        <w:t xml:space="preserve">Représentée par Monsieur                     </w:t>
      </w:r>
    </w:p>
    <w:p>
      <w:pPr>
        <w:pStyle w:val="BodyText"/>
        <w:jc w:val="both"/>
        <w:rPr>
          <w:rFonts w:ascii="Arial" w:cs="Arial" w:hAnsi="Arial"/>
          <w:lang w:val="fr-FR"/>
        </w:rPr>
      </w:pPr>
      <w:r>
        <w:rPr>
          <w:rFonts w:ascii="Arial" w:cs="Arial" w:hAnsi="Arial"/>
          <w:lang w:val="fr-FR"/>
        </w:rPr>
        <w:tab/>
        <w:tab/>
        <w:tab/>
        <w:tab/>
        <w:tab/>
        <w:tab/>
        <w:t>Agissant en qualité de Gérant</w:t>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jc w:val="both"/>
        <w:rPr>
          <w:rFonts w:ascii="Arial" w:cs="Arial" w:hAnsi="Arial"/>
          <w:lang w:val="fr-FR"/>
        </w:rPr>
      </w:pPr>
      <w:r>
        <w:rPr>
          <w:rFonts w:ascii="Arial" w:cs="Arial" w:hAnsi="Arial"/>
          <w:lang w:val="fr-FR"/>
        </w:rPr>
      </w:r>
    </w:p>
    <w:p>
      <w:pPr>
        <w:pStyle w:val="BodyText"/>
        <w:spacing w:after="130" w:before="130"/>
        <w:jc w:val="both"/>
        <w:rPr>
          <w:rFonts w:ascii="Arial" w:cs="Arial" w:hAnsi="Arial"/>
          <w:lang w:val="fr-FR"/>
        </w:rPr>
      </w:pPr>
      <w:r>
        <w:rPr>
          <w:rFonts w:ascii="Arial" w:cs="Arial" w:hAnsi="Arial"/>
          <w:lang w:val="fr-FR"/>
        </w:rPr>
      </w:r>
    </w:p>
    <w:sectPr>
      <w:headerReference r:id="rId3" w:type="even"/>
      <w:headerReference r:id="rId4" w:type="default"/>
      <w:headerReference r:id="rId5" w:type="first"/>
      <w:footerReference r:id="rId6" w:type="even"/>
      <w:footerReference r:id="rId7" w:type="default"/>
      <w:footerReference r:id="rId8" w:type="first"/>
      <w:type w:val="nextPage"/>
      <w:pgSz w:h="16838" w:w="11906"/>
      <w:pgMar w:bottom="1417" w:footer="708" w:gutter="0" w:header="708" w:left="1417" w:right="1417" w:top="1417"/>
      <w:pgNumType w:fmt="decimal"/>
      <w:formProt w:val="false"/>
      <w:textDirection w:val="lrTb"/>
      <w:docGrid w:charSpace="4096"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Arial">
    <w:charset w:val="01"/>
    <w:family w:val="auto"/>
    <w:pitch w:val="default"/>
  </w:font>
  <w:font w:name="Times New Roman">
    <w:charset w:val="01"/>
    <w:family w:val="auto"/>
    <w:pitch w:val="default"/>
  </w:font>
  <w:font w:name="Tahoma">
    <w:charset w:val="01"/>
    <w:family w:val="auto"/>
    <w:pitch w:val="default"/>
  </w:font>
  <w:font w:name="Marianne">
    <w:charset w:val="01"/>
    <w:family w:val="auto"/>
    <w:pitch w:val="default"/>
  </w:font>
  <w:font w:name="Trebuchet MS">
    <w:charset w:val="01"/>
    <w:family w:val="auto"/>
    <w:pitch w:val="default"/>
  </w:font>
  <w:font w:name="Cambria">
    <w:charset w:val="01"/>
    <w:family w:val="auto"/>
    <w:pitch w:val="default"/>
  </w:font>
  <w:font w:name="Fira Sans">
    <w:charset w:val="01"/>
    <w:family w:val="auto"/>
    <w:pitch w:val="default"/>
  </w:font>
  <w:font w:name="Calibri">
    <w:charset w:val="01"/>
    <w:family w:val="swiss"/>
    <w:pitch w:val="variable"/>
  </w:font>
  <w:font w:name="Courier New">
    <w:charset w:val="01"/>
    <w:family w:val="modern"/>
    <w:pitch w:val="fixed"/>
  </w:font>
  <w:font w:name="Wingdings">
    <w:charset w:val="02"/>
    <w:family w:val="auto"/>
    <w:pitch w:val="variable"/>
  </w:font>
  <w:font w:name="Arial">
    <w:charset w:val="01"/>
    <w:family w:val="swiss"/>
    <w:pitch w:val="variable"/>
  </w:font>
  <w:font w:name="Sylfaen">
    <w:charset w:val="01"/>
    <w:family w:val="roman"/>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rPr/>
    </w:pPr>
    <w:r>
      <w:rPr/>
    </w:r>
  </w:p>
</w:ftr>
</file>

<file path=word/footer2.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jc w:val="center"/>
      <w:rPr>
        <w:rFonts w:ascii="Arial" w:cs="Arial" w:hAnsi="Arial"/>
        <w:sz w:val="16"/>
        <w:szCs w:val="16"/>
      </w:rPr>
    </w:pPr>
    <w:r>
      <w:rPr>
        <w:rFonts w:ascii="Arial" w:cs="Arial" w:hAnsi="Arial"/>
        <w:sz w:val="16"/>
        <w:szCs w:val="16"/>
      </w:rPr>
      <w:t xml:space="preserve">Page </w:t>
    </w:r>
    <w:r>
      <w:rPr>
        <w:rFonts w:ascii="Arial" w:cs="Arial" w:hAnsi="Arial"/>
        <w:sz w:val="16"/>
        <w:szCs w:val="16"/>
      </w:rPr>
      <w:fldChar w:fldCharType="begin"/>
    </w:r>
    <w:r>
      <w:rPr>
        <w:sz w:val="16"/>
        <w:szCs w:val="16"/>
        <w:rFonts w:ascii="Arial" w:cs="Arial" w:hAnsi="Arial"/>
      </w:rPr>
      <w:instrText xml:space="preserve"> PAGE \* ARABIC </w:instrText>
    </w:r>
    <w:r>
      <w:rPr>
        <w:sz w:val="16"/>
        <w:szCs w:val="16"/>
        <w:rFonts w:ascii="Arial" w:cs="Arial" w:hAnsi="Arial"/>
      </w:rPr>
      <w:fldChar w:fldCharType="separate"/>
    </w:r>
    <w:r>
      <w:rPr>
        <w:sz w:val="16"/>
        <w:szCs w:val="16"/>
        <w:rFonts w:ascii="Arial" w:cs="Arial" w:hAnsi="Arial"/>
      </w:rPr>
      <w:t>10</w:t>
    </w:r>
    <w:r>
      <w:rPr>
        <w:sz w:val="16"/>
        <w:szCs w:val="16"/>
        <w:rFonts w:ascii="Arial" w:cs="Arial" w:hAnsi="Arial"/>
      </w:rPr>
      <w:fldChar w:fldCharType="end"/>
    </w:r>
    <w:r>
      <w:rPr>
        <w:rFonts w:ascii="Arial" w:cs="Arial" w:hAnsi="Arial"/>
        <w:sz w:val="16"/>
        <w:szCs w:val="16"/>
      </w:rPr>
      <w:t xml:space="preserve"> sur </w:t>
    </w:r>
    <w:r>
      <w:rPr>
        <w:rFonts w:ascii="Arial" w:cs="Arial" w:hAnsi="Arial"/>
        <w:sz w:val="16"/>
        <w:szCs w:val="16"/>
      </w:rPr>
      <w:fldChar w:fldCharType="begin"/>
    </w:r>
    <w:r>
      <w:rPr>
        <w:sz w:val="16"/>
        <w:szCs w:val="16"/>
        <w:rFonts w:ascii="Arial" w:cs="Arial" w:hAnsi="Arial"/>
      </w:rPr>
      <w:instrText xml:space="preserve"> NUMPAGES </w:instrText>
    </w:r>
    <w:r>
      <w:rPr>
        <w:sz w:val="16"/>
        <w:szCs w:val="16"/>
        <w:rFonts w:ascii="Arial" w:cs="Arial" w:hAnsi="Arial"/>
      </w:rPr>
      <w:fldChar w:fldCharType="separate"/>
    </w:r>
    <w:r>
      <w:rPr>
        <w:sz w:val="16"/>
        <w:szCs w:val="16"/>
        <w:rFonts w:ascii="Arial" w:cs="Arial" w:hAnsi="Arial"/>
      </w:rPr>
      <w:t>10</w:t>
    </w:r>
    <w:r>
      <w:rPr>
        <w:sz w:val="16"/>
        <w:szCs w:val="16"/>
        <w:rFonts w:ascii="Arial" w:cs="Arial" w:hAnsi="Arial"/>
      </w:rPr>
      <w:fldChar w:fldCharType="end"/>
    </w:r>
  </w:p>
</w:ftr>
</file>

<file path=word/footer3.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Footer"/>
      <w:jc w:val="center"/>
      <w:rPr>
        <w:rFonts w:ascii="Arial" w:cs="Arial" w:hAnsi="Arial"/>
        <w:sz w:val="16"/>
        <w:szCs w:val="16"/>
      </w:rPr>
    </w:pPr>
    <w:r>
      <w:rPr>
        <w:rFonts w:ascii="Arial" w:cs="Arial" w:hAnsi="Arial"/>
        <w:sz w:val="16"/>
        <w:szCs w:val="16"/>
      </w:rPr>
      <w:t xml:space="preserve">Page </w:t>
    </w:r>
    <w:r>
      <w:rPr>
        <w:rFonts w:ascii="Arial" w:cs="Arial" w:hAnsi="Arial"/>
        <w:sz w:val="16"/>
        <w:szCs w:val="16"/>
      </w:rPr>
      <w:fldChar w:fldCharType="begin"/>
    </w:r>
    <w:r>
      <w:rPr>
        <w:sz w:val="16"/>
        <w:szCs w:val="16"/>
        <w:rFonts w:ascii="Arial" w:cs="Arial" w:hAnsi="Arial"/>
      </w:rPr>
      <w:instrText xml:space="preserve"> PAGE \* ARABIC </w:instrText>
    </w:r>
    <w:r>
      <w:rPr>
        <w:sz w:val="16"/>
        <w:szCs w:val="16"/>
        <w:rFonts w:ascii="Arial" w:cs="Arial" w:hAnsi="Arial"/>
      </w:rPr>
      <w:fldChar w:fldCharType="separate"/>
    </w:r>
    <w:r>
      <w:rPr>
        <w:sz w:val="16"/>
        <w:szCs w:val="16"/>
        <w:rFonts w:ascii="Arial" w:cs="Arial" w:hAnsi="Arial"/>
      </w:rPr>
      <w:t>10</w:t>
    </w:r>
    <w:r>
      <w:rPr>
        <w:sz w:val="16"/>
        <w:szCs w:val="16"/>
        <w:rFonts w:ascii="Arial" w:cs="Arial" w:hAnsi="Arial"/>
      </w:rPr>
      <w:fldChar w:fldCharType="end"/>
    </w:r>
    <w:r>
      <w:rPr>
        <w:rFonts w:ascii="Arial" w:cs="Arial" w:hAnsi="Arial"/>
        <w:sz w:val="16"/>
        <w:szCs w:val="16"/>
      </w:rPr>
      <w:t xml:space="preserve"> sur </w:t>
    </w:r>
    <w:r>
      <w:rPr>
        <w:rFonts w:ascii="Arial" w:cs="Arial" w:hAnsi="Arial"/>
        <w:sz w:val="16"/>
        <w:szCs w:val="16"/>
      </w:rPr>
      <w:fldChar w:fldCharType="begin"/>
    </w:r>
    <w:r>
      <w:rPr>
        <w:sz w:val="16"/>
        <w:szCs w:val="16"/>
        <w:rFonts w:ascii="Arial" w:cs="Arial" w:hAnsi="Arial"/>
      </w:rPr>
      <w:instrText xml:space="preserve"> NUMPAGES </w:instrText>
    </w:r>
    <w:r>
      <w:rPr>
        <w:sz w:val="16"/>
        <w:szCs w:val="16"/>
        <w:rFonts w:ascii="Arial" w:cs="Arial" w:hAnsi="Arial"/>
      </w:rPr>
      <w:fldChar w:fldCharType="separate"/>
    </w:r>
    <w:r>
      <w:rPr>
        <w:sz w:val="16"/>
        <w:szCs w:val="16"/>
        <w:rFonts w:ascii="Arial" w:cs="Arial" w:hAnsi="Arial"/>
      </w:rPr>
      <w:t>10</w:t>
    </w:r>
    <w:r>
      <w:rPr>
        <w:sz w:val="16"/>
        <w:szCs w:val="16"/>
        <w:rFonts w:ascii="Arial" w:cs="Arial" w:hAnsi="Arial"/>
      </w:rPr>
      <w:fldChar w:fldCharType="end"/>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pict>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adj="10800" fillcolor="silver" id="PowerPlusWaterMarkObject7997063" o:allowincell="f" o:spid="shape_0" stroked="f" style="position:absolute;margin-left:-23.15pt;margin-top:155.25pt;width:497.35pt;height:140.35pt;mso-wrap-style:none;v-text-anchor:middle;rotation:315;mso-position-horizontal:center;mso-position-horizontal-relative:margin;mso-position-vertical:center;mso-position-vertical-relative:margin" type="_x0000_t136">
          <v:path textpathok="t"/>
          <v:textpath fitshape="t" on="t" string="PROJET" style="font-family:&quot;arial&quot;;font-size:1pt" trim="t"/>
          <v:fill color2="#3f3f3f" o:detectmouseclick="t" type="solid"/>
          <v:stroke color="#3465a4" endcap="flat" joinstyle="round"/>
          <w10:wrap type="none"/>
        </v:shape>
      </w:pict>
    </w:r>
  </w:p>
</w:hdr>
</file>

<file path=word/header2.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header3.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15">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4"/>
      <w:numFmt w:val="bullet"/>
      <w:lvlText w:val="-"/>
      <w:lvlJc w:val="left"/>
      <w:pPr>
        <w:tabs>
          <w:tab w:pos="0" w:val="num"/>
        </w:tabs>
        <w:ind w:hanging="360" w:left="720"/>
      </w:pPr>
      <w:rPr>
        <w:rFonts w:ascii="Calibri" w:cs="Calibri" w:hAnsi="Calibri" w:hint="default"/>
        <w:rFonts w:eastAsiaTheme="minorHAnsi"/>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2">
    <w:lvl w:ilvl="0">
      <w:numFmt w:val="bullet"/>
      <w:lvlText w:val="-"/>
      <w:lvlJc w:val="left"/>
      <w:pPr>
        <w:tabs>
          <w:tab w:pos="0" w:val="num"/>
        </w:tabs>
        <w:ind w:hanging="360" w:left="720"/>
      </w:pPr>
      <w:rPr>
        <w:rFonts w:ascii="Arial" w:cs="Arial" w:hAnsi="Aria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3">
    <w:lvl w:ilvl="0">
      <w:numFmt w:val="bullet"/>
      <w:lvlText w:val="-"/>
      <w:lvlJc w:val="left"/>
      <w:pPr>
        <w:tabs>
          <w:tab w:pos="0" w:val="num"/>
        </w:tabs>
        <w:ind w:hanging="360" w:left="360"/>
      </w:pPr>
      <w:rPr>
        <w:rFonts w:ascii="Sylfaen" w:cs="Sylfaen" w:hAnsi="Sylfaen" w:hint="default"/>
        <w:rFonts w:cstheme="minorBidi" w:eastAsiaTheme="minorHAnsi"/>
      </w:rPr>
    </w:lvl>
    <w:lvl w:ilvl="1">
      <w:start w:val="1"/>
      <w:numFmt w:val="bullet"/>
      <w:lvlText w:val="o"/>
      <w:lvlJc w:val="left"/>
      <w:pPr>
        <w:tabs>
          <w:tab w:pos="0" w:val="num"/>
        </w:tabs>
        <w:ind w:hanging="360" w:left="1080"/>
      </w:pPr>
      <w:rPr>
        <w:rFonts w:ascii="Courier New" w:cs="Courier New" w:hAnsi="Courier New" w:hint="default"/>
      </w:rPr>
    </w:lvl>
    <w:lvl w:ilvl="2">
      <w:start w:val="1"/>
      <w:numFmt w:val="bullet"/>
      <w:lvlText w:val=""/>
      <w:lvlJc w:val="left"/>
      <w:pPr>
        <w:tabs>
          <w:tab w:pos="0" w:val="num"/>
        </w:tabs>
        <w:ind w:hanging="360" w:left="1800"/>
      </w:pPr>
      <w:rPr>
        <w:rFonts w:ascii="Wingdings" w:cs="Wingdings" w:hAnsi="Wingdings" w:hint="default"/>
      </w:rPr>
    </w:lvl>
    <w:lvl w:ilvl="3">
      <w:start w:val="1"/>
      <w:numFmt w:val="bullet"/>
      <w:lvlText w:val=""/>
      <w:lvlJc w:val="left"/>
      <w:pPr>
        <w:tabs>
          <w:tab w:pos="0" w:val="num"/>
        </w:tabs>
        <w:ind w:hanging="360" w:left="2520"/>
      </w:pPr>
      <w:rPr>
        <w:rFonts w:ascii="Symbol" w:cs="Symbol" w:hAnsi="Symbol" w:hint="default"/>
      </w:rPr>
    </w:lvl>
    <w:lvl w:ilvl="4">
      <w:start w:val="1"/>
      <w:numFmt w:val="bullet"/>
      <w:lvlText w:val="o"/>
      <w:lvlJc w:val="left"/>
      <w:pPr>
        <w:tabs>
          <w:tab w:pos="0" w:val="num"/>
        </w:tabs>
        <w:ind w:hanging="360" w:left="3240"/>
      </w:pPr>
      <w:rPr>
        <w:rFonts w:ascii="Courier New" w:cs="Courier New" w:hAnsi="Courier New" w:hint="default"/>
      </w:rPr>
    </w:lvl>
    <w:lvl w:ilvl="5">
      <w:start w:val="1"/>
      <w:numFmt w:val="bullet"/>
      <w:lvlText w:val=""/>
      <w:lvlJc w:val="left"/>
      <w:pPr>
        <w:tabs>
          <w:tab w:pos="0" w:val="num"/>
        </w:tabs>
        <w:ind w:hanging="360" w:left="3960"/>
      </w:pPr>
      <w:rPr>
        <w:rFonts w:ascii="Wingdings" w:cs="Wingdings" w:hAnsi="Wingdings" w:hint="default"/>
      </w:rPr>
    </w:lvl>
    <w:lvl w:ilvl="6">
      <w:start w:val="1"/>
      <w:numFmt w:val="bullet"/>
      <w:lvlText w:val=""/>
      <w:lvlJc w:val="left"/>
      <w:pPr>
        <w:tabs>
          <w:tab w:pos="0" w:val="num"/>
        </w:tabs>
        <w:ind w:hanging="360" w:left="4680"/>
      </w:pPr>
      <w:rPr>
        <w:rFonts w:ascii="Symbol" w:cs="Symbol" w:hAnsi="Symbol" w:hint="default"/>
      </w:rPr>
    </w:lvl>
    <w:lvl w:ilvl="7">
      <w:start w:val="1"/>
      <w:numFmt w:val="bullet"/>
      <w:lvlText w:val="o"/>
      <w:lvlJc w:val="left"/>
      <w:pPr>
        <w:tabs>
          <w:tab w:pos="0" w:val="num"/>
        </w:tabs>
        <w:ind w:hanging="360" w:left="5400"/>
      </w:pPr>
      <w:rPr>
        <w:rFonts w:ascii="Courier New" w:cs="Courier New" w:hAnsi="Courier New" w:hint="default"/>
      </w:rPr>
    </w:lvl>
    <w:lvl w:ilvl="8">
      <w:start w:val="1"/>
      <w:numFmt w:val="bullet"/>
      <w:lvlText w:val=""/>
      <w:lvlJc w:val="left"/>
      <w:pPr>
        <w:tabs>
          <w:tab w:pos="0" w:val="num"/>
        </w:tabs>
        <w:ind w:hanging="360" w:left="6120"/>
      </w:pPr>
      <w:rPr>
        <w:rFonts w:ascii="Wingdings" w:cs="Wingdings" w:hAnsi="Wingdings" w:hint="default"/>
      </w:rPr>
    </w:lvl>
  </w:abstractNum>
  <w:abstractNum w:abstractNumId="4">
    <w:lvl w:ilvl="0">
      <w:start w:val="1"/>
      <w:numFmt w:val="decimal"/>
      <w:lvlText w:val="ARTICLE %1 :"/>
      <w:lvlJc w:val="left"/>
      <w:pPr>
        <w:tabs>
          <w:tab w:pos="0" w:val="num"/>
        </w:tabs>
        <w:ind w:hanging="360" w:left="360"/>
      </w:pPr>
      <w:rPr/>
    </w:lvl>
    <w:lvl w:ilvl="1">
      <w:start w:val="3"/>
      <w:numFmt w:val="decimal"/>
      <w:lvlText w:val="Article %1.%2."/>
      <w:lvlJc w:val="left"/>
      <w:pPr>
        <w:tabs>
          <w:tab w:pos="0" w:val="num"/>
        </w:tabs>
        <w:ind w:hanging="360" w:left="720"/>
      </w:pPr>
      <w:rPr/>
    </w:lvl>
    <w:lvl w:ilvl="2">
      <w:start w:val="1"/>
      <w:numFmt w:val="decimal"/>
      <w:lvlText w:val="Article %1.%2.%3."/>
      <w:lvlJc w:val="left"/>
      <w:pPr>
        <w:tabs>
          <w:tab w:pos="0" w:val="num"/>
        </w:tabs>
        <w:ind w:hanging="360" w:left="1080"/>
      </w:pPr>
      <w:rPr/>
    </w:lvl>
    <w:lvl w:ilvl="3">
      <w:start w:val="1"/>
      <w:numFmt w:val="decimal"/>
      <w:lvlText w:val="Article %1.%2.%3.%4"/>
      <w:lvlJc w:val="left"/>
      <w:pPr>
        <w:tabs>
          <w:tab w:pos="0" w:val="num"/>
        </w:tabs>
        <w:ind w:hanging="360" w:left="1440"/>
      </w:pPr>
      <w:rPr/>
    </w:lvl>
    <w:lvl w:ilvl="4">
      <w:start w:val="1"/>
      <w:numFmt w:val="lowerLetter"/>
      <w:lvlText w:val="(%5)"/>
      <w:lvlJc w:val="left"/>
      <w:pPr>
        <w:tabs>
          <w:tab w:pos="0" w:val="num"/>
        </w:tabs>
        <w:ind w:hanging="360" w:left="1800"/>
      </w:pPr>
      <w:rPr/>
    </w:lvl>
    <w:lvl w:ilvl="5">
      <w:start w:val="1"/>
      <w:numFmt w:val="lowerRoman"/>
      <w:lvlText w:val="(%6)"/>
      <w:lvlJc w:val="left"/>
      <w:pPr>
        <w:tabs>
          <w:tab w:pos="0" w:val="num"/>
        </w:tabs>
        <w:ind w:hanging="360" w:left="2160"/>
      </w:pPr>
      <w:rPr/>
    </w:lvl>
    <w:lvl w:ilvl="6">
      <w:start w:val="1"/>
      <w:numFmt w:val="decimal"/>
      <w:lvlText w:val="%7."/>
      <w:lvlJc w:val="left"/>
      <w:pPr>
        <w:tabs>
          <w:tab w:pos="0" w:val="num"/>
        </w:tabs>
        <w:ind w:hanging="360" w:left="2520"/>
      </w:pPr>
      <w:rPr/>
    </w:lvl>
    <w:lvl w:ilvl="7">
      <w:start w:val="1"/>
      <w:numFmt w:val="lowerLetter"/>
      <w:lvlText w:val="%8."/>
      <w:lvlJc w:val="left"/>
      <w:pPr>
        <w:tabs>
          <w:tab w:pos="0" w:val="num"/>
        </w:tabs>
        <w:ind w:hanging="360" w:left="2880"/>
      </w:pPr>
      <w:rPr/>
    </w:lvl>
    <w:lvl w:ilvl="8">
      <w:start w:val="1"/>
      <w:numFmt w:val="lowerRoman"/>
      <w:lvlText w:val="%9."/>
      <w:lvlJc w:val="left"/>
      <w:pPr>
        <w:tabs>
          <w:tab w:pos="0" w:val="num"/>
        </w:tabs>
        <w:ind w:hanging="360" w:left="3240"/>
      </w:pPr>
      <w:rPr/>
    </w:lvl>
  </w:abstractNum>
  <w:abstractNum w:abstractNumId="5">
    <w:lvl w:ilvl="0">
      <w:start w:val="2"/>
      <w:numFmt w:val="decimal"/>
      <w:lvlText w:val="ARTICLE %1 :"/>
      <w:lvlJc w:val="left"/>
      <w:pPr>
        <w:tabs>
          <w:tab w:pos="0" w:val="num"/>
        </w:tabs>
        <w:ind w:hanging="360" w:left="360"/>
      </w:pPr>
      <w:rPr/>
    </w:lvl>
    <w:lvl w:ilvl="1">
      <w:start w:val="1"/>
      <w:numFmt w:val="decimal"/>
      <w:lvlText w:val="Article %1.%2."/>
      <w:lvlJc w:val="left"/>
      <w:pPr>
        <w:tabs>
          <w:tab w:pos="0" w:val="num"/>
        </w:tabs>
        <w:ind w:hanging="360" w:left="720"/>
      </w:pPr>
      <w:rPr/>
    </w:lvl>
    <w:lvl w:ilvl="2">
      <w:start w:val="1"/>
      <w:numFmt w:val="decimal"/>
      <w:lvlText w:val="Article %1.%2.%3."/>
      <w:lvlJc w:val="left"/>
      <w:pPr>
        <w:tabs>
          <w:tab w:pos="0" w:val="num"/>
        </w:tabs>
        <w:ind w:hanging="360" w:left="1080"/>
      </w:pPr>
      <w:rPr/>
    </w:lvl>
    <w:lvl w:ilvl="3">
      <w:start w:val="1"/>
      <w:numFmt w:val="decimal"/>
      <w:lvlText w:val="Article %1.%2.%3.%4"/>
      <w:lvlJc w:val="left"/>
      <w:pPr>
        <w:tabs>
          <w:tab w:pos="0" w:val="num"/>
        </w:tabs>
        <w:ind w:hanging="360" w:left="1440"/>
      </w:pPr>
      <w:rPr/>
    </w:lvl>
    <w:lvl w:ilvl="4">
      <w:start w:val="1"/>
      <w:numFmt w:val="lowerLetter"/>
      <w:lvlText w:val="(%5)"/>
      <w:lvlJc w:val="left"/>
      <w:pPr>
        <w:tabs>
          <w:tab w:pos="0" w:val="num"/>
        </w:tabs>
        <w:ind w:hanging="360" w:left="1800"/>
      </w:pPr>
      <w:rPr/>
    </w:lvl>
    <w:lvl w:ilvl="5">
      <w:start w:val="1"/>
      <w:numFmt w:val="lowerRoman"/>
      <w:lvlText w:val="(%6)"/>
      <w:lvlJc w:val="left"/>
      <w:pPr>
        <w:tabs>
          <w:tab w:pos="0" w:val="num"/>
        </w:tabs>
        <w:ind w:hanging="360" w:left="2160"/>
      </w:pPr>
      <w:rPr/>
    </w:lvl>
    <w:lvl w:ilvl="6">
      <w:start w:val="1"/>
      <w:numFmt w:val="decimal"/>
      <w:lvlText w:val="%7."/>
      <w:lvlJc w:val="left"/>
      <w:pPr>
        <w:tabs>
          <w:tab w:pos="0" w:val="num"/>
        </w:tabs>
        <w:ind w:hanging="360" w:left="2520"/>
      </w:pPr>
      <w:rPr/>
    </w:lvl>
    <w:lvl w:ilvl="7">
      <w:start w:val="1"/>
      <w:numFmt w:val="lowerLetter"/>
      <w:lvlText w:val="%8."/>
      <w:lvlJc w:val="left"/>
      <w:pPr>
        <w:tabs>
          <w:tab w:pos="0" w:val="num"/>
        </w:tabs>
        <w:ind w:hanging="360" w:left="2880"/>
      </w:pPr>
      <w:rPr/>
    </w:lvl>
    <w:lvl w:ilvl="8">
      <w:start w:val="1"/>
      <w:numFmt w:val="lowerRoman"/>
      <w:lvlText w:val="%9."/>
      <w:lvlJc w:val="left"/>
      <w:pPr>
        <w:tabs>
          <w:tab w:pos="0" w:val="num"/>
        </w:tabs>
        <w:ind w:hanging="360" w:left="3240"/>
      </w:pPr>
      <w:rPr/>
    </w:lvl>
  </w:abstractNum>
  <w:abstractNum w:abstractNumId="6">
    <w:lvl w:ilvl="0">
      <w:start w:val="2"/>
      <w:numFmt w:val="decimal"/>
      <w:lvlText w:val="ARTICLE %1 :"/>
      <w:lvlJc w:val="left"/>
      <w:pPr>
        <w:tabs>
          <w:tab w:pos="0" w:val="num"/>
        </w:tabs>
        <w:ind w:hanging="360" w:left="360"/>
      </w:pPr>
      <w:rPr/>
    </w:lvl>
    <w:lvl w:ilvl="1">
      <w:start w:val="2"/>
      <w:numFmt w:val="decimal"/>
      <w:lvlText w:val="Article %1.%2."/>
      <w:lvlJc w:val="left"/>
      <w:pPr>
        <w:tabs>
          <w:tab w:pos="0" w:val="num"/>
        </w:tabs>
        <w:ind w:hanging="360" w:left="720"/>
      </w:pPr>
      <w:rPr/>
    </w:lvl>
    <w:lvl w:ilvl="2">
      <w:start w:val="1"/>
      <w:numFmt w:val="decimal"/>
      <w:lvlText w:val="Article %1.%2.%3."/>
      <w:lvlJc w:val="left"/>
      <w:pPr>
        <w:tabs>
          <w:tab w:pos="0" w:val="num"/>
        </w:tabs>
        <w:ind w:hanging="360" w:left="1080"/>
      </w:pPr>
      <w:rPr/>
    </w:lvl>
    <w:lvl w:ilvl="3">
      <w:start w:val="1"/>
      <w:numFmt w:val="decimal"/>
      <w:lvlText w:val="Article %1.%2.%3.%4"/>
      <w:lvlJc w:val="left"/>
      <w:pPr>
        <w:tabs>
          <w:tab w:pos="0" w:val="num"/>
        </w:tabs>
        <w:ind w:hanging="360" w:left="1440"/>
      </w:pPr>
      <w:rPr/>
    </w:lvl>
    <w:lvl w:ilvl="4">
      <w:start w:val="1"/>
      <w:numFmt w:val="lowerLetter"/>
      <w:lvlText w:val="(%5)"/>
      <w:lvlJc w:val="left"/>
      <w:pPr>
        <w:tabs>
          <w:tab w:pos="0" w:val="num"/>
        </w:tabs>
        <w:ind w:hanging="360" w:left="1800"/>
      </w:pPr>
      <w:rPr/>
    </w:lvl>
    <w:lvl w:ilvl="5">
      <w:start w:val="1"/>
      <w:numFmt w:val="lowerRoman"/>
      <w:lvlText w:val="(%6)"/>
      <w:lvlJc w:val="left"/>
      <w:pPr>
        <w:tabs>
          <w:tab w:pos="0" w:val="num"/>
        </w:tabs>
        <w:ind w:hanging="360" w:left="2160"/>
      </w:pPr>
      <w:rPr/>
    </w:lvl>
    <w:lvl w:ilvl="6">
      <w:start w:val="1"/>
      <w:numFmt w:val="decimal"/>
      <w:lvlText w:val="%7."/>
      <w:lvlJc w:val="left"/>
      <w:pPr>
        <w:tabs>
          <w:tab w:pos="0" w:val="num"/>
        </w:tabs>
        <w:ind w:hanging="360" w:left="2520"/>
      </w:pPr>
      <w:rPr/>
    </w:lvl>
    <w:lvl w:ilvl="7">
      <w:start w:val="1"/>
      <w:numFmt w:val="lowerLetter"/>
      <w:lvlText w:val="%8."/>
      <w:lvlJc w:val="left"/>
      <w:pPr>
        <w:tabs>
          <w:tab w:pos="0" w:val="num"/>
        </w:tabs>
        <w:ind w:hanging="360" w:left="2880"/>
      </w:pPr>
      <w:rPr/>
    </w:lvl>
    <w:lvl w:ilvl="8">
      <w:start w:val="1"/>
      <w:numFmt w:val="lowerRoman"/>
      <w:lvlText w:val="%9."/>
      <w:lvlJc w:val="left"/>
      <w:pPr>
        <w:tabs>
          <w:tab w:pos="0" w:val="num"/>
        </w:tabs>
        <w:ind w:hanging="360" w:left="3240"/>
      </w:pPr>
      <w:rPr/>
    </w:lvl>
  </w:abstractNum>
  <w:abstractNum w:abstractNumId="7">
    <w:lvl w:ilvl="0">
      <w:start w:val="3"/>
      <w:numFmt w:val="decimal"/>
      <w:lvlText w:val="ARTICLE %1 :"/>
      <w:lvlJc w:val="left"/>
      <w:pPr>
        <w:tabs>
          <w:tab w:pos="0" w:val="num"/>
        </w:tabs>
        <w:ind w:hanging="360" w:left="360"/>
      </w:pPr>
      <w:rPr/>
    </w:lvl>
    <w:lvl w:ilvl="1">
      <w:start w:val="1"/>
      <w:numFmt w:val="decimal"/>
      <w:lvlText w:val="Article %1.%2."/>
      <w:lvlJc w:val="left"/>
      <w:pPr>
        <w:tabs>
          <w:tab w:pos="0" w:val="num"/>
        </w:tabs>
        <w:ind w:hanging="360" w:left="720"/>
      </w:pPr>
      <w:rPr/>
    </w:lvl>
    <w:lvl w:ilvl="2">
      <w:start w:val="1"/>
      <w:numFmt w:val="decimal"/>
      <w:lvlText w:val="Article %1.%2.%3."/>
      <w:lvlJc w:val="left"/>
      <w:pPr>
        <w:tabs>
          <w:tab w:pos="0" w:val="num"/>
        </w:tabs>
        <w:ind w:hanging="360" w:left="1080"/>
      </w:pPr>
      <w:rPr/>
    </w:lvl>
    <w:lvl w:ilvl="3">
      <w:start w:val="1"/>
      <w:numFmt w:val="decimal"/>
      <w:lvlText w:val="Article %1.%2.%3.%4"/>
      <w:lvlJc w:val="left"/>
      <w:pPr>
        <w:tabs>
          <w:tab w:pos="0" w:val="num"/>
        </w:tabs>
        <w:ind w:hanging="360" w:left="1440"/>
      </w:pPr>
      <w:rPr/>
    </w:lvl>
    <w:lvl w:ilvl="4">
      <w:start w:val="1"/>
      <w:numFmt w:val="lowerLetter"/>
      <w:lvlText w:val="(%5)"/>
      <w:lvlJc w:val="left"/>
      <w:pPr>
        <w:tabs>
          <w:tab w:pos="0" w:val="num"/>
        </w:tabs>
        <w:ind w:hanging="360" w:left="1800"/>
      </w:pPr>
      <w:rPr/>
    </w:lvl>
    <w:lvl w:ilvl="5">
      <w:start w:val="1"/>
      <w:numFmt w:val="lowerRoman"/>
      <w:lvlText w:val="(%6)"/>
      <w:lvlJc w:val="left"/>
      <w:pPr>
        <w:tabs>
          <w:tab w:pos="0" w:val="num"/>
        </w:tabs>
        <w:ind w:hanging="360" w:left="2160"/>
      </w:pPr>
      <w:rPr/>
    </w:lvl>
    <w:lvl w:ilvl="6">
      <w:start w:val="1"/>
      <w:numFmt w:val="decimal"/>
      <w:lvlText w:val="%7."/>
      <w:lvlJc w:val="left"/>
      <w:pPr>
        <w:tabs>
          <w:tab w:pos="0" w:val="num"/>
        </w:tabs>
        <w:ind w:hanging="360" w:left="2520"/>
      </w:pPr>
      <w:rPr/>
    </w:lvl>
    <w:lvl w:ilvl="7">
      <w:start w:val="1"/>
      <w:numFmt w:val="lowerLetter"/>
      <w:lvlText w:val="%8."/>
      <w:lvlJc w:val="left"/>
      <w:pPr>
        <w:tabs>
          <w:tab w:pos="0" w:val="num"/>
        </w:tabs>
        <w:ind w:hanging="360" w:left="2880"/>
      </w:pPr>
      <w:rPr/>
    </w:lvl>
    <w:lvl w:ilvl="8">
      <w:start w:val="1"/>
      <w:numFmt w:val="lowerRoman"/>
      <w:lvlText w:val="%9."/>
      <w:lvlJc w:val="left"/>
      <w:pPr>
        <w:tabs>
          <w:tab w:pos="0" w:val="num"/>
        </w:tabs>
        <w:ind w:hanging="360" w:left="3240"/>
      </w:pPr>
      <w:rPr/>
    </w:lvl>
  </w:abstractNum>
  <w:abstractNum w:abstractNumId="8">
    <w:lvl w:ilvl="0">
      <w:start w:val="4"/>
      <w:numFmt w:val="decimal"/>
      <w:lvlText w:val="ARTICLE %1 :"/>
      <w:lvlJc w:val="left"/>
      <w:pPr>
        <w:tabs>
          <w:tab w:pos="0" w:val="num"/>
        </w:tabs>
        <w:ind w:hanging="360" w:left="360"/>
      </w:pPr>
      <w:rPr/>
    </w:lvl>
    <w:lvl w:ilvl="1">
      <w:start w:val="1"/>
      <w:numFmt w:val="decimal"/>
      <w:lvlText w:val="Article %1.%2."/>
      <w:lvlJc w:val="left"/>
      <w:pPr>
        <w:tabs>
          <w:tab w:pos="0" w:val="num"/>
        </w:tabs>
        <w:ind w:hanging="360" w:left="720"/>
      </w:pPr>
      <w:rPr/>
    </w:lvl>
    <w:lvl w:ilvl="2">
      <w:start w:val="1"/>
      <w:numFmt w:val="decimal"/>
      <w:lvlText w:val="Article %1.%2.%3."/>
      <w:lvlJc w:val="left"/>
      <w:pPr>
        <w:tabs>
          <w:tab w:pos="0" w:val="num"/>
        </w:tabs>
        <w:ind w:hanging="360" w:left="1080"/>
      </w:pPr>
      <w:rPr/>
    </w:lvl>
    <w:lvl w:ilvl="3">
      <w:start w:val="1"/>
      <w:numFmt w:val="decimal"/>
      <w:lvlText w:val="Article %1.%2.%3.%4"/>
      <w:lvlJc w:val="left"/>
      <w:pPr>
        <w:tabs>
          <w:tab w:pos="0" w:val="num"/>
        </w:tabs>
        <w:ind w:hanging="360" w:left="1440"/>
      </w:pPr>
      <w:rPr/>
    </w:lvl>
    <w:lvl w:ilvl="4">
      <w:start w:val="1"/>
      <w:numFmt w:val="lowerLetter"/>
      <w:lvlText w:val="(%5)"/>
      <w:lvlJc w:val="left"/>
      <w:pPr>
        <w:tabs>
          <w:tab w:pos="0" w:val="num"/>
        </w:tabs>
        <w:ind w:hanging="360" w:left="1800"/>
      </w:pPr>
      <w:rPr/>
    </w:lvl>
    <w:lvl w:ilvl="5">
      <w:start w:val="1"/>
      <w:numFmt w:val="lowerRoman"/>
      <w:lvlText w:val="(%6)"/>
      <w:lvlJc w:val="left"/>
      <w:pPr>
        <w:tabs>
          <w:tab w:pos="0" w:val="num"/>
        </w:tabs>
        <w:ind w:hanging="360" w:left="2160"/>
      </w:pPr>
      <w:rPr/>
    </w:lvl>
    <w:lvl w:ilvl="6">
      <w:start w:val="1"/>
      <w:numFmt w:val="decimal"/>
      <w:lvlText w:val="%7."/>
      <w:lvlJc w:val="left"/>
      <w:pPr>
        <w:tabs>
          <w:tab w:pos="0" w:val="num"/>
        </w:tabs>
        <w:ind w:hanging="360" w:left="2520"/>
      </w:pPr>
      <w:rPr/>
    </w:lvl>
    <w:lvl w:ilvl="7">
      <w:start w:val="1"/>
      <w:numFmt w:val="lowerLetter"/>
      <w:lvlText w:val="%8."/>
      <w:lvlJc w:val="left"/>
      <w:pPr>
        <w:tabs>
          <w:tab w:pos="0" w:val="num"/>
        </w:tabs>
        <w:ind w:hanging="360" w:left="2880"/>
      </w:pPr>
      <w:rPr/>
    </w:lvl>
    <w:lvl w:ilvl="8">
      <w:start w:val="1"/>
      <w:numFmt w:val="lowerRoman"/>
      <w:lvlText w:val="%9."/>
      <w:lvlJc w:val="left"/>
      <w:pPr>
        <w:tabs>
          <w:tab w:pos="0" w:val="num"/>
        </w:tabs>
        <w:ind w:hanging="360" w:left="3240"/>
      </w:pPr>
      <w:rPr/>
    </w:lvl>
  </w:abstractNum>
  <w:abstractNum w:abstractNumId="9">
    <w:lvl w:ilvl="0">
      <w:start w:val="1"/>
      <w:numFmt w:val="decimal"/>
      <w:lvlText w:val="ARTICLE %1 :"/>
      <w:lvlJc w:val="left"/>
      <w:pPr>
        <w:tabs>
          <w:tab w:pos="0" w:val="num"/>
        </w:tabs>
        <w:ind w:hanging="360" w:left="360"/>
      </w:pPr>
      <w:rPr/>
    </w:lvl>
    <w:lvl w:ilvl="1">
      <w:start w:val="3"/>
      <w:numFmt w:val="decimal"/>
      <w:lvlText w:val="Article %1.%2."/>
      <w:lvlJc w:val="left"/>
      <w:pPr>
        <w:tabs>
          <w:tab w:pos="0" w:val="num"/>
        </w:tabs>
        <w:ind w:hanging="360" w:left="720"/>
      </w:pPr>
      <w:rPr/>
    </w:lvl>
    <w:lvl w:ilvl="2">
      <w:start w:val="1"/>
      <w:numFmt w:val="decimal"/>
      <w:lvlText w:val="Article %1.%2.%3."/>
      <w:lvlJc w:val="left"/>
      <w:pPr>
        <w:tabs>
          <w:tab w:pos="0" w:val="num"/>
        </w:tabs>
        <w:ind w:hanging="360" w:left="1080"/>
      </w:pPr>
      <w:rPr/>
    </w:lvl>
    <w:lvl w:ilvl="3">
      <w:start w:val="1"/>
      <w:numFmt w:val="decimal"/>
      <w:lvlText w:val="Article %1.%2.%3.%4"/>
      <w:lvlJc w:val="left"/>
      <w:pPr>
        <w:tabs>
          <w:tab w:pos="0" w:val="num"/>
        </w:tabs>
        <w:ind w:hanging="360" w:left="1440"/>
      </w:pPr>
      <w:rPr/>
    </w:lvl>
    <w:lvl w:ilvl="4">
      <w:start w:val="1"/>
      <w:numFmt w:val="lowerLetter"/>
      <w:lvlText w:val="(%5)"/>
      <w:lvlJc w:val="left"/>
      <w:pPr>
        <w:tabs>
          <w:tab w:pos="0" w:val="num"/>
        </w:tabs>
        <w:ind w:hanging="360" w:left="1800"/>
      </w:pPr>
      <w:rPr/>
    </w:lvl>
    <w:lvl w:ilvl="5">
      <w:start w:val="1"/>
      <w:numFmt w:val="lowerRoman"/>
      <w:lvlText w:val="(%6)"/>
      <w:lvlJc w:val="left"/>
      <w:pPr>
        <w:tabs>
          <w:tab w:pos="0" w:val="num"/>
        </w:tabs>
        <w:ind w:hanging="360" w:left="2160"/>
      </w:pPr>
      <w:rPr/>
    </w:lvl>
    <w:lvl w:ilvl="6">
      <w:start w:val="1"/>
      <w:numFmt w:val="decimal"/>
      <w:lvlText w:val="%7."/>
      <w:lvlJc w:val="left"/>
      <w:pPr>
        <w:tabs>
          <w:tab w:pos="0" w:val="num"/>
        </w:tabs>
        <w:ind w:hanging="360" w:left="2520"/>
      </w:pPr>
      <w:rPr/>
    </w:lvl>
    <w:lvl w:ilvl="7">
      <w:start w:val="1"/>
      <w:numFmt w:val="lowerLetter"/>
      <w:lvlText w:val="%8."/>
      <w:lvlJc w:val="left"/>
      <w:pPr>
        <w:tabs>
          <w:tab w:pos="0" w:val="num"/>
        </w:tabs>
        <w:ind w:hanging="360" w:left="2880"/>
      </w:pPr>
      <w:rPr/>
    </w:lvl>
    <w:lvl w:ilvl="8">
      <w:start w:val="1"/>
      <w:numFmt w:val="lowerRoman"/>
      <w:lvlText w:val="%9."/>
      <w:lvlJc w:val="left"/>
      <w:pPr>
        <w:tabs>
          <w:tab w:pos="0" w:val="num"/>
        </w:tabs>
        <w:ind w:hanging="360" w:left="3240"/>
      </w:pPr>
      <w:rPr/>
    </w:lvl>
  </w:abstractNum>
  <w:abstractNum w:abstractNumId="10">
    <w:lvl w:ilvl="0">
      <w:numFmt w:val="bullet"/>
      <w:lvlText w:val="-"/>
      <w:lvlJc w:val="left"/>
      <w:pPr>
        <w:tabs>
          <w:tab w:pos="0" w:val="num"/>
        </w:tabs>
        <w:ind w:hanging="360" w:left="502"/>
      </w:pPr>
      <w:rPr>
        <w:rFonts w:ascii="Calibri" w:cs="Calibri" w:hAnsi="Calibri" w:hint="default"/>
        <w:rFonts w:eastAsiaTheme="minorHAnsi"/>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1">
    <w:lvl w:ilvl="0">
      <w:start w:val="1"/>
      <w:numFmt w:val="bullet"/>
      <w:lvlText w:val=""/>
      <w:lvlJc w:val="left"/>
      <w:pPr>
        <w:tabs>
          <w:tab w:pos="0" w:val="num"/>
        </w:tabs>
        <w:ind w:hanging="360" w:left="360"/>
      </w:pPr>
      <w:rPr>
        <w:rFonts w:ascii="Wingdings" w:cs="Wingdings" w:hAnsi="Wingdings" w:hint="default"/>
      </w:rPr>
    </w:lvl>
    <w:lvl w:ilvl="1">
      <w:start w:val="1"/>
      <w:numFmt w:val="bullet"/>
      <w:lvlText w:val="o"/>
      <w:lvlJc w:val="left"/>
      <w:pPr>
        <w:tabs>
          <w:tab w:pos="0" w:val="num"/>
        </w:tabs>
        <w:ind w:hanging="360" w:left="1080"/>
      </w:pPr>
      <w:rPr>
        <w:rFonts w:ascii="Courier New" w:cs="Courier New" w:hAnsi="Courier New" w:hint="default"/>
      </w:rPr>
    </w:lvl>
    <w:lvl w:ilvl="2">
      <w:start w:val="1"/>
      <w:numFmt w:val="bullet"/>
      <w:lvlText w:val=""/>
      <w:lvlJc w:val="left"/>
      <w:pPr>
        <w:tabs>
          <w:tab w:pos="0" w:val="num"/>
        </w:tabs>
        <w:ind w:hanging="360" w:left="1800"/>
      </w:pPr>
      <w:rPr>
        <w:rFonts w:ascii="Wingdings" w:cs="Wingdings" w:hAnsi="Wingdings" w:hint="default"/>
      </w:rPr>
    </w:lvl>
    <w:lvl w:ilvl="3">
      <w:start w:val="1"/>
      <w:numFmt w:val="bullet"/>
      <w:lvlText w:val=""/>
      <w:lvlJc w:val="left"/>
      <w:pPr>
        <w:tabs>
          <w:tab w:pos="0" w:val="num"/>
        </w:tabs>
        <w:ind w:hanging="360" w:left="2520"/>
      </w:pPr>
      <w:rPr>
        <w:rFonts w:ascii="Symbol" w:cs="Symbol" w:hAnsi="Symbol" w:hint="default"/>
      </w:rPr>
    </w:lvl>
    <w:lvl w:ilvl="4">
      <w:start w:val="1"/>
      <w:numFmt w:val="bullet"/>
      <w:lvlText w:val="o"/>
      <w:lvlJc w:val="left"/>
      <w:pPr>
        <w:tabs>
          <w:tab w:pos="0" w:val="num"/>
        </w:tabs>
        <w:ind w:hanging="360" w:left="3240"/>
      </w:pPr>
      <w:rPr>
        <w:rFonts w:ascii="Courier New" w:cs="Courier New" w:hAnsi="Courier New" w:hint="default"/>
      </w:rPr>
    </w:lvl>
    <w:lvl w:ilvl="5">
      <w:start w:val="1"/>
      <w:numFmt w:val="bullet"/>
      <w:lvlText w:val=""/>
      <w:lvlJc w:val="left"/>
      <w:pPr>
        <w:tabs>
          <w:tab w:pos="0" w:val="num"/>
        </w:tabs>
        <w:ind w:hanging="360" w:left="3960"/>
      </w:pPr>
      <w:rPr>
        <w:rFonts w:ascii="Wingdings" w:cs="Wingdings" w:hAnsi="Wingdings" w:hint="default"/>
      </w:rPr>
    </w:lvl>
    <w:lvl w:ilvl="6">
      <w:start w:val="1"/>
      <w:numFmt w:val="bullet"/>
      <w:lvlText w:val=""/>
      <w:lvlJc w:val="left"/>
      <w:pPr>
        <w:tabs>
          <w:tab w:pos="0" w:val="num"/>
        </w:tabs>
        <w:ind w:hanging="360" w:left="4680"/>
      </w:pPr>
      <w:rPr>
        <w:rFonts w:ascii="Symbol" w:cs="Symbol" w:hAnsi="Symbol" w:hint="default"/>
      </w:rPr>
    </w:lvl>
    <w:lvl w:ilvl="7">
      <w:start w:val="1"/>
      <w:numFmt w:val="bullet"/>
      <w:lvlText w:val="o"/>
      <w:lvlJc w:val="left"/>
      <w:pPr>
        <w:tabs>
          <w:tab w:pos="0" w:val="num"/>
        </w:tabs>
        <w:ind w:hanging="360" w:left="5400"/>
      </w:pPr>
      <w:rPr>
        <w:rFonts w:ascii="Courier New" w:cs="Courier New" w:hAnsi="Courier New" w:hint="default"/>
      </w:rPr>
    </w:lvl>
    <w:lvl w:ilvl="8">
      <w:start w:val="1"/>
      <w:numFmt w:val="bullet"/>
      <w:lvlText w:val=""/>
      <w:lvlJc w:val="left"/>
      <w:pPr>
        <w:tabs>
          <w:tab w:pos="0" w:val="num"/>
        </w:tabs>
        <w:ind w:hanging="360" w:left="6120"/>
      </w:pPr>
      <w:rPr>
        <w:rFonts w:ascii="Wingdings" w:cs="Wingdings" w:hAnsi="Wingdings" w:hint="default"/>
      </w:rPr>
    </w:lvl>
  </w:abstractNum>
  <w:abstractNum w:abstractNumId="12">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4"/>
    <w:lvlOverride w:ilvl="0">
      <w:startOverride w:val="1"/>
    </w:lvlOverride>
    <w:lvlOverride w:ilvl="1">
      <w:startOverride w:val="1"/>
    </w:lvlOverride>
  </w:num>
  <w:num w:numId="14">
    <w:abstractNumId w:val="4"/>
  </w:num>
  <w:num w:numId="15">
    <w:abstractNumId w:val="4"/>
  </w:num>
  <w:num w:numId="16">
    <w:abstractNumId w:val="4"/>
  </w:num>
  <w:num w:numId="17">
    <w:abstractNumId w:val="4"/>
  </w:num>
  <w:num w:numId="18">
    <w:abstractNumId w:val="4"/>
  </w:num>
  <w:num w:numId="19">
    <w:abstractNumId w:val="4"/>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bidi="" w:eastAsia="" w:val="fr-F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asciiTheme="minorHAnsi" w:cs="" w:cstheme="minorBidi" w:eastAsia="Calibri" w:eastAsiaTheme="minorHAnsi" w:hAnsi="Calibri" w:hAnsiTheme="minorHAnsi"/>
        <w:sz w:val="22"/>
        <w:szCs w:val="22"/>
        <w:lang w:bidi="ar-SA" w:eastAsia="en-US" w:val="fr-FR"/>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0540a"/>
    <w:pPr>
      <w:widowControl/>
      <w:bidi w:val="0"/>
      <w:spacing w:after="200" w:before="0" w:line="276" w:lineRule="auto"/>
      <w:jc w:val="left"/>
    </w:pPr>
    <w:rPr>
      <w:rFonts w:ascii="Calibri" w:asciiTheme="minorHAnsi" w:cs="" w:cstheme="minorBidi" w:eastAsia="Calibri" w:eastAsiaTheme="minorHAnsi" w:hAnsi="Calibri" w:hAnsiTheme="minorHAnsi"/>
      <w:color w:val="auto"/>
      <w:kern w:val="0"/>
      <w:sz w:val="22"/>
      <w:szCs w:val="22"/>
      <w:lang w:bidi="ar-SA" w:eastAsia="en-US" w:val="fr-FR"/>
    </w:rPr>
  </w:style>
  <w:style w:styleId="Heading1" w:type="paragraph">
    <w:name w:val="Heading 1"/>
    <w:basedOn w:val="Normal"/>
    <w:next w:val="Normal"/>
    <w:link w:val="Titre1Car"/>
    <w:uiPriority w:val="9"/>
    <w:qFormat/>
    <w:rsid w:val="00931bca"/>
    <w:pPr>
      <w:keepNext w:val="true"/>
      <w:keepLines/>
      <w:numPr>
        <w:ilvl w:val="0"/>
        <w:numId w:val="4"/>
      </w:numPr>
      <w:spacing w:after="0" w:before="480"/>
      <w:outlineLvl w:val="0"/>
    </w:pPr>
    <w:rPr>
      <w:rFonts w:ascii="Arial" w:cs="" w:cstheme="majorBidi" w:hAnsi="Arial"/>
      <w:color w:themeColor="text2" w:themeTint="99" w:val="548DD4"/>
      <w:sz w:val="28"/>
      <w:szCs w:val="32"/>
    </w:rPr>
  </w:style>
  <w:style w:styleId="Heading2" w:type="paragraph">
    <w:name w:val="Heading 2"/>
    <w:basedOn w:val="Normal"/>
    <w:next w:val="Normal"/>
    <w:link w:val="Titre2Car"/>
    <w:uiPriority w:val="9"/>
    <w:unhideWhenUsed/>
    <w:qFormat/>
    <w:rsid w:val="003c5f92"/>
    <w:pPr>
      <w:keepNext w:val="true"/>
      <w:keepLines/>
      <w:numPr>
        <w:ilvl w:val="1"/>
        <w:numId w:val="8"/>
      </w:numPr>
      <w:tabs>
        <w:tab w:pos="708" w:val="clear"/>
        <w:tab w:leader="none" w:pos="1560" w:val="left"/>
        <w:tab w:leader="none" w:pos="1843" w:val="left"/>
      </w:tabs>
      <w:spacing w:after="0" w:before="40"/>
      <w:jc w:val="both"/>
      <w:outlineLvl w:val="1"/>
    </w:pPr>
    <w:rPr>
      <w:rFonts w:ascii="Arial" w:cs="Arial" w:eastAsia="Arial" w:hAnsi="Arial"/>
      <w:b/>
      <w:color w:themeColor="accent1" w:themeShade="bf" w:val="365F91"/>
      <w:sz w:val="24"/>
      <w:szCs w:val="26"/>
      <w:lang w:eastAsia="fr-FR"/>
    </w:rPr>
  </w:style>
  <w:style w:styleId="Heading3" w:type="paragraph">
    <w:name w:val="Heading 3"/>
    <w:basedOn w:val="Normal"/>
    <w:next w:val="Normal"/>
    <w:link w:val="Titre3Car"/>
    <w:uiPriority w:val="9"/>
    <w:unhideWhenUsed/>
    <w:qFormat/>
    <w:rsid w:val="00135516"/>
    <w:pPr>
      <w:keepNext w:val="true"/>
      <w:keepLines/>
      <w:spacing w:after="0" w:before="40"/>
      <w:outlineLvl w:val="2"/>
    </w:pPr>
    <w:rPr>
      <w:rFonts w:ascii="Arial" w:cs="" w:cstheme="majorBidi" w:eastAsia="" w:eastAsiaTheme="majorEastAsia" w:hAnsi="Arial"/>
      <w:b/>
      <w:i/>
      <w:color w:themeColor="accent1" w:themeShade="7f" w:val="243F60"/>
      <w:szCs w:val="24"/>
    </w:rPr>
  </w:style>
  <w:style w:default="1" w:styleId="DefaultParagraphFont" w:type="character">
    <w:name w:val="Default Paragraph Font"/>
    <w:uiPriority w:val="1"/>
    <w:semiHidden/>
    <w:unhideWhenUsed/>
    <w:qFormat/>
    <w:rPr/>
  </w:style>
  <w:style w:customStyle="1" w:styleId="CorpsdetexteCar" w:type="character">
    <w:name w:val="Corps de texte Car"/>
    <w:basedOn w:val="DefaultParagraphFont"/>
    <w:qFormat/>
    <w:rsid w:val="00fe63fc"/>
    <w:rPr>
      <w:rFonts w:ascii="Times New Roman" w:cs="Times New Roman" w:eastAsia="Times New Roman" w:hAnsi="Times New Roman"/>
      <w:szCs w:val="20"/>
      <w:lang w:val="en-US"/>
    </w:rPr>
  </w:style>
  <w:style w:customStyle="1" w:styleId="RetraitcorpsdetexteCar" w:type="character">
    <w:name w:val="Retrait corps de texte Car"/>
    <w:basedOn w:val="DefaultParagraphFont"/>
    <w:link w:val="BodyTextIndented"/>
    <w:uiPriority w:val="99"/>
    <w:semiHidden/>
    <w:qFormat/>
    <w:rsid w:val="00c323a9"/>
    <w:rPr/>
  </w:style>
  <w:style w:customStyle="1" w:styleId="En-tteCar" w:type="character">
    <w:name w:val="En-tête Car"/>
    <w:basedOn w:val="DefaultParagraphFont"/>
    <w:qFormat/>
    <w:rsid w:val="00183a4d"/>
    <w:rPr/>
  </w:style>
  <w:style w:customStyle="1" w:styleId="PieddepageCar" w:type="character">
    <w:name w:val="Pied de page Car"/>
    <w:basedOn w:val="DefaultParagraphFont"/>
    <w:uiPriority w:val="99"/>
    <w:qFormat/>
    <w:rsid w:val="00183a4d"/>
    <w:rPr/>
  </w:style>
  <w:style w:customStyle="1" w:styleId="TextedebullesCar" w:type="character">
    <w:name w:val="Texte de bulles Car"/>
    <w:basedOn w:val="DefaultParagraphFont"/>
    <w:link w:val="BalloonText"/>
    <w:uiPriority w:val="99"/>
    <w:semiHidden/>
    <w:qFormat/>
    <w:rsid w:val="00183a4d"/>
    <w:rPr>
      <w:rFonts w:ascii="Tahoma" w:cs="Tahoma" w:hAnsi="Tahoma"/>
      <w:sz w:val="16"/>
      <w:szCs w:val="16"/>
    </w:rPr>
  </w:style>
  <w:style w:customStyle="1" w:styleId="NotedebasdepageCar" w:type="character">
    <w:name w:val="Note de bas de page Car"/>
    <w:basedOn w:val="DefaultParagraphFont"/>
    <w:uiPriority w:val="99"/>
    <w:semiHidden/>
    <w:qFormat/>
    <w:rsid w:val="0053452d"/>
    <w:rPr>
      <w:sz w:val="20"/>
      <w:szCs w:val="20"/>
    </w:rPr>
  </w:style>
  <w:style w:styleId="FootnoteReference" w:type="character">
    <w:name w:val="Footnote Reference"/>
    <w:rPr>
      <w:vertAlign w:val="superscript"/>
    </w:rPr>
  </w:style>
  <w:style w:styleId="FootnoteCharacters" w:type="character">
    <w:name w:val="Footnote Characters"/>
    <w:basedOn w:val="DefaultParagraphFont"/>
    <w:uiPriority w:val="99"/>
    <w:semiHidden/>
    <w:unhideWhenUsed/>
    <w:qFormat/>
    <w:rsid w:val="0053452d"/>
    <w:rPr>
      <w:vertAlign w:val="superscript"/>
    </w:rPr>
  </w:style>
  <w:style w:styleId="InternetLink" w:type="character">
    <w:name w:val="Internet Link"/>
    <w:basedOn w:val="DefaultParagraphFont"/>
    <w:uiPriority w:val="99"/>
    <w:unhideWhenUsed/>
    <w:qFormat/>
    <w:rsid w:val="008d41e7"/>
    <w:rPr>
      <w:color w:val="000000"/>
      <w:u w:val="single"/>
    </w:rPr>
  </w:style>
  <w:style w:customStyle="1" w:styleId="texteel" w:type="character">
    <w:name w:val="texteel"/>
    <w:basedOn w:val="DefaultParagraphFont"/>
    <w:qFormat/>
    <w:rsid w:val="008d41e7"/>
    <w:rPr/>
  </w:style>
  <w:style w:customStyle="1" w:styleId="net" w:type="character">
    <w:name w:val="net"/>
    <w:basedOn w:val="DefaultParagraphFont"/>
    <w:qFormat/>
    <w:rsid w:val="008d41e7"/>
    <w:rPr/>
  </w:style>
  <w:style w:customStyle="1" w:styleId="chevronjouvecontainer1" w:type="character">
    <w:name w:val="chevronjouvecontainer1"/>
    <w:basedOn w:val="DefaultParagraphFont"/>
    <w:qFormat/>
    <w:rsid w:val="008d41e7"/>
    <w:rPr/>
  </w:style>
  <w:style w:styleId="annotationreference" w:type="character">
    <w:name w:val="annotation reference"/>
    <w:basedOn w:val="DefaultParagraphFont"/>
    <w:uiPriority w:val="99"/>
    <w:semiHidden/>
    <w:unhideWhenUsed/>
    <w:qFormat/>
    <w:rsid w:val="004c1a65"/>
    <w:rPr>
      <w:sz w:val="16"/>
      <w:szCs w:val="16"/>
    </w:rPr>
  </w:style>
  <w:style w:customStyle="1" w:styleId="CommentaireCar" w:type="character">
    <w:name w:val="Commentaire Car"/>
    <w:basedOn w:val="DefaultParagraphFont"/>
    <w:uiPriority w:val="99"/>
    <w:qFormat/>
    <w:rsid w:val="004c1a65"/>
    <w:rPr>
      <w:sz w:val="20"/>
      <w:szCs w:val="20"/>
    </w:rPr>
  </w:style>
  <w:style w:customStyle="1" w:styleId="ObjetducommentaireCar" w:type="character">
    <w:name w:val="Objet du commentaire Car"/>
    <w:basedOn w:val="CommentaireCar"/>
    <w:link w:val="annotationsubject"/>
    <w:uiPriority w:val="99"/>
    <w:semiHidden/>
    <w:qFormat/>
    <w:rsid w:val="004c1a65"/>
    <w:rPr>
      <w:b/>
      <w:bCs/>
      <w:sz w:val="20"/>
      <w:szCs w:val="20"/>
    </w:rPr>
  </w:style>
  <w:style w:customStyle="1" w:styleId="apple-converted-space" w:type="character">
    <w:name w:val="apple-converted-space"/>
    <w:basedOn w:val="DefaultParagraphFont"/>
    <w:qFormat/>
    <w:rsid w:val="00dd0390"/>
    <w:rPr/>
  </w:style>
  <w:style w:customStyle="1" w:styleId="Retraitcorpsdetexte2Car" w:type="character">
    <w:name w:val="Retrait corps de texte 2 Car"/>
    <w:basedOn w:val="DefaultParagraphFont"/>
    <w:link w:val="BodyTextIndent2"/>
    <w:uiPriority w:val="99"/>
    <w:semiHidden/>
    <w:qFormat/>
    <w:rsid w:val="00fc1470"/>
    <w:rPr/>
  </w:style>
  <w:style w:customStyle="1" w:styleId="Titre1Car" w:type="character">
    <w:name w:val="Titre 1 Car"/>
    <w:basedOn w:val="DefaultParagraphFont"/>
    <w:uiPriority w:val="9"/>
    <w:qFormat/>
    <w:rsid w:val="00a26d26"/>
    <w:rPr>
      <w:rFonts w:ascii="Arial" w:cs="" w:cstheme="majorBidi" w:hAnsi="Arial"/>
      <w:color w:themeColor="text2" w:themeTint="99" w:val="548DD4"/>
      <w:sz w:val="28"/>
      <w:szCs w:val="32"/>
    </w:rPr>
  </w:style>
  <w:style w:customStyle="1" w:styleId="Titre2Car" w:type="character">
    <w:name w:val="Titre 2 Car"/>
    <w:basedOn w:val="DefaultParagraphFont"/>
    <w:uiPriority w:val="9"/>
    <w:qFormat/>
    <w:rsid w:val="007c32aa"/>
    <w:rPr>
      <w:rFonts w:ascii="Arial" w:cs="Arial" w:eastAsia="Arial" w:hAnsi="Arial"/>
      <w:b/>
      <w:color w:themeColor="accent1" w:themeShade="bf" w:val="365F91"/>
      <w:sz w:val="24"/>
      <w:szCs w:val="26"/>
      <w:lang w:eastAsia="fr-FR"/>
    </w:rPr>
  </w:style>
  <w:style w:customStyle="1" w:styleId="Titre3Car" w:type="character">
    <w:name w:val="Titre 3 Car"/>
    <w:basedOn w:val="DefaultParagraphFont"/>
    <w:uiPriority w:val="9"/>
    <w:qFormat/>
    <w:rsid w:val="00135516"/>
    <w:rPr>
      <w:rFonts w:ascii="Arial" w:cs="" w:cstheme="majorBidi" w:eastAsia="" w:eastAsiaTheme="majorEastAsia" w:hAnsi="Arial"/>
      <w:b/>
      <w:i/>
      <w:color w:themeColor="accent1" w:themeShade="7f" w:val="243F60"/>
      <w:szCs w:val="24"/>
    </w:rPr>
  </w:style>
  <w:style w:styleId="Emphasis" w:type="character">
    <w:name w:val="Emphasis"/>
    <w:basedOn w:val="DefaultParagraphFont"/>
    <w:uiPriority w:val="20"/>
    <w:qFormat/>
    <w:rsid w:val="00135516"/>
    <w:rPr>
      <w:i/>
      <w:iCs/>
    </w:rPr>
  </w:style>
  <w:style w:styleId="UnresolvedMention" w:type="character">
    <w:name w:val="Unresolved Mention"/>
    <w:basedOn w:val="DefaultParagraphFont"/>
    <w:uiPriority w:val="99"/>
    <w:semiHidden/>
    <w:unhideWhenUsed/>
    <w:qFormat/>
    <w:rsid w:val="004408e9"/>
    <w:rPr>
      <w:color w:val="605E5C"/>
      <w:shd w:fill="E1DFDD" w:val="clear"/>
    </w:rPr>
  </w:style>
  <w:style w:customStyle="1" w:styleId="Textedoc3Char" w:type="character">
    <w:name w:val="Texte doc 3 Char"/>
    <w:basedOn w:val="DefaultParagraphFont"/>
    <w:link w:val="Textedoc3"/>
    <w:qFormat/>
    <w:rsid w:val="004f1aa9"/>
    <w:rPr>
      <w:rFonts w:ascii="Arial" w:cs="Arial" w:hAnsi="Arial"/>
      <w:b/>
      <w:szCs w:val="20"/>
    </w:rPr>
  </w:style>
  <w:style w:customStyle="1" w:styleId="Textemodle4Char" w:type="character">
    <w:name w:val="Texte modèle 4 Char"/>
    <w:basedOn w:val="DefaultParagraphFont"/>
    <w:link w:val="Textemodle4"/>
    <w:qFormat/>
    <w:rsid w:val="004f1aa9"/>
    <w:rPr>
      <w:rFonts w:ascii="Arial" w:cs="Arial" w:hAnsi="Arial"/>
      <w:sz w:val="20"/>
    </w:rPr>
  </w:style>
  <w:style w:customStyle="1" w:styleId="EnumrationmodlesChar" w:type="character">
    <w:name w:val="Enumération modèles Char"/>
    <w:basedOn w:val="DefaultParagraphFont"/>
    <w:link w:val="Enumrationmodles"/>
    <w:qFormat/>
    <w:rsid w:val="004f1aa9"/>
    <w:rPr>
      <w:rFonts w:ascii="Arial" w:cs="Arial" w:hAnsi="Arial"/>
      <w:sz w:val="20"/>
    </w:rPr>
  </w:style>
  <w:style w:customStyle="1" w:styleId="Titre5Char" w:type="character">
    <w:name w:val="Titre 5 Char"/>
    <w:basedOn w:val="Textedoc3Char"/>
    <w:link w:val="Titre51"/>
    <w:qFormat/>
    <w:rsid w:val="004f1aa9"/>
    <w:rPr>
      <w:rFonts w:ascii="Arial" w:cs="Arial" w:hAnsi="Arial"/>
      <w:b/>
      <w:sz w:val="20"/>
      <w:szCs w:val="20"/>
    </w:rPr>
  </w:style>
  <w:style w:styleId="Hyperlink" w:type="character">
    <w:name w:val="Hyperlink"/>
    <w:rPr>
      <w:color w:val="000080"/>
      <w:u w:val="single"/>
    </w:rPr>
  </w:style>
  <w:style w:styleId="Sautdindex" w:type="character">
    <w:name w:val="Saut d'index"/>
    <w:qFormat/>
    <w:rPr/>
  </w:style>
  <w:style w:styleId="Titre" w:type="paragraph">
    <w:name w:val="Titre"/>
    <w:basedOn w:val="Normal"/>
    <w:next w:val="BodyText"/>
    <w:qFormat/>
    <w:pPr>
      <w:keepNext w:val="true"/>
      <w:spacing w:after="120" w:before="240"/>
    </w:pPr>
    <w:rPr>
      <w:rFonts w:ascii="Marianne" w:cs="Arial" w:eastAsia="Microsoft YaHei" w:hAnsi="Marianne"/>
      <w:sz w:val="28"/>
      <w:szCs w:val="28"/>
    </w:rPr>
  </w:style>
  <w:style w:styleId="BodyText" w:type="paragraph">
    <w:name w:val="Body Text"/>
    <w:basedOn w:val="Normal"/>
    <w:link w:val="CorpsdetexteCar"/>
    <w:rsid w:val="00fe63fc"/>
    <w:pPr>
      <w:spacing w:after="130" w:before="130" w:line="260" w:lineRule="atLeast"/>
    </w:pPr>
    <w:rPr>
      <w:rFonts w:ascii="Times New Roman" w:cs="Times New Roman" w:eastAsia="Times New Roman" w:hAnsi="Times New Roman"/>
      <w:szCs w:val="20"/>
      <w:lang w:val="en-US"/>
    </w:rPr>
  </w:style>
  <w:style w:styleId="List" w:type="paragraph">
    <w:name w:val="List"/>
    <w:basedOn w:val="BodyText"/>
    <w:pPr/>
    <w:rPr>
      <w:rFonts w:ascii="Marianne" w:cs="Arial" w:hAnsi="Marianne"/>
    </w:rPr>
  </w:style>
  <w:style w:styleId="Caption" w:type="paragraph">
    <w:name w:val="Caption"/>
    <w:basedOn w:val="Normal"/>
    <w:qFormat/>
    <w:pPr>
      <w:suppressLineNumbers/>
      <w:spacing w:after="120" w:before="120"/>
    </w:pPr>
    <w:rPr>
      <w:rFonts w:ascii="Marianne" w:cs="Arial" w:hAnsi="Marianne"/>
      <w:i/>
      <w:iCs/>
      <w:sz w:val="24"/>
      <w:szCs w:val="24"/>
    </w:rPr>
  </w:style>
  <w:style w:styleId="Index" w:type="paragraph">
    <w:name w:val="Index"/>
    <w:basedOn w:val="Normal"/>
    <w:qFormat/>
    <w:pPr>
      <w:suppressLineNumbers/>
    </w:pPr>
    <w:rPr>
      <w:rFonts w:ascii="Marianne" w:cs="Arial" w:hAnsi="Marianne"/>
    </w:rPr>
  </w:style>
  <w:style w:customStyle="1" w:styleId="Default" w:type="paragraph">
    <w:name w:val="Default"/>
    <w:qFormat/>
    <w:rsid w:val="00fe63fc"/>
    <w:pPr>
      <w:widowControl w:val="false"/>
      <w:bidi w:val="0"/>
      <w:spacing w:after="0" w:before="0" w:line="240" w:lineRule="auto"/>
      <w:jc w:val="left"/>
    </w:pPr>
    <w:rPr>
      <w:rFonts w:ascii="Trebuchet MS" w:cs="Trebuchet MS" w:eastAsia="" w:eastAsiaTheme="minorEastAsia" w:hAnsi="Trebuchet MS"/>
      <w:color w:val="000000"/>
      <w:kern w:val="0"/>
      <w:sz w:val="24"/>
      <w:szCs w:val="24"/>
      <w:lang w:bidi="ar-SA" w:eastAsia="fr-FR" w:val="fr-FR"/>
    </w:rPr>
  </w:style>
  <w:style w:styleId="BodyTextIndented" w:type="paragraph">
    <w:name w:val="Body Text, Indented"/>
    <w:basedOn w:val="Normal"/>
    <w:link w:val="RetraitcorpsdetexteCar"/>
    <w:uiPriority w:val="99"/>
    <w:semiHidden/>
    <w:unhideWhenUsed/>
    <w:qFormat/>
    <w:rsid w:val="00c323a9"/>
    <w:pPr>
      <w:spacing w:after="120" w:before="0"/>
      <w:ind w:left="283"/>
    </w:pPr>
    <w:rPr/>
  </w:style>
  <w:style w:styleId="HeaderandFooter" w:type="paragraph">
    <w:name w:val="Header and Footer"/>
    <w:basedOn w:val="Normal"/>
    <w:qFormat/>
    <w:pPr/>
    <w:rPr/>
  </w:style>
  <w:style w:styleId="Header" w:type="paragraph">
    <w:name w:val="Header"/>
    <w:basedOn w:val="Normal"/>
    <w:link w:val="En-tteCar"/>
    <w:unhideWhenUsed/>
    <w:rsid w:val="00183a4d"/>
    <w:pPr>
      <w:tabs>
        <w:tab w:pos="708" w:val="clear"/>
        <w:tab w:leader="none" w:pos="4536" w:val="center"/>
        <w:tab w:leader="none" w:pos="9072" w:val="right"/>
      </w:tabs>
      <w:spacing w:after="0" w:before="0" w:line="240" w:lineRule="auto"/>
    </w:pPr>
    <w:rPr/>
  </w:style>
  <w:style w:styleId="Footer" w:type="paragraph">
    <w:name w:val="Footer"/>
    <w:basedOn w:val="Normal"/>
    <w:link w:val="PieddepageCar"/>
    <w:uiPriority w:val="99"/>
    <w:unhideWhenUsed/>
    <w:rsid w:val="00183a4d"/>
    <w:pPr>
      <w:tabs>
        <w:tab w:pos="708" w:val="clear"/>
        <w:tab w:leader="none" w:pos="4536" w:val="center"/>
        <w:tab w:leader="none" w:pos="9072" w:val="right"/>
      </w:tabs>
      <w:spacing w:after="0" w:before="0" w:line="240" w:lineRule="auto"/>
    </w:pPr>
    <w:rPr/>
  </w:style>
  <w:style w:styleId="BalloonText" w:type="paragraph">
    <w:name w:val="Balloon Text"/>
    <w:basedOn w:val="Normal"/>
    <w:link w:val="TextedebullesCar"/>
    <w:uiPriority w:val="99"/>
    <w:semiHidden/>
    <w:unhideWhenUsed/>
    <w:qFormat/>
    <w:rsid w:val="00183a4d"/>
    <w:pPr>
      <w:spacing w:after="0" w:before="0" w:line="240" w:lineRule="auto"/>
    </w:pPr>
    <w:rPr>
      <w:rFonts w:ascii="Tahoma" w:cs="Tahoma" w:hAnsi="Tahoma"/>
      <w:sz w:val="16"/>
      <w:szCs w:val="16"/>
    </w:rPr>
  </w:style>
  <w:style w:styleId="FootnoteText" w:type="paragraph">
    <w:name w:val="Footnote Text"/>
    <w:basedOn w:val="Normal"/>
    <w:link w:val="NotedebasdepageCar"/>
    <w:uiPriority w:val="99"/>
    <w:semiHidden/>
    <w:unhideWhenUsed/>
    <w:rsid w:val="0053452d"/>
    <w:pPr>
      <w:spacing w:after="0" w:before="0" w:line="240" w:lineRule="auto"/>
    </w:pPr>
    <w:rPr>
      <w:sz w:val="20"/>
      <w:szCs w:val="20"/>
    </w:rPr>
  </w:style>
  <w:style w:styleId="AnnotationText" w:type="paragraph">
    <w:name w:val="Annotation Text"/>
    <w:basedOn w:val="Normal"/>
    <w:link w:val="CommentaireCar"/>
    <w:uiPriority w:val="99"/>
    <w:unhideWhenUsed/>
    <w:rsid w:val="004c1a65"/>
    <w:pPr>
      <w:spacing w:line="240" w:lineRule="auto"/>
    </w:pPr>
    <w:rPr>
      <w:sz w:val="20"/>
      <w:szCs w:val="20"/>
    </w:rPr>
  </w:style>
  <w:style w:styleId="annotationsubject" w:type="paragraph">
    <w:name w:val="annotation subject"/>
    <w:basedOn w:val="AnnotationText"/>
    <w:next w:val="AnnotationText"/>
    <w:link w:val="ObjetducommentaireCar"/>
    <w:uiPriority w:val="99"/>
    <w:semiHidden/>
    <w:unhideWhenUsed/>
    <w:qFormat/>
    <w:rsid w:val="004c1a65"/>
    <w:pPr/>
    <w:rPr>
      <w:b/>
      <w:bCs/>
    </w:rPr>
  </w:style>
  <w:style w:styleId="ListParagraph" w:type="paragraph">
    <w:name w:val="List Paragraph"/>
    <w:basedOn w:val="Normal"/>
    <w:uiPriority w:val="34"/>
    <w:qFormat/>
    <w:rsid w:val="00b427ea"/>
    <w:pPr>
      <w:ind w:left="708"/>
    </w:pPr>
    <w:rPr/>
  </w:style>
  <w:style w:styleId="BodyTextIndent2" w:type="paragraph">
    <w:name w:val="Body Text Indent 2"/>
    <w:basedOn w:val="Normal"/>
    <w:link w:val="Retraitcorpsdetexte2Car"/>
    <w:uiPriority w:val="99"/>
    <w:semiHidden/>
    <w:unhideWhenUsed/>
    <w:qFormat/>
    <w:rsid w:val="00fc1470"/>
    <w:pPr>
      <w:spacing w:after="120" w:before="0" w:line="480" w:lineRule="auto"/>
      <w:ind w:left="283"/>
    </w:pPr>
    <w:rPr/>
  </w:style>
  <w:style w:styleId="IndexHeading" w:type="paragraph">
    <w:name w:val="Index Heading"/>
    <w:basedOn w:val="Titre"/>
    <w:pPr/>
    <w:rPr/>
  </w:style>
  <w:style w:styleId="TOCHeading" w:type="paragraph">
    <w:name w:val="TOC Heading"/>
    <w:basedOn w:val="Heading1"/>
    <w:next w:val="Normal"/>
    <w:uiPriority w:val="39"/>
    <w:unhideWhenUsed/>
    <w:qFormat/>
    <w:rsid w:val="00ed24c5"/>
    <w:pPr>
      <w:spacing w:line="259" w:lineRule="auto"/>
      <w:outlineLvl w:val="9"/>
    </w:pPr>
    <w:rPr>
      <w:rFonts w:ascii="Cambria" w:asciiTheme="majorHAnsi" w:hAnsi="Cambria" w:hAnsiTheme="majorHAnsi"/>
      <w:color w:themeColor="accent1" w:themeShade="bf" w:val="365F91"/>
      <w:sz w:val="32"/>
      <w:lang w:eastAsia="fr-FR"/>
    </w:rPr>
  </w:style>
  <w:style w:styleId="TOC1" w:type="paragraph">
    <w:name w:val="TOC 1"/>
    <w:basedOn w:val="Normal"/>
    <w:next w:val="Normal"/>
    <w:autoRedefine/>
    <w:uiPriority w:val="39"/>
    <w:unhideWhenUsed/>
    <w:rsid w:val="00ed24c5"/>
    <w:pPr>
      <w:spacing w:after="100" w:before="0"/>
    </w:pPr>
    <w:rPr/>
  </w:style>
  <w:style w:styleId="TOC2" w:type="paragraph">
    <w:name w:val="TOC 2"/>
    <w:basedOn w:val="Normal"/>
    <w:next w:val="Normal"/>
    <w:autoRedefine/>
    <w:uiPriority w:val="39"/>
    <w:unhideWhenUsed/>
    <w:rsid w:val="00ed24c5"/>
    <w:pPr>
      <w:spacing w:after="100" w:before="0"/>
      <w:ind w:left="220"/>
    </w:pPr>
    <w:rPr/>
  </w:style>
  <w:style w:styleId="TOC3" w:type="paragraph">
    <w:name w:val="TOC 3"/>
    <w:basedOn w:val="Normal"/>
    <w:next w:val="Normal"/>
    <w:autoRedefine/>
    <w:uiPriority w:val="39"/>
    <w:unhideWhenUsed/>
    <w:rsid w:val="00ed24c5"/>
    <w:pPr>
      <w:spacing w:after="100" w:before="0"/>
      <w:ind w:left="440"/>
    </w:pPr>
    <w:rPr/>
  </w:style>
  <w:style w:styleId="Revision" w:type="paragraph">
    <w:name w:val="Revision"/>
    <w:uiPriority w:val="99"/>
    <w:semiHidden/>
    <w:qFormat/>
    <w:rsid w:val="009c3e33"/>
    <w:pPr>
      <w:widowControl/>
      <w:bidi w:val="0"/>
      <w:spacing w:after="0" w:before="0" w:line="240" w:lineRule="auto"/>
      <w:jc w:val="left"/>
    </w:pPr>
    <w:rPr>
      <w:rFonts w:ascii="Calibri" w:asciiTheme="minorHAnsi" w:cs="" w:cstheme="minorBidi" w:eastAsia="Calibri" w:eastAsiaTheme="minorHAnsi" w:hAnsi="Calibri" w:hAnsiTheme="minorHAnsi"/>
      <w:color w:val="auto"/>
      <w:kern w:val="0"/>
      <w:sz w:val="22"/>
      <w:szCs w:val="22"/>
      <w:lang w:bidi="ar-SA" w:eastAsia="en-US" w:val="fr-FR"/>
    </w:rPr>
  </w:style>
  <w:style w:customStyle="1" w:styleId="Textedoc3" w:type="paragraph">
    <w:name w:val="Texte doc 3"/>
    <w:basedOn w:val="Normal"/>
    <w:link w:val="Textedoc3Char"/>
    <w:qFormat/>
    <w:rsid w:val="004f1aa9"/>
    <w:pPr>
      <w:spacing w:after="240" w:before="240" w:line="240" w:lineRule="auto"/>
      <w:jc w:val="both"/>
    </w:pPr>
    <w:rPr>
      <w:rFonts w:ascii="Arial" w:cs="Arial" w:hAnsi="Arial"/>
      <w:b/>
      <w:szCs w:val="20"/>
    </w:rPr>
  </w:style>
  <w:style w:customStyle="1" w:styleId="Enumration" w:type="paragraph">
    <w:name w:val="Enumération"/>
    <w:basedOn w:val="Normal"/>
    <w:qFormat/>
    <w:rsid w:val="004f1aa9"/>
    <w:pPr>
      <w:numPr>
        <w:ilvl w:val="0"/>
        <w:numId w:val="10"/>
      </w:numPr>
      <w:spacing w:after="120" w:before="0" w:line="240" w:lineRule="auto"/>
      <w:ind w:hanging="357" w:left="714"/>
      <w:jc w:val="both"/>
    </w:pPr>
    <w:rPr>
      <w:rFonts w:ascii="Arial" w:cs="Arial" w:hAnsi="Arial"/>
    </w:rPr>
  </w:style>
  <w:style w:customStyle="1" w:styleId="Textemodle4" w:type="paragraph">
    <w:name w:val="Texte modèle 4"/>
    <w:basedOn w:val="Normal"/>
    <w:link w:val="Textemodle4Char"/>
    <w:qFormat/>
    <w:rsid w:val="004f1aa9"/>
    <w:pPr>
      <w:spacing w:after="120" w:before="240" w:line="240" w:lineRule="auto"/>
      <w:contextualSpacing/>
      <w:jc w:val="both"/>
    </w:pPr>
    <w:rPr>
      <w:rFonts w:ascii="Arial" w:cs="Arial" w:hAnsi="Arial"/>
      <w:sz w:val="20"/>
    </w:rPr>
  </w:style>
  <w:style w:customStyle="1" w:styleId="Enumrationmodles" w:type="paragraph">
    <w:name w:val="Enumération modèles"/>
    <w:basedOn w:val="Enumration"/>
    <w:link w:val="EnumrationmodlesChar"/>
    <w:qFormat/>
    <w:rsid w:val="004f1aa9"/>
    <w:pPr>
      <w:spacing w:after="60" w:before="60"/>
    </w:pPr>
    <w:rPr>
      <w:sz w:val="20"/>
    </w:rPr>
  </w:style>
  <w:style w:customStyle="1" w:styleId="Enumration4" w:type="paragraph">
    <w:name w:val="Enumération 4"/>
    <w:basedOn w:val="Enumration"/>
    <w:qFormat/>
    <w:rsid w:val="004f1aa9"/>
    <w:pPr/>
    <w:rPr/>
  </w:style>
  <w:style w:customStyle="1" w:styleId="Titre51" w:type="paragraph">
    <w:name w:val="Titre 51"/>
    <w:basedOn w:val="Textedoc3"/>
    <w:link w:val="Titre5Char"/>
    <w:qFormat/>
    <w:rsid w:val="004f1aa9"/>
    <w:pPr>
      <w:numPr>
        <w:ilvl w:val="0"/>
        <w:numId w:val="11"/>
      </w:numPr>
    </w:pPr>
    <w:rPr>
      <w:sz w:val="20"/>
    </w:rPr>
  </w:style>
  <w:style w:default="1" w:styleId="Pasdeliste" w:type="numbering">
    <w:name w:val="Pas de liste"/>
    <w:uiPriority w:val="99"/>
    <w:semiHidden/>
    <w:unhideWhenUsed/>
    <w:qFormat/>
  </w:style>
  <w:style w:default="1" w:styleId="TableauNormal" w:type="table">
    <w:name w:val="Normal Table"/>
    <w:uiPriority w:val="99"/>
    <w:semiHidden/>
    <w:unhideWhenUsed/>
    <w:tblPr>
      <w:tblCellMar>
        <w:top w:type="dxa" w:w="0"/>
        <w:left w:type="dxa" w:w="108"/>
        <w:bottom w:type="dxa" w:w="0"/>
        <w:right w:type="dxa" w:w="108"/>
      </w:tblCellMar>
    </w:tblPr>
  </w:style>
  <w:style w:styleId="Grilledutableau" w:type="table">
    <w:name w:val="Table Grid"/>
    <w:basedOn w:val="TableauNormal"/>
    <w:uiPriority w:val="39"/>
    <w:rsid w:val="00592bf1"/>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settings.xml" Type="http://schemas.openxmlformats.org/officeDocument/2006/relationships/settings"/><Relationship Id="rId12" Target="theme/theme1.xml" Type="http://schemas.openxmlformats.org/officeDocument/2006/relationships/theme"/><Relationship Id="rId13" Target="../customXml/item1.xml" Type="http://schemas.openxmlformats.org/officeDocument/2006/relationships/customXml"/><Relationship Id="rId14" Target="../customXml/item2.xml" Type="http://schemas.openxmlformats.org/officeDocument/2006/relationships/customXml"/><Relationship Id="rId15" Target="../customXml/item3.xml" Type="http://schemas.openxmlformats.org/officeDocument/2006/relationships/customXml"/><Relationship Id="rId16" Target="../customXml/item4.xml" Type="http://schemas.openxmlformats.org/officeDocument/2006/relationships/customXml"/><Relationship Id="rId2" Target="http://www.teleaccords.travail-emploi.gouv.fr/" TargetMode="External" Type="http://schemas.openxmlformats.org/officeDocument/2006/relationships/hyperlink"/><Relationship Id="rId3" Target="header1.xml" Type="http://schemas.openxmlformats.org/officeDocument/2006/relationships/header"/><Relationship Id="rId4" Target="header2.xml" Type="http://schemas.openxmlformats.org/officeDocument/2006/relationships/header"/><Relationship Id="rId5" Target="header3.xml" Type="http://schemas.openxmlformats.org/officeDocument/2006/relationships/header"/><Relationship Id="rId6" Target="footer1.xml" Type="http://schemas.openxmlformats.org/officeDocument/2006/relationships/footer"/><Relationship Id="rId7" Target="footer2.xml" Type="http://schemas.openxmlformats.org/officeDocument/2006/relationships/footer"/><Relationship Id="rId8" Target="footer3.xml" Type="http://schemas.openxmlformats.org/officeDocument/2006/relationships/footer"/><Relationship Id="rId9" Target="numbering.xml" Type="http://schemas.openxmlformats.org/officeDocument/2006/relationships/numberin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e5acd39-1599-473f-8383-460531b76a90" xsi:nil="true"/>
    <lcf76f155ced4ddcb4097134ff3c332f xmlns="aac68933-66fb-4b36-9cd1-79f9124654e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E49A404B3DCF144B618381E0EEB07E8" ma:contentTypeVersion="39" ma:contentTypeDescription="Crée un document." ma:contentTypeScope="" ma:versionID="7f64580e6d9c48bc29289507b7618857">
  <xsd:schema xmlns:xsd="http://www.w3.org/2001/XMLSchema" xmlns:xs="http://www.w3.org/2001/XMLSchema" xmlns:p="http://schemas.microsoft.com/office/2006/metadata/properties" xmlns:ns2="aac68933-66fb-4b36-9cd1-79f9124654ee" xmlns:ns3="fe5acd39-1599-473f-8383-460531b76a90" targetNamespace="http://schemas.microsoft.com/office/2006/metadata/properties" ma:root="true" ma:fieldsID="4f29f4b69ab3248de9f04edbaafeb5b4" ns2:_="" ns3:_="">
    <xsd:import namespace="aac68933-66fb-4b36-9cd1-79f9124654ee"/>
    <xsd:import namespace="fe5acd39-1599-473f-8383-460531b76a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c68933-66fb-4b36-9cd1-79f9124654ee"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SearchProperties" ma:index="6" nillable="true" ma:displayName="MediaServiceSearchProperties" ma:hidden="true" ma:internalName="MediaServiceSearchProperties" ma:readOnly="true">
      <xsd:simpleType>
        <xsd:restriction base="dms:Note"/>
      </xsd:simpleType>
    </xsd:element>
    <xsd:element name="MediaServiceObjectDetectorVersions" ma:index="7" nillable="true" ma:displayName="MediaServiceObjectDetectorVersions" ma:hidden="true" ma:indexed="true" ma:internalName="MediaServiceObjectDetectorVersions" ma:readOnly="true">
      <xsd:simpleType>
        <xsd:restriction base="dms:Text"/>
      </xsd:simpleType>
    </xsd:element>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9b6426d1-6ba1-40fb-bc4f-9b5a496027c0" ma:termSetId="09814cd3-568e-fe90-9814-8d621ff8fb84" ma:anchorId="fba54fb3-c3e1-fe81-a776-ca4b69148c4d" ma:open="true" ma:isKeyword="false">
      <xsd:complexType>
        <xsd:sequence>
          <xsd:element ref="pc:Terms" minOccurs="0" maxOccurs="1"/>
        </xsd:sequence>
      </xsd:complex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5acd39-1599-473f-8383-460531b76a9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851f099-dcbb-4d2a-bc8d-665a70c70441}" ma:internalName="TaxCatchAll" ma:showField="CatchAllData" ma:web="fe5acd39-1599-473f-8383-460531b76a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Type de contenu"/>
        <xsd:element ref="dc:title" minOccurs="0" maxOccurs="1" ma:index="3"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234091-84F2-450E-B7A2-82451C4F4228}">
  <ds:schemaRefs>
    <ds:schemaRef ds:uri="http://schemas.openxmlformats.org/officeDocument/2006/bibliography"/>
  </ds:schemaRefs>
</ds:datastoreItem>
</file>

<file path=customXml/itemProps2.xml><?xml version="1.0" encoding="utf-8"?>
<ds:datastoreItem xmlns:ds="http://schemas.openxmlformats.org/officeDocument/2006/customXml" ds:itemID="{2B174B12-9338-4DFF-AECB-BDB03E6B0F79}">
  <ds:schemaRefs>
    <ds:schemaRef ds:uri="http://schemas.microsoft.com/sharepoint/v3/contenttype/forms"/>
  </ds:schemaRefs>
</ds:datastoreItem>
</file>

<file path=customXml/itemProps3.xml><?xml version="1.0" encoding="utf-8"?>
<ds:datastoreItem xmlns:ds="http://schemas.openxmlformats.org/officeDocument/2006/customXml" ds:itemID="{75F3BB42-33DC-4FF2-9E10-5E094700244E}">
  <ds:schemaRefs>
    <ds:schemaRef ds:uri="http://schemas.microsoft.com/office/2006/metadata/properties"/>
    <ds:schemaRef ds:uri="http://schemas.microsoft.com/office/infopath/2007/PartnerControls"/>
    <ds:schemaRef ds:uri="fe5acd39-1599-473f-8383-460531b76a90"/>
    <ds:schemaRef ds:uri="aac68933-66fb-4b36-9cd1-79f9124654ee"/>
  </ds:schemaRefs>
</ds:datastoreItem>
</file>

<file path=customXml/itemProps4.xml><?xml version="1.0" encoding="utf-8"?>
<ds:datastoreItem xmlns:ds="http://schemas.openxmlformats.org/officeDocument/2006/customXml" ds:itemID="{1617BC95-FCDE-43B6-9F05-1ED4AB50F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c68933-66fb-4b36-9cd1-79f9124654ee"/>
    <ds:schemaRef ds:uri="fe5acd39-1599-473f-8383-460531b76a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LibreOffice/24.2.5.2$Windows_X86_64 LibreOffice_project/bffef4ea93e59bebbeaf7f431bb02b1a39ee8a59</Application>
  <AppVersion>15.0000</AppVersion>
  <Pages>10</Pages>
  <Words>3507</Words>
  <Characters>18848</Characters>
  <CharactersWithSpaces>22245</CharactersWithSpaces>
  <Paragraphs>175</Paragraphs>
  <Company>KPMG</Company>
</Properties>
</file>

<file path=docProps/core.xml><?xml version="1.0" encoding="utf-8"?>
<cp:coreProperties xmlns:cp="http://schemas.openxmlformats.org/package/2006/metadata/core-properties" xmlns:dc="http://purl.org/dc/elements/1.1/" xmlns:dcterms="http://purl.org/dc/terms/" xmlns:xsi="http://www.w3.org/2001/XMLSchema-instance">
  <cp:category>Public/UnProt</cp:category>
  <dcterms:created xsi:type="dcterms:W3CDTF">2026-02-24T15:37:20Z</dcterms:created>
  <dc:language>fr-FR</dc:languag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0x0101001E49A404B3DCF144B618381E0EEB07E8</vt:lpwstr>
  </property>
  <property fmtid="{D5CDD505-2E9C-101B-9397-08002B2CF9AE}" name="KISConfidential" pid="3">
    <vt:lpwstr>Public/UnProt</vt:lpwstr>
  </property>
  <property fmtid="{D5CDD505-2E9C-101B-9397-08002B2CF9AE}" name="KISConfidentialDesc" pid="4">
    <vt:lpwstr/>
  </property>
  <property fmtid="{D5CDD505-2E9C-101B-9397-08002B2CF9AE}" name="MediaServiceImageTags" pid="5">
    <vt:lpwstr/>
  </property>
  <property fmtid="{D5CDD505-2E9C-101B-9397-08002B2CF9AE}" name="Order" pid="6">
    <vt:r8>8859000</vt:r8>
  </property>
  <property fmtid="{D5CDD505-2E9C-101B-9397-08002B2CF9AE}" name="_ExtendedDescription" pid="7">
    <vt:lpwstr/>
  </property>
</Properties>
</file>