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centr"/>
        <w:pBdr>
          <w:top w:val="single" w:sz="4" w:space="1" w:color="000000"/>
          <w:left w:val="single" w:sz="4" w:space="4" w:color="000000"/>
          <w:bottom w:val="single" w:sz="4" w:space="1" w:color="000000"/>
          <w:right w:val="single" w:sz="4" w:space="4" w:color="000000"/>
        </w:pBdr>
        <w:ind w:left="1985" w:right="-1" w:hanging="2127"/>
        <w:rPr>
          <w:rFonts w:ascii="Segoe UI" w:hAnsi="Segoe UI" w:cs="Segoe UI"/>
          <w:b/>
          <w:b/>
          <w:szCs w:val="32"/>
        </w:rPr>
      </w:pPr>
      <w:r>
        <w:rPr>
          <w:rFonts w:cs="Segoe UI" w:ascii="Segoe UI" w:hAnsi="Segoe UI"/>
          <w:b/>
          <w:szCs w:val="32"/>
        </w:rPr>
        <w:t>AVENANT N°1</w:t>
      </w:r>
    </w:p>
    <w:p>
      <w:pPr>
        <w:pStyle w:val="Normalcentr"/>
        <w:pBdr>
          <w:top w:val="single" w:sz="4" w:space="1" w:color="000000"/>
          <w:left w:val="single" w:sz="4" w:space="4" w:color="000000"/>
          <w:bottom w:val="single" w:sz="4" w:space="1" w:color="000000"/>
          <w:right w:val="single" w:sz="4" w:space="4" w:color="000000"/>
        </w:pBdr>
        <w:ind w:left="1985" w:right="-1" w:hanging="2127"/>
        <w:rPr>
          <w:rFonts w:ascii="Segoe UI" w:hAnsi="Segoe UI" w:cs="Segoe UI"/>
          <w:b/>
          <w:b/>
          <w:szCs w:val="32"/>
        </w:rPr>
      </w:pPr>
      <w:r>
        <w:rPr>
          <w:rFonts w:cs="Segoe UI" w:ascii="Segoe UI" w:hAnsi="Segoe UI"/>
          <w:b/>
          <w:szCs w:val="32"/>
        </w:rPr>
        <w:t>ACCORD RELATIF A L’ADAPTATION DE LA PERIODICITE DES NEGOCIATIONS DANS L’ENTREPRISE</w:t>
      </w:r>
    </w:p>
    <w:p>
      <w:pPr>
        <w:pStyle w:val="Normal"/>
        <w:jc w:val="both"/>
        <w:rPr>
          <w:rFonts w:ascii="Segoe UI" w:hAnsi="Segoe UI" w:cs="Segoe UI"/>
          <w:b/>
          <w:b/>
          <w:sz w:val="22"/>
          <w:szCs w:val="22"/>
        </w:rPr>
      </w:pPr>
      <w:r>
        <w:rPr>
          <w:rFonts w:cs="Segoe UI" w:ascii="Segoe UI" w:hAnsi="Segoe UI"/>
          <w:b/>
          <w:sz w:val="22"/>
          <w:szCs w:val="22"/>
        </w:rPr>
      </w:r>
    </w:p>
    <w:p>
      <w:pPr>
        <w:pStyle w:val="Normal"/>
        <w:jc w:val="both"/>
        <w:rPr>
          <w:rFonts w:ascii="Segoe UI" w:hAnsi="Segoe UI" w:cs="Segoe UI"/>
        </w:rPr>
      </w:pPr>
      <w:r>
        <w:rPr>
          <w:rFonts w:cs="Segoe UI" w:ascii="Segoe UI" w:hAnsi="Segoe UI"/>
        </w:rPr>
        <w:t>Entre, d'une part :</w:t>
        <w:tab/>
      </w:r>
    </w:p>
    <w:p>
      <w:pPr>
        <w:pStyle w:val="Normal"/>
        <w:jc w:val="both"/>
        <w:rPr>
          <w:rFonts w:ascii="Segoe UI" w:hAnsi="Segoe UI" w:cs="Segoe UI"/>
        </w:rPr>
      </w:pPr>
      <w:r>
        <w:rPr>
          <w:rFonts w:cs="Segoe UI" w:ascii="Segoe UI" w:hAnsi="Segoe UI"/>
        </w:rPr>
        <w:t xml:space="preserve">la société METAL DEPLOYE RESISTOR SAS, dont le siège social est situé </w:t>
      </w:r>
    </w:p>
    <w:p>
      <w:pPr>
        <w:pStyle w:val="Normal"/>
        <w:ind w:left="284" w:hanging="284"/>
        <w:jc w:val="both"/>
        <w:rPr>
          <w:rFonts w:ascii="Segoe UI" w:hAnsi="Segoe UI" w:cs="Segoe UI"/>
        </w:rPr>
      </w:pPr>
      <w:r>
        <w:rPr>
          <w:rFonts w:cs="Segoe UI" w:ascii="Segoe UI" w:hAnsi="Segoe UI"/>
        </w:rPr>
        <w:t xml:space="preserve">représentée par </w:t>
      </w:r>
    </w:p>
    <w:p>
      <w:pPr>
        <w:pStyle w:val="Normal"/>
        <w:jc w:val="both"/>
        <w:rPr>
          <w:rFonts w:ascii="Segoe UI" w:hAnsi="Segoe UI" w:cs="Segoe UI"/>
        </w:rPr>
      </w:pPr>
      <w:r>
        <w:rPr>
          <w:rFonts w:cs="Segoe UI" w:ascii="Segoe UI" w:hAnsi="Segoe UI"/>
        </w:rPr>
        <w:t>et, d'autre part :</w:t>
        <w:tab/>
        <w:tab/>
      </w:r>
    </w:p>
    <w:p>
      <w:pPr>
        <w:pStyle w:val="Normal"/>
        <w:jc w:val="both"/>
        <w:rPr/>
      </w:pPr>
      <w:r>
        <w:rPr>
          <w:rFonts w:cs="Segoe UI" w:ascii="Segoe UI" w:hAnsi="Segoe UI"/>
        </w:rPr>
        <w:t>l’organisation syndicale représentative</w:t>
      </w:r>
    </w:p>
    <w:p>
      <w:pPr>
        <w:pStyle w:val="Normal"/>
        <w:jc w:val="both"/>
        <w:rPr/>
      </w:pPr>
      <w:r>
        <w:rPr>
          <w:rFonts w:cs="Segoe UI" w:ascii="Segoe UI" w:hAnsi="Segoe UI"/>
        </w:rPr>
        <w:t>représentée par :</w:t>
        <w:tab/>
        <w:tab/>
        <w:tab/>
        <w:tab/>
        <w:tab/>
        <w:t>CFDT</w:t>
      </w:r>
    </w:p>
    <w:p>
      <w:pPr>
        <w:pStyle w:val="Normal"/>
        <w:jc w:val="both"/>
        <w:rPr>
          <w:rFonts w:ascii="Segoe UI" w:hAnsi="Segoe UI" w:cs="Segoe UI"/>
        </w:rPr>
      </w:pPr>
      <w:r>
        <w:rPr>
          <w:rFonts w:cs="Segoe UI" w:ascii="Segoe UI" w:hAnsi="Segoe UI"/>
        </w:rPr>
      </w:r>
    </w:p>
    <w:p>
      <w:pPr>
        <w:pStyle w:val="Normal"/>
        <w:rPr>
          <w:rFonts w:ascii="Segoe UI" w:hAnsi="Segoe UI" w:cs="Segoe UI"/>
          <w:b/>
          <w:b/>
          <w:u w:val="single"/>
        </w:rPr>
      </w:pPr>
      <w:r>
        <w:rPr>
          <w:rFonts w:cs="Segoe UI" w:ascii="Segoe UI" w:hAnsi="Segoe UI"/>
          <w:b/>
          <w:u w:val="single"/>
        </w:rPr>
        <w:t xml:space="preserve">Préambule : </w:t>
      </w:r>
    </w:p>
    <w:p>
      <w:pPr>
        <w:pStyle w:val="Normal"/>
        <w:rPr/>
      </w:pPr>
      <w:r>
        <w:rPr>
          <w:rFonts w:cs="Segoe UI" w:ascii="Segoe UI" w:hAnsi="Segoe UI"/>
        </w:rPr>
        <w:t xml:space="preserve">Dans le cadre de la loi Rebsamen il a été signé en 2016 un accord sur la périodicité des négociations dans l’entreprise établissant 2 périodicités comme suit : </w:t>
      </w:r>
    </w:p>
    <w:p>
      <w:pPr>
        <w:pStyle w:val="Normal"/>
        <w:rPr>
          <w:rFonts w:ascii="Segoe UI" w:hAnsi="Segoe UI" w:cs="Segoe UI"/>
        </w:rPr>
      </w:pPr>
      <w:r>
        <w:rPr>
          <w:rFonts w:cs="Segoe UI" w:ascii="Segoe UI" w:hAnsi="Segoe UI"/>
        </w:rPr>
      </w:r>
    </w:p>
    <w:p>
      <w:pPr>
        <w:pStyle w:val="Heading1"/>
        <w:numPr>
          <w:ilvl w:val="0"/>
          <w:numId w:val="1"/>
        </w:numPr>
        <w:rPr>
          <w:rFonts w:ascii="Segoe UI" w:hAnsi="Segoe UI" w:cs="Segoe UI"/>
          <w:b w:val="false"/>
          <w:b w:val="false"/>
          <w:sz w:val="20"/>
        </w:rPr>
      </w:pPr>
      <w:r>
        <w:rPr>
          <w:rFonts w:cs="Segoe UI" w:ascii="Segoe UI" w:hAnsi="Segoe UI"/>
          <w:b w:val="false"/>
          <w:sz w:val="20"/>
        </w:rPr>
        <w:t>BLOC DE NEGOCIATION N°1</w:t>
      </w:r>
    </w:p>
    <w:p>
      <w:pPr>
        <w:pStyle w:val="Normal"/>
        <w:numPr>
          <w:ilvl w:val="0"/>
          <w:numId w:val="2"/>
        </w:numPr>
        <w:jc w:val="both"/>
        <w:rPr>
          <w:rFonts w:ascii="Segoe UI" w:hAnsi="Segoe UI" w:cs="Segoe UI"/>
        </w:rPr>
      </w:pPr>
      <w:r>
        <w:rPr>
          <w:rFonts w:cs="Segoe UI" w:ascii="Segoe UI" w:hAnsi="Segoe UI"/>
        </w:rPr>
        <w:t>Rémunération</w:t>
      </w:r>
    </w:p>
    <w:p>
      <w:pPr>
        <w:pStyle w:val="Normal"/>
        <w:numPr>
          <w:ilvl w:val="0"/>
          <w:numId w:val="2"/>
        </w:numPr>
        <w:jc w:val="both"/>
        <w:rPr>
          <w:rFonts w:ascii="Segoe UI" w:hAnsi="Segoe UI" w:cs="Segoe UI"/>
        </w:rPr>
      </w:pPr>
      <w:r>
        <w:rPr>
          <w:rFonts w:cs="Segoe UI" w:ascii="Segoe UI" w:hAnsi="Segoe UI"/>
        </w:rPr>
        <w:t>Temps de travail</w:t>
      </w:r>
    </w:p>
    <w:p>
      <w:pPr>
        <w:pStyle w:val="Normal"/>
        <w:numPr>
          <w:ilvl w:val="0"/>
          <w:numId w:val="2"/>
        </w:numPr>
        <w:jc w:val="both"/>
        <w:rPr>
          <w:rFonts w:ascii="Segoe UI" w:hAnsi="Segoe UI" w:cs="Segoe UI"/>
        </w:rPr>
      </w:pPr>
      <w:r>
        <w:rPr>
          <w:rFonts w:cs="Segoe UI" w:ascii="Segoe UI" w:hAnsi="Segoe UI"/>
        </w:rPr>
        <w:t>Partage de la valeur ajoutée dans l’entreprise</w:t>
      </w:r>
    </w:p>
    <w:p>
      <w:pPr>
        <w:pStyle w:val="Normal"/>
        <w:jc w:val="both"/>
        <w:rPr>
          <w:rFonts w:ascii="Segoe UI" w:hAnsi="Segoe UI" w:cs="Segoe UI"/>
        </w:rPr>
      </w:pPr>
      <w:r>
        <w:rPr>
          <w:rFonts w:cs="Segoe UI" w:ascii="Segoe UI" w:hAnsi="Segoe UI"/>
        </w:rPr>
        <w:t xml:space="preserve">Périodicité des négociations : </w:t>
      </w:r>
      <w:r>
        <w:rPr>
          <w:rFonts w:cs="Segoe UI" w:ascii="Segoe UI" w:hAnsi="Segoe UI"/>
          <w:b/>
        </w:rPr>
        <w:t>ANNUELLE</w:t>
      </w:r>
    </w:p>
    <w:p>
      <w:pPr>
        <w:pStyle w:val="Normal"/>
        <w:jc w:val="both"/>
        <w:rPr>
          <w:rFonts w:ascii="Segoe UI" w:hAnsi="Segoe UI" w:cs="Segoe UI"/>
        </w:rPr>
      </w:pPr>
      <w:r>
        <w:rPr>
          <w:rFonts w:cs="Segoe UI" w:ascii="Segoe UI" w:hAnsi="Segoe UI"/>
        </w:rPr>
      </w:r>
    </w:p>
    <w:p>
      <w:pPr>
        <w:pStyle w:val="Heading1"/>
        <w:numPr>
          <w:ilvl w:val="0"/>
          <w:numId w:val="1"/>
        </w:numPr>
        <w:rPr>
          <w:rFonts w:ascii="Segoe UI" w:hAnsi="Segoe UI" w:cs="Segoe UI"/>
          <w:b w:val="false"/>
          <w:b w:val="false"/>
          <w:sz w:val="20"/>
        </w:rPr>
      </w:pPr>
      <w:r>
        <w:rPr>
          <w:rFonts w:cs="Segoe UI" w:ascii="Segoe UI" w:hAnsi="Segoe UI"/>
          <w:b w:val="false"/>
          <w:sz w:val="20"/>
        </w:rPr>
        <w:t>BLOC DE NEGOCIATION N°2</w:t>
      </w:r>
    </w:p>
    <w:p>
      <w:pPr>
        <w:pStyle w:val="Normal"/>
        <w:numPr>
          <w:ilvl w:val="0"/>
          <w:numId w:val="2"/>
        </w:numPr>
        <w:jc w:val="both"/>
        <w:rPr>
          <w:rFonts w:ascii="Segoe UI" w:hAnsi="Segoe UI" w:cs="Segoe UI"/>
          <w:u w:val="single"/>
        </w:rPr>
      </w:pPr>
      <w:r>
        <w:rPr>
          <w:rFonts w:cs="Segoe UI" w:ascii="Segoe UI" w:hAnsi="Segoe UI"/>
          <w:u w:val="single"/>
        </w:rPr>
        <w:t xml:space="preserve">Objectifs et mesures permettant d’atteindre l’Egalité professionnelle entre les femmes et les hommes en matière de suppression des écarts </w:t>
      </w:r>
    </w:p>
    <w:p>
      <w:pPr>
        <w:pStyle w:val="Normal"/>
        <w:numPr>
          <w:ilvl w:val="1"/>
          <w:numId w:val="2"/>
        </w:numPr>
        <w:jc w:val="both"/>
        <w:rPr>
          <w:rFonts w:ascii="Segoe UI" w:hAnsi="Segoe UI" w:cs="Segoe UI"/>
        </w:rPr>
      </w:pPr>
      <w:r>
        <w:rPr>
          <w:rFonts w:cs="Segoe UI" w:ascii="Segoe UI" w:hAnsi="Segoe UI"/>
        </w:rPr>
        <w:t xml:space="preserve">de rémunération, </w:t>
      </w:r>
    </w:p>
    <w:p>
      <w:pPr>
        <w:pStyle w:val="Normal"/>
        <w:numPr>
          <w:ilvl w:val="1"/>
          <w:numId w:val="2"/>
        </w:numPr>
        <w:jc w:val="both"/>
        <w:rPr>
          <w:rFonts w:ascii="Segoe UI" w:hAnsi="Segoe UI" w:cs="Segoe UI"/>
        </w:rPr>
      </w:pPr>
      <w:r>
        <w:rPr>
          <w:rFonts w:cs="Segoe UI" w:ascii="Segoe UI" w:hAnsi="Segoe UI"/>
        </w:rPr>
        <w:t xml:space="preserve">d’accès à l’emploi, </w:t>
      </w:r>
    </w:p>
    <w:p>
      <w:pPr>
        <w:pStyle w:val="Normal"/>
        <w:numPr>
          <w:ilvl w:val="1"/>
          <w:numId w:val="2"/>
        </w:numPr>
        <w:jc w:val="both"/>
        <w:rPr>
          <w:rFonts w:ascii="Segoe UI" w:hAnsi="Segoe UI" w:cs="Segoe UI"/>
        </w:rPr>
      </w:pPr>
      <w:r>
        <w:rPr>
          <w:rFonts w:cs="Segoe UI" w:ascii="Segoe UI" w:hAnsi="Segoe UI"/>
        </w:rPr>
        <w:t xml:space="preserve">de formation professionnelle, </w:t>
      </w:r>
    </w:p>
    <w:p>
      <w:pPr>
        <w:pStyle w:val="Normal"/>
        <w:numPr>
          <w:ilvl w:val="1"/>
          <w:numId w:val="2"/>
        </w:numPr>
        <w:jc w:val="both"/>
        <w:rPr>
          <w:rFonts w:ascii="Segoe UI" w:hAnsi="Segoe UI" w:cs="Segoe UI"/>
        </w:rPr>
      </w:pPr>
      <w:r>
        <w:rPr>
          <w:rFonts w:cs="Segoe UI" w:ascii="Segoe UI" w:hAnsi="Segoe UI"/>
        </w:rPr>
        <w:t xml:space="preserve">de déroulement de carrière, </w:t>
      </w:r>
    </w:p>
    <w:p>
      <w:pPr>
        <w:pStyle w:val="Normal"/>
        <w:numPr>
          <w:ilvl w:val="1"/>
          <w:numId w:val="2"/>
        </w:numPr>
        <w:jc w:val="both"/>
        <w:rPr>
          <w:rFonts w:ascii="Segoe UI" w:hAnsi="Segoe UI" w:cs="Segoe UI"/>
        </w:rPr>
      </w:pPr>
      <w:r>
        <w:rPr>
          <w:rFonts w:cs="Segoe UI" w:ascii="Segoe UI" w:hAnsi="Segoe UI"/>
        </w:rPr>
        <w:t xml:space="preserve">de promotion professionnelle, </w:t>
      </w:r>
    </w:p>
    <w:p>
      <w:pPr>
        <w:pStyle w:val="Normal"/>
        <w:numPr>
          <w:ilvl w:val="1"/>
          <w:numId w:val="2"/>
        </w:numPr>
        <w:jc w:val="both"/>
        <w:rPr>
          <w:rFonts w:ascii="Segoe UI" w:hAnsi="Segoe UI" w:cs="Segoe UI"/>
        </w:rPr>
      </w:pPr>
      <w:r>
        <w:rPr>
          <w:rFonts w:cs="Segoe UI" w:ascii="Segoe UI" w:hAnsi="Segoe UI"/>
        </w:rPr>
        <w:t>de conditions de travail et d’emploi.</w:t>
      </w:r>
    </w:p>
    <w:p>
      <w:pPr>
        <w:pStyle w:val="Normal"/>
        <w:numPr>
          <w:ilvl w:val="0"/>
          <w:numId w:val="2"/>
        </w:numPr>
        <w:jc w:val="both"/>
        <w:rPr>
          <w:rFonts w:ascii="Segoe UI" w:hAnsi="Segoe UI" w:cs="Segoe UI"/>
          <w:u w:val="single"/>
        </w:rPr>
      </w:pPr>
      <w:r>
        <w:rPr>
          <w:rFonts w:cs="Segoe UI" w:ascii="Segoe UI" w:hAnsi="Segoe UI"/>
          <w:u w:val="single"/>
        </w:rPr>
        <w:t>Qualité de vie au travail comprenant</w:t>
      </w:r>
    </w:p>
    <w:p>
      <w:pPr>
        <w:pStyle w:val="Normal"/>
        <w:numPr>
          <w:ilvl w:val="1"/>
          <w:numId w:val="2"/>
        </w:numPr>
        <w:jc w:val="both"/>
        <w:rPr>
          <w:rFonts w:ascii="Segoe UI" w:hAnsi="Segoe UI" w:cs="Segoe UI"/>
        </w:rPr>
      </w:pPr>
      <w:r>
        <w:rPr>
          <w:rFonts w:cs="Segoe UI" w:ascii="Segoe UI" w:hAnsi="Segoe UI"/>
        </w:rPr>
        <w:t>Articulation vie professionnelle et vie personnelle,</w:t>
      </w:r>
    </w:p>
    <w:p>
      <w:pPr>
        <w:pStyle w:val="Normal"/>
        <w:numPr>
          <w:ilvl w:val="1"/>
          <w:numId w:val="2"/>
        </w:numPr>
        <w:jc w:val="both"/>
        <w:rPr>
          <w:rFonts w:ascii="Segoe UI" w:hAnsi="Segoe UI" w:cs="Segoe UI"/>
        </w:rPr>
      </w:pPr>
      <w:r>
        <w:rPr>
          <w:rFonts w:cs="Segoe UI" w:ascii="Segoe UI" w:hAnsi="Segoe UI"/>
        </w:rPr>
        <w:t>Lutte contre la discrimination,</w:t>
      </w:r>
    </w:p>
    <w:p>
      <w:pPr>
        <w:pStyle w:val="Normal"/>
        <w:numPr>
          <w:ilvl w:val="1"/>
          <w:numId w:val="2"/>
        </w:numPr>
        <w:jc w:val="both"/>
        <w:rPr>
          <w:rFonts w:ascii="Segoe UI" w:hAnsi="Segoe UI" w:cs="Segoe UI"/>
        </w:rPr>
      </w:pPr>
      <w:r>
        <w:rPr>
          <w:rFonts w:cs="Segoe UI" w:ascii="Segoe UI" w:hAnsi="Segoe UI"/>
        </w:rPr>
        <w:t>Mesures relatives au maintien dans l’emploi et à l’insertion des travailleurs handicapés,</w:t>
      </w:r>
    </w:p>
    <w:p>
      <w:pPr>
        <w:pStyle w:val="Normal"/>
        <w:numPr>
          <w:ilvl w:val="1"/>
          <w:numId w:val="2"/>
        </w:numPr>
        <w:jc w:val="both"/>
        <w:rPr>
          <w:rFonts w:ascii="Segoe UI" w:hAnsi="Segoe UI" w:cs="Segoe UI"/>
        </w:rPr>
      </w:pPr>
      <w:r>
        <w:rPr>
          <w:rFonts w:cs="Segoe UI" w:ascii="Segoe UI" w:hAnsi="Segoe UI"/>
        </w:rPr>
        <w:t>Mesures de prévention de la pénibilité,</w:t>
      </w:r>
    </w:p>
    <w:p>
      <w:pPr>
        <w:pStyle w:val="Normal"/>
        <w:numPr>
          <w:ilvl w:val="1"/>
          <w:numId w:val="2"/>
        </w:numPr>
        <w:jc w:val="both"/>
        <w:rPr>
          <w:rFonts w:ascii="Segoe UI" w:hAnsi="Segoe UI" w:cs="Segoe UI"/>
        </w:rPr>
      </w:pPr>
      <w:r>
        <w:rPr>
          <w:rFonts w:cs="Segoe UI" w:ascii="Segoe UI" w:hAnsi="Segoe UI"/>
        </w:rPr>
        <w:t>Régime de prévoyance,</w:t>
      </w:r>
    </w:p>
    <w:p>
      <w:pPr>
        <w:pStyle w:val="Normal"/>
        <w:numPr>
          <w:ilvl w:val="1"/>
          <w:numId w:val="2"/>
        </w:numPr>
        <w:jc w:val="both"/>
        <w:rPr>
          <w:rFonts w:ascii="Segoe UI" w:hAnsi="Segoe UI" w:cs="Segoe UI"/>
        </w:rPr>
      </w:pPr>
      <w:r>
        <w:rPr>
          <w:rFonts w:cs="Segoe UI" w:ascii="Segoe UI" w:hAnsi="Segoe UI"/>
        </w:rPr>
        <w:t>Exercice du droit d’expression direct et collectif des salariés,</w:t>
      </w:r>
    </w:p>
    <w:p>
      <w:pPr>
        <w:pStyle w:val="Normal"/>
        <w:jc w:val="both"/>
        <w:rPr/>
      </w:pPr>
      <w:r>
        <w:rPr>
          <w:rFonts w:cs="Segoe UI" w:ascii="Segoe UI" w:hAnsi="Segoe UI"/>
        </w:rPr>
        <w:t xml:space="preserve">Périodicité des négociations : </w:t>
      </w:r>
      <w:r>
        <w:rPr>
          <w:rFonts w:cs="Segoe UI" w:ascii="Segoe UI" w:hAnsi="Segoe UI"/>
          <w:b/>
        </w:rPr>
        <w:t>TRIENNALE</w:t>
      </w:r>
      <w:r>
        <w:rPr>
          <w:rFonts w:cs="Segoe UI" w:ascii="Segoe UI" w:hAnsi="Segoe UI"/>
        </w:rPr>
        <w:t>.</w:t>
      </w:r>
    </w:p>
    <w:p>
      <w:pPr>
        <w:pStyle w:val="Normal"/>
        <w:rPr>
          <w:rFonts w:ascii="Segoe UI" w:hAnsi="Segoe UI" w:cs="Segoe UI"/>
        </w:rPr>
      </w:pPr>
      <w:r>
        <w:rPr>
          <w:rFonts w:cs="Segoe UI" w:ascii="Segoe UI" w:hAnsi="Segoe UI"/>
        </w:rPr>
      </w:r>
    </w:p>
    <w:p>
      <w:pPr>
        <w:pStyle w:val="Normal"/>
        <w:rPr>
          <w:rFonts w:ascii="Segoe UI" w:hAnsi="Segoe UI" w:cs="Segoe UI"/>
        </w:rPr>
      </w:pPr>
      <w:r>
        <w:rPr>
          <w:rFonts w:cs="Segoe UI" w:ascii="Segoe UI" w:hAnsi="Segoe UI"/>
        </w:rPr>
      </w:r>
    </w:p>
    <w:p>
      <w:pPr>
        <w:pStyle w:val="Normal"/>
        <w:rPr>
          <w:rFonts w:ascii="Segoe UI" w:hAnsi="Segoe UI" w:cs="Segoe UI"/>
        </w:rPr>
      </w:pPr>
      <w:r>
        <w:rPr>
          <w:rFonts w:cs="Segoe UI" w:ascii="Segoe UI" w:hAnsi="Segoe UI"/>
        </w:rPr>
        <w:t>En 2018, la société MDR a mis en place le CSE qui a tenu sa première réunion en juin 2018 et un nouveau délégué syndical a été désigné à compter du 1</w:t>
      </w:r>
      <w:r>
        <w:rPr>
          <w:rFonts w:cs="Segoe UI" w:ascii="Segoe UI" w:hAnsi="Segoe UI"/>
          <w:vertAlign w:val="superscript"/>
        </w:rPr>
        <w:t>er</w:t>
      </w:r>
      <w:r>
        <w:rPr>
          <w:rFonts w:cs="Segoe UI" w:ascii="Segoe UI" w:hAnsi="Segoe UI"/>
        </w:rPr>
        <w:t xml:space="preserve"> septembre 2018.</w:t>
      </w:r>
    </w:p>
    <w:p>
      <w:pPr>
        <w:pStyle w:val="Normal"/>
        <w:rPr>
          <w:rFonts w:ascii="Segoe UI" w:hAnsi="Segoe UI" w:cs="Segoe UI"/>
        </w:rPr>
      </w:pPr>
      <w:r>
        <w:rPr>
          <w:rFonts w:cs="Segoe UI" w:ascii="Segoe UI" w:hAnsi="Segoe UI"/>
        </w:rPr>
      </w:r>
    </w:p>
    <w:p>
      <w:pPr>
        <w:pStyle w:val="Normal"/>
        <w:rPr>
          <w:rFonts w:ascii="Segoe UI" w:hAnsi="Segoe UI" w:cs="Segoe UI"/>
        </w:rPr>
      </w:pPr>
      <w:r>
        <w:rPr>
          <w:rFonts w:cs="Segoe UI" w:ascii="Segoe UI" w:hAnsi="Segoe UI"/>
        </w:rPr>
        <w:t>En concertation entre la direction et Mr X la négociation concernant le bloc N°1 a démarré le 26 octobre 2018 et un accord a été trouvé à l’issue de la 3</w:t>
      </w:r>
      <w:r>
        <w:rPr>
          <w:rFonts w:cs="Segoe UI" w:ascii="Segoe UI" w:hAnsi="Segoe UI"/>
          <w:vertAlign w:val="superscript"/>
        </w:rPr>
        <w:t>ème</w:t>
      </w:r>
      <w:r>
        <w:rPr>
          <w:rFonts w:cs="Segoe UI" w:ascii="Segoe UI" w:hAnsi="Segoe UI"/>
        </w:rPr>
        <w:t xml:space="preserve"> réunion le 28 novembre 2018.</w:t>
      </w:r>
    </w:p>
    <w:p>
      <w:pPr>
        <w:pStyle w:val="Normal"/>
        <w:rPr>
          <w:rFonts w:ascii="Segoe UI" w:hAnsi="Segoe UI" w:cs="Segoe UI"/>
        </w:rPr>
      </w:pPr>
      <w:r>
        <w:rPr>
          <w:rFonts w:cs="Segoe UI" w:ascii="Segoe UI" w:hAnsi="Segoe UI"/>
        </w:rPr>
      </w:r>
    </w:p>
    <w:p>
      <w:pPr>
        <w:pStyle w:val="Normal"/>
        <w:rPr/>
      </w:pPr>
      <w:r>
        <w:rPr>
          <w:rFonts w:cs="Segoe UI" w:ascii="Segoe UI" w:hAnsi="Segoe UI"/>
        </w:rPr>
        <w:t>La finalisation de ces négociations intervenant en toute fin d’année 2018, il a été convenu d’un commun accord que la négociation du bloc 1 porterait expectionnellement sur 2 années.</w:t>
      </w:r>
    </w:p>
    <w:p>
      <w:pPr>
        <w:pStyle w:val="Normal"/>
        <w:rPr>
          <w:rFonts w:ascii="Segoe UI" w:hAnsi="Segoe UI" w:cs="Segoe UI"/>
        </w:rPr>
      </w:pPr>
      <w:r>
        <w:rPr>
          <w:rFonts w:cs="Segoe UI" w:ascii="Segoe UI" w:hAnsi="Segoe UI"/>
        </w:rPr>
      </w:r>
    </w:p>
    <w:p>
      <w:pPr>
        <w:pStyle w:val="Normal"/>
        <w:rPr>
          <w:rFonts w:ascii="Segoe UI" w:hAnsi="Segoe UI" w:cs="Segoe UI"/>
        </w:rPr>
      </w:pPr>
      <w:r>
        <w:rPr>
          <w:rFonts w:cs="Segoe UI" w:ascii="Segoe UI" w:hAnsi="Segoe UI"/>
        </w:rPr>
        <w:t xml:space="preserve">Ceci étant précisé, le présent avenant vient préciser ce qui suit : </w:t>
      </w:r>
    </w:p>
    <w:p>
      <w:pPr>
        <w:pStyle w:val="Normal"/>
        <w:rPr>
          <w:rFonts w:ascii="Segoe UI" w:hAnsi="Segoe UI" w:cs="Segoe UI"/>
        </w:rPr>
      </w:pPr>
      <w:r>
        <w:rPr>
          <w:rFonts w:cs="Segoe UI" w:ascii="Segoe UI" w:hAnsi="Segoe UI"/>
        </w:rPr>
      </w:r>
    </w:p>
    <w:p>
      <w:pPr>
        <w:pStyle w:val="Normal"/>
        <w:jc w:val="both"/>
        <w:rPr>
          <w:rFonts w:ascii="Segoe UI" w:hAnsi="Segoe UI" w:cs="Segoe UI"/>
          <w:b/>
          <w:b/>
          <w:u w:val="single"/>
        </w:rPr>
      </w:pPr>
      <w:r>
        <w:rPr>
          <w:rFonts w:cs="Segoe UI" w:ascii="Segoe UI" w:hAnsi="Segoe UI"/>
          <w:b/>
          <w:u w:val="single"/>
        </w:rPr>
        <w:t xml:space="preserve">I - PERIODICITE DES NEGOCIATIONS </w:t>
      </w:r>
    </w:p>
    <w:p>
      <w:pPr>
        <w:pStyle w:val="Normal"/>
        <w:jc w:val="both"/>
        <w:rPr>
          <w:rFonts w:ascii="Segoe UI" w:hAnsi="Segoe UI" w:cs="Segoe UI"/>
        </w:rPr>
      </w:pPr>
      <w:r>
        <w:rPr>
          <w:rFonts w:cs="Segoe UI" w:ascii="Segoe UI" w:hAnsi="Segoe UI"/>
        </w:rPr>
        <w:t>De manière exceptionnelle, la périodicité des négociations du bloc 1 est étendue à 2 ans.</w:t>
      </w:r>
    </w:p>
    <w:p>
      <w:pPr>
        <w:pStyle w:val="Normal"/>
        <w:jc w:val="both"/>
        <w:rPr>
          <w:rFonts w:ascii="Segoe UI" w:hAnsi="Segoe UI" w:cs="Segoe UI"/>
        </w:rPr>
      </w:pPr>
      <w:r>
        <w:rPr>
          <w:rFonts w:cs="Segoe UI" w:ascii="Segoe UI" w:hAnsi="Segoe UI"/>
        </w:rPr>
        <w:t>Ainsi, les dispositions négociées et finalisées le 28 novembre 2018 concerneront l’année 2018 et 2019 et il ne sera pas procédé à de nouvelles négociations du bloc 1 en 2019.</w:t>
      </w:r>
    </w:p>
    <w:p>
      <w:pPr>
        <w:pStyle w:val="Normal"/>
        <w:jc w:val="both"/>
        <w:rPr>
          <w:rFonts w:ascii="Segoe UI" w:hAnsi="Segoe UI" w:cs="Segoe UI"/>
        </w:rPr>
      </w:pPr>
      <w:r>
        <w:rPr>
          <w:rFonts w:cs="Segoe UI" w:ascii="Segoe UI" w:hAnsi="Segoe UI"/>
        </w:rPr>
      </w:r>
    </w:p>
    <w:p>
      <w:pPr>
        <w:pStyle w:val="Heading6"/>
        <w:numPr>
          <w:ilvl w:val="5"/>
          <w:numId w:val="1"/>
        </w:numPr>
        <w:ind w:right="1558" w:hanging="0"/>
        <w:rPr/>
      </w:pPr>
      <w:r>
        <w:rPr>
          <w:rFonts w:cs="Segoe UI" w:ascii="Segoe UI" w:hAnsi="Segoe UI"/>
          <w:sz w:val="20"/>
        </w:rPr>
        <w:t xml:space="preserve">II - Durée de l’accord </w:t>
      </w:r>
    </w:p>
    <w:p>
      <w:pPr>
        <w:pStyle w:val="Heading5"/>
        <w:numPr>
          <w:ilvl w:val="4"/>
          <w:numId w:val="1"/>
        </w:numPr>
        <w:rPr/>
      </w:pPr>
      <w:r>
        <w:rPr>
          <w:rFonts w:cs="Segoe UI" w:ascii="Segoe UI" w:hAnsi="Segoe UI"/>
          <w:b w:val="false"/>
          <w:bCs/>
          <w:sz w:val="20"/>
          <w:u w:val="none"/>
        </w:rPr>
        <w:t>Le présent accord est conclu pour une durée déterminée. Il entre en vigueur à compter de sa date de dépôt et prendra fin le 31 décembre 2019.</w:t>
      </w:r>
    </w:p>
    <w:p>
      <w:pPr>
        <w:pStyle w:val="Heading5"/>
        <w:numPr>
          <w:ilvl w:val="4"/>
          <w:numId w:val="1"/>
        </w:numPr>
        <w:rPr>
          <w:rFonts w:ascii="Segoe UI" w:hAnsi="Segoe UI" w:cs="Segoe UI"/>
          <w:b w:val="false"/>
          <w:b w:val="false"/>
          <w:bCs/>
          <w:sz w:val="20"/>
          <w:u w:val="none"/>
        </w:rPr>
      </w:pPr>
      <w:r>
        <w:rPr>
          <w:rFonts w:cs="Segoe UI" w:ascii="Segoe UI" w:hAnsi="Segoe UI"/>
          <w:b w:val="false"/>
          <w:bCs/>
          <w:sz w:val="20"/>
          <w:u w:val="none"/>
        </w:rPr>
      </w:r>
    </w:p>
    <w:p>
      <w:pPr>
        <w:pStyle w:val="Normal"/>
        <w:jc w:val="both"/>
        <w:rPr>
          <w:rFonts w:ascii="Segoe UI" w:hAnsi="Segoe UI" w:cs="Segoe UI"/>
        </w:rPr>
      </w:pPr>
      <w:r>
        <w:rPr>
          <w:rFonts w:cs="Segoe UI" w:ascii="Segoe UI" w:hAnsi="Segoe UI"/>
          <w:b/>
          <w:u w:val="single"/>
        </w:rPr>
        <w:t>III – Dénonciation de l’accord</w:t>
      </w:r>
    </w:p>
    <w:p>
      <w:pPr>
        <w:pStyle w:val="Normal"/>
        <w:rPr>
          <w:rFonts w:ascii="Segoe UI" w:hAnsi="Segoe UI" w:cs="Segoe UI"/>
          <w:bCs/>
        </w:rPr>
      </w:pPr>
      <w:r>
        <w:rPr>
          <w:rFonts w:cs="Segoe UI" w:ascii="Segoe UI" w:hAnsi="Segoe UI"/>
          <w:bCs/>
        </w:rPr>
        <w:t>Le présent accord pourra être dénoncé au cours de la période d'application, par l’une ou l’autre des parties signataire par lettre recommandée avec accusé de réception sous réserve du respect d’un préavis de 3 mois.</w:t>
      </w:r>
    </w:p>
    <w:p>
      <w:pPr>
        <w:pStyle w:val="Normal"/>
        <w:rPr>
          <w:rFonts w:ascii="Segoe UI" w:hAnsi="Segoe UI" w:cs="Segoe UI"/>
          <w:bCs/>
        </w:rPr>
      </w:pPr>
      <w:r>
        <w:rPr>
          <w:rFonts w:cs="Segoe UI" w:ascii="Segoe UI" w:hAnsi="Segoe UI"/>
          <w:bCs/>
        </w:rPr>
      </w:r>
    </w:p>
    <w:p>
      <w:pPr>
        <w:pStyle w:val="Normal"/>
        <w:rPr>
          <w:rFonts w:ascii="Segoe UI" w:hAnsi="Segoe UI" w:cs="Segoe UI"/>
          <w:b/>
          <w:b/>
          <w:u w:val="single"/>
        </w:rPr>
      </w:pPr>
      <w:r>
        <w:rPr>
          <w:rFonts w:cs="Segoe UI" w:ascii="Segoe UI" w:hAnsi="Segoe UI"/>
          <w:b/>
          <w:u w:val="single"/>
        </w:rPr>
        <w:t>IV - Révision de l’accord</w:t>
      </w:r>
    </w:p>
    <w:p>
      <w:pPr>
        <w:pStyle w:val="Normal"/>
        <w:rPr>
          <w:rFonts w:ascii="Segoe UI" w:hAnsi="Segoe UI" w:cs="Segoe UI"/>
          <w:bCs/>
        </w:rPr>
      </w:pPr>
      <w:r>
        <w:rPr>
          <w:rFonts w:cs="Segoe UI" w:ascii="Segoe UI" w:hAnsi="Segoe UI"/>
          <w:bCs/>
        </w:rPr>
        <w:t>Le présent accord peut être révisé, à tout moment, pendant sa période d’application par accord entre les parties.</w:t>
      </w:r>
    </w:p>
    <w:p>
      <w:pPr>
        <w:pStyle w:val="Normal"/>
        <w:rPr>
          <w:rFonts w:ascii="Segoe UI" w:hAnsi="Segoe UI" w:cs="Segoe UI"/>
          <w:bCs/>
        </w:rPr>
      </w:pPr>
      <w:r>
        <w:rPr>
          <w:rFonts w:cs="Segoe UI" w:ascii="Segoe UI" w:hAnsi="Segoe UI"/>
          <w:bCs/>
        </w:rPr>
        <w:t>Toute demande de révision, totale ou partielle, doit être effectuée par lettre recommandée avec accusé de réception adressée aux parties signataires.</w:t>
      </w:r>
    </w:p>
    <w:p>
      <w:pPr>
        <w:pStyle w:val="Normal"/>
        <w:rPr>
          <w:rFonts w:ascii="Segoe UI" w:hAnsi="Segoe UI" w:cs="Segoe UI"/>
          <w:bCs/>
        </w:rPr>
      </w:pPr>
      <w:r>
        <w:rPr>
          <w:rFonts w:cs="Segoe UI" w:ascii="Segoe UI" w:hAnsi="Segoe UI"/>
          <w:bCs/>
        </w:rPr>
        <w:t>Elle doit être accompagnée d’une proposition nouvelle sur les points à réviser.</w:t>
      </w:r>
    </w:p>
    <w:p>
      <w:pPr>
        <w:pStyle w:val="Normal"/>
        <w:rPr>
          <w:rFonts w:ascii="Segoe UI" w:hAnsi="Segoe UI" w:cs="Segoe UI"/>
          <w:bCs/>
        </w:rPr>
      </w:pPr>
      <w:r>
        <w:rPr>
          <w:rFonts w:cs="Segoe UI" w:ascii="Segoe UI" w:hAnsi="Segoe UI"/>
          <w:bCs/>
        </w:rPr>
        <w:t>Toute modification fera l’objet d’un avenant conclu dans les conditions prévues par les dispositions législatives et réglementaires.</w:t>
      </w:r>
    </w:p>
    <w:p>
      <w:pPr>
        <w:pStyle w:val="Heading5"/>
        <w:numPr>
          <w:ilvl w:val="4"/>
          <w:numId w:val="1"/>
        </w:numPr>
        <w:rPr>
          <w:rFonts w:ascii="Segoe UI" w:hAnsi="Segoe UI" w:cs="Segoe UI"/>
          <w:bCs/>
          <w:sz w:val="20"/>
        </w:rPr>
      </w:pPr>
      <w:r>
        <w:rPr>
          <w:rFonts w:cs="Segoe UI" w:ascii="Segoe UI" w:hAnsi="Segoe UI"/>
          <w:bCs/>
          <w:sz w:val="20"/>
        </w:rPr>
      </w:r>
    </w:p>
    <w:p>
      <w:pPr>
        <w:pStyle w:val="Heading5"/>
        <w:numPr>
          <w:ilvl w:val="4"/>
          <w:numId w:val="1"/>
        </w:numPr>
        <w:rPr/>
      </w:pPr>
      <w:r>
        <w:rPr>
          <w:rFonts w:cs="Segoe UI" w:ascii="Segoe UI" w:hAnsi="Segoe UI"/>
          <w:bCs/>
          <w:sz w:val="20"/>
        </w:rPr>
        <w:t>V - Formalités de Dépôt</w:t>
      </w:r>
    </w:p>
    <w:p>
      <w:pPr>
        <w:pStyle w:val="Corpsdetexte2"/>
        <w:rPr>
          <w:rFonts w:ascii="Segoe UI" w:hAnsi="Segoe UI" w:cs="Segoe UI"/>
          <w:sz w:val="20"/>
        </w:rPr>
      </w:pPr>
      <w:r>
        <w:rPr>
          <w:rFonts w:cs="Segoe UI" w:ascii="Segoe UI" w:hAnsi="Segoe UI"/>
          <w:sz w:val="20"/>
        </w:rPr>
        <w:t xml:space="preserve">Conformément à loi du 4 mai 2004 sur le dialogue social, le présent accord sera notifié à l'ensemble des organisations syndicales représentatives dans l'entreprise. </w:t>
      </w:r>
    </w:p>
    <w:p>
      <w:pPr>
        <w:pStyle w:val="Corpsdetexte2"/>
        <w:rPr/>
      </w:pPr>
      <w:r>
        <w:rPr>
          <w:rFonts w:cs="Segoe UI" w:ascii="Segoe UI" w:hAnsi="Segoe UI"/>
          <w:sz w:val="20"/>
        </w:rPr>
        <w:t>Conformément à l’article L. 2231-6 du Code du travail, à l'issue du délai de 8 jours et en l'absence d'opposition majoritaire, le présent accord sera déposé en 2 exemplaires à l’unité territoriale de Côte d’Or de la DIRECCTE BOURGOGNE dont une version sur support papier signée des parties et une version sur support électronique.</w:t>
      </w:r>
    </w:p>
    <w:p>
      <w:pPr>
        <w:pStyle w:val="Normal"/>
        <w:rPr/>
      </w:pPr>
      <w:r>
        <w:rPr>
          <w:rFonts w:cs="Segoe UI" w:ascii="Segoe UI" w:hAnsi="Segoe UI"/>
        </w:rPr>
        <w:t>Le présent accord sera également déposé auprès du Greffe du Conseil des Prud’hommes de Dijon.</w:t>
      </w:r>
    </w:p>
    <w:p>
      <w:pPr>
        <w:pStyle w:val="Normal"/>
        <w:rPr>
          <w:rFonts w:ascii="Segoe UI" w:hAnsi="Segoe UI" w:cs="Segoe UI"/>
        </w:rPr>
      </w:pPr>
      <w:r>
        <w:rPr>
          <w:rFonts w:cs="Segoe UI" w:ascii="Segoe UI" w:hAnsi="Segoe UI"/>
        </w:rPr>
      </w:r>
    </w:p>
    <w:p>
      <w:pPr>
        <w:pStyle w:val="Normal"/>
        <w:rPr>
          <w:rFonts w:ascii="Segoe UI" w:hAnsi="Segoe UI" w:cs="Segoe UI"/>
        </w:rPr>
      </w:pPr>
      <w:r>
        <w:rPr>
          <w:rFonts w:cs="Segoe UI" w:ascii="Segoe UI" w:hAnsi="Segoe UI"/>
        </w:rPr>
        <w:t>Le présent accord est fait en nombre suffisant pour remise à chacune des parties.</w:t>
      </w:r>
    </w:p>
    <w:p>
      <w:pPr>
        <w:pStyle w:val="Normal"/>
        <w:rPr>
          <w:rFonts w:ascii="Segoe UI" w:hAnsi="Segoe UI" w:cs="Segoe UI"/>
        </w:rPr>
      </w:pPr>
      <w:r>
        <w:rPr>
          <w:rFonts w:cs="Segoe UI" w:ascii="Segoe UI" w:hAnsi="Segoe UI"/>
        </w:rPr>
        <w:t>Son existence figurera aux emplacements réservés à la communication avec le personnel.</w:t>
      </w:r>
    </w:p>
    <w:p>
      <w:pPr>
        <w:pStyle w:val="Normal"/>
        <w:rPr>
          <w:rFonts w:ascii="Segoe UI" w:hAnsi="Segoe UI" w:cs="Segoe UI"/>
        </w:rPr>
      </w:pPr>
      <w:r>
        <w:rPr>
          <w:rFonts w:cs="Segoe UI" w:ascii="Segoe UI" w:hAnsi="Segoe UI"/>
        </w:rPr>
      </w:r>
    </w:p>
    <w:p>
      <w:pPr>
        <w:pStyle w:val="Normal"/>
        <w:jc w:val="both"/>
        <w:rPr>
          <w:rFonts w:ascii="Segoe UI" w:hAnsi="Segoe UI" w:cs="Segoe UI"/>
        </w:rPr>
      </w:pPr>
      <w:r>
        <w:rPr>
          <w:rFonts w:cs="Segoe UI" w:ascii="Segoe UI" w:hAnsi="Segoe UI"/>
        </w:rPr>
        <w:tab/>
        <w:tab/>
        <w:tab/>
        <w:tab/>
        <w:tab/>
        <w:tab/>
        <w:tab/>
        <w:tab/>
        <w:tab/>
        <w:tab/>
        <w:tab/>
        <w:tab/>
        <w:tab/>
        <w:tab/>
        <w:tab/>
        <w:tab/>
        <w:tab/>
      </w:r>
    </w:p>
    <w:p>
      <w:pPr>
        <w:pStyle w:val="Normal"/>
        <w:jc w:val="both"/>
        <w:rPr>
          <w:rFonts w:ascii="Segoe UI" w:hAnsi="Segoe UI" w:cs="Segoe UI"/>
        </w:rPr>
      </w:pPr>
      <w:r>
        <w:rPr>
          <w:rFonts w:cs="Segoe UI" w:ascii="Segoe UI" w:hAnsi="Segoe UI"/>
        </w:rPr>
        <w:t>Fait à Montbard, le 29 novembre 2018</w:t>
      </w:r>
    </w:p>
    <w:p>
      <w:pPr>
        <w:pStyle w:val="Normal"/>
        <w:jc w:val="both"/>
        <w:rPr>
          <w:rFonts w:ascii="Segoe UI" w:hAnsi="Segoe UI" w:cs="Segoe UI"/>
        </w:rPr>
      </w:pPr>
      <w:r>
        <w:rPr>
          <w:rFonts w:cs="Segoe UI" w:ascii="Segoe UI" w:hAnsi="Segoe UI"/>
        </w:rPr>
      </w:r>
    </w:p>
    <w:p>
      <w:pPr>
        <w:pStyle w:val="Normal"/>
        <w:rPr/>
      </w:pPr>
      <w:r>
        <w:rPr>
          <w:rFonts w:cs="Segoe UI" w:ascii="Segoe UI" w:hAnsi="Segoe UI"/>
        </w:rPr>
        <w:t xml:space="preserve">Pour la société </w:t>
        <w:tab/>
        <w:tab/>
        <w:tab/>
        <w:tab/>
        <w:tab/>
        <w:tab/>
        <w:tab/>
        <w:tab/>
        <w:tab/>
        <w:tab/>
        <w:tab/>
        <w:tab/>
        <w:tab/>
        <w:tab/>
        <w:tab/>
        <w:tab/>
        <w:tab/>
        <w:tab/>
        <w:tab/>
        <w:t>Pour la CFDT</w:t>
        <w:tab/>
        <w:tab/>
        <w:tab/>
        <w:tab/>
        <w:tab/>
        <w:t xml:space="preserve"> </w:t>
        <w:tab/>
        <w:tab/>
        <w:tab/>
      </w:r>
    </w:p>
    <w:p>
      <w:pPr>
        <w:pStyle w:val="Normal"/>
        <w:rPr/>
      </w:pPr>
      <w:r>
        <w:rPr>
          <w:rFonts w:cs="Segoe UI" w:ascii="Segoe UI" w:hAnsi="Segoe UI"/>
        </w:rPr>
        <w:tab/>
        <w:tab/>
        <w:tab/>
        <w:tab/>
        <w:tab/>
        <w:tab/>
        <w:tab/>
        <w:tab/>
        <w:tab/>
        <w:tab/>
        <w:tab/>
        <w:tab/>
        <w:tab/>
        <w:tab/>
        <w:tab/>
        <w:tab/>
        <w:tab/>
        <w:tab/>
        <w:tab/>
        <w:t xml:space="preserve"> </w:t>
      </w:r>
    </w:p>
    <w:p>
      <w:pPr>
        <w:pStyle w:val="Normal"/>
        <w:rPr>
          <w:rFonts w:ascii="Segoe UI" w:hAnsi="Segoe UI" w:cs="Segoe UI"/>
          <w:sz w:val="22"/>
          <w:szCs w:val="22"/>
        </w:rPr>
      </w:pPr>
      <w:r>
        <w:rPr>
          <w:rFonts w:cs="Segoe UI" w:ascii="Segoe UI" w:hAnsi="Segoe UI"/>
          <w:sz w:val="22"/>
          <w:szCs w:val="22"/>
        </w:rPr>
        <w:t>Directeur Général</w:t>
        <w:tab/>
        <w:tab/>
        <w:tab/>
        <w:tab/>
        <w:tab/>
        <w:tab/>
        <w:tab/>
        <w:tab/>
        <w:tab/>
        <w:tab/>
        <w:tab/>
      </w:r>
    </w:p>
    <w:sectPr>
      <w:headerReference w:type="default" r:id="rId2"/>
      <w:footerReference w:type="default" r:id="rId3"/>
      <w:type w:val="nextPage"/>
      <w:pgSz w:w="11906" w:h="16838"/>
      <w:pgMar w:left="720" w:right="720" w:header="907" w:top="963" w:footer="720" w:bottom="776" w:gutter="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ms Rmn">
    <w:altName w:val="Times New Roman"/>
    <w:charset w:val="00"/>
    <w:family w:val="roman"/>
    <w:pitch w:val="variable"/>
  </w:font>
  <w:font w:name="Wingdings">
    <w:charset w:val="02"/>
    <w:family w:val="auto"/>
    <w:pitch w:val="variable"/>
  </w:font>
  <w:font w:name="Maiandra GD">
    <w:charset w:val="00"/>
    <w:family w:val="swiss"/>
    <w:pitch w:val="variable"/>
  </w:font>
  <w:font w:name="Courier New">
    <w:charset w:val="00"/>
    <w:family w:val="modern"/>
    <w:pitch w:val="default"/>
  </w:font>
  <w:font w:name="Symbol">
    <w:charset w:val="01"/>
    <w:family w:val="roman"/>
    <w:pitch w:val="variable"/>
  </w:font>
  <w:font w:name="Monotype Sorts">
    <w:charset w:val="02"/>
    <w:family w:val="auto"/>
    <w:pitch w:val="variable"/>
  </w:font>
  <w:font w:name="Liberation Sans">
    <w:altName w:val="Arial"/>
    <w:charset w:val="01"/>
    <w:family w:val="swiss"/>
    <w:pitch w:val="variable"/>
  </w:font>
  <w:font w:name="Segoe U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Fonts w:cs="Arial" w:ascii="Arial" w:hAnsi="Arial"/>
      </w:rPr>
      <w:fldChar w:fldCharType="begin"/>
    </w:r>
    <w:r>
      <w:instrText> PAGE </w:instrText>
    </w:r>
    <w:r>
      <w:fldChar w:fldCharType="separate"/>
    </w:r>
    <w:r>
      <w:t>2</w:t>
    </w:r>
    <w:r>
      <w:fldChar w:fldCharType="end"/>
    </w:r>
    <w:r>
      <w:rPr>
        <w:rFonts w:cs="Arial" w:ascii="Arial" w:hAnsi="Arial"/>
      </w:rPr>
      <w:t>/</w:t>
    </w:r>
    <w:r>
      <w:rPr>
        <w:rFonts w:cs="Arial" w:ascii="Arial" w:hAnsi="Arial"/>
      </w:rPr>
      <w:fldChar w:fldCharType="begin"/>
    </w:r>
    <w:r>
      <w:instrText> NUMPAGES \* ARABIC </w:instrText>
    </w:r>
    <w:r>
      <w:fldChar w:fldCharType="separate"/>
    </w:r>
    <w:r>
      <w:t>2</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Arial" w:hAnsi="Arial" w:cs="Arial"/>
        <w:sz w:val="22"/>
      </w:rPr>
    </w:pPr>
    <w:r>
      <w:rPr>
        <w:rFonts w:cs="Arial" w:ascii="Arial" w:hAnsi="Arial"/>
        <w:sz w:val="22"/>
      </w:rPr>
      <w:drawing>
        <wp:inline distT="0" distB="0" distL="0" distR="0">
          <wp:extent cx="1223645" cy="86423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223645" cy="86423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numFmt w:val="bullet"/>
      <w:lvlText w:val="-"/>
      <w:lvlJc w:val="left"/>
      <w:pPr>
        <w:ind w:left="720" w:hanging="360"/>
      </w:pPr>
      <w:rPr>
        <w:rFonts w:ascii="Maiandra GD" w:hAnsi="Maiandra GD" w:cs="Maiandra GD" w:hint="default"/>
        <w:rFonts w:cs="Times New Roman"/>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num w:numId="1">
    <w:abstractNumId w:val="1"/>
  </w:num>
  <w:num w:numId="2">
    <w:abstractNumId w:val="2"/>
  </w:num>
</w:numbering>
</file>

<file path=word/settings.xml><?xml version="1.0" encoding="utf-8"?>
<w:settings xmlns:w="http://schemas.openxmlformats.org/wordprocessingml/2006/main">
  <w:zoom w:percent="100"/>
  <w:defaultTabStop w:val="284"/>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Tms Rmn" w:hAnsi="Tms Rmn" w:eastAsia="Times New Roman" w:cs="Times New Roman"/>
      <w:color w:val="auto"/>
      <w:sz w:val="20"/>
      <w:szCs w:val="20"/>
      <w:lang w:val="fr-FR" w:bidi="ar-SA" w:eastAsia="zh-CN"/>
    </w:rPr>
  </w:style>
  <w:style w:type="paragraph" w:styleId="Heading1">
    <w:name w:val="Heading 1"/>
    <w:basedOn w:val="Normal"/>
    <w:next w:val="Normal"/>
    <w:qFormat/>
    <w:pPr>
      <w:keepNext/>
      <w:numPr>
        <w:ilvl w:val="0"/>
        <w:numId w:val="1"/>
      </w:numPr>
      <w:jc w:val="both"/>
      <w:outlineLvl w:val="0"/>
      <w:outlineLvl w:val="0"/>
    </w:pPr>
    <w:rPr>
      <w:rFonts w:ascii="Arial" w:hAnsi="Arial" w:cs="Arial"/>
      <w:b/>
      <w:sz w:val="22"/>
      <w:u w:val="single"/>
    </w:rPr>
  </w:style>
  <w:style w:type="paragraph" w:styleId="Heading2">
    <w:name w:val="Heading 2"/>
    <w:basedOn w:val="Normal"/>
    <w:next w:val="Normal"/>
    <w:qFormat/>
    <w:pPr>
      <w:keepNext/>
      <w:numPr>
        <w:ilvl w:val="1"/>
        <w:numId w:val="1"/>
      </w:numPr>
      <w:pBdr>
        <w:bottom w:val="single" w:sz="6" w:space="1" w:color="000000"/>
      </w:pBdr>
      <w:ind w:right="5243" w:hanging="0"/>
      <w:jc w:val="both"/>
      <w:outlineLvl w:val="1"/>
      <w:outlineLvl w:val="1"/>
    </w:pPr>
    <w:rPr>
      <w:rFonts w:ascii="Arial" w:hAnsi="Arial" w:cs="Arial"/>
      <w:b/>
      <w:sz w:val="22"/>
    </w:rPr>
  </w:style>
  <w:style w:type="paragraph" w:styleId="Heading3">
    <w:name w:val="Heading 3"/>
    <w:basedOn w:val="Normal"/>
    <w:next w:val="Retraitnormal"/>
    <w:qFormat/>
    <w:pPr>
      <w:numPr>
        <w:ilvl w:val="2"/>
        <w:numId w:val="1"/>
      </w:numPr>
      <w:ind w:left="357" w:hanging="0"/>
      <w:outlineLvl w:val="2"/>
      <w:outlineLvl w:val="2"/>
    </w:pPr>
    <w:rPr>
      <w:b/>
      <w:sz w:val="24"/>
    </w:rPr>
  </w:style>
  <w:style w:type="paragraph" w:styleId="Heading4">
    <w:name w:val="Heading 4"/>
    <w:basedOn w:val="Normal"/>
    <w:next w:val="Normal"/>
    <w:qFormat/>
    <w:pPr>
      <w:keepNext/>
      <w:numPr>
        <w:ilvl w:val="3"/>
        <w:numId w:val="1"/>
      </w:numPr>
      <w:pBdr>
        <w:bottom w:val="single" w:sz="6" w:space="1" w:color="000000"/>
      </w:pBdr>
      <w:ind w:right="4536" w:hanging="0"/>
      <w:jc w:val="both"/>
      <w:outlineLvl w:val="3"/>
      <w:outlineLvl w:val="3"/>
    </w:pPr>
    <w:rPr>
      <w:rFonts w:ascii="Arial" w:hAnsi="Arial" w:cs="Arial"/>
      <w:b/>
      <w:sz w:val="22"/>
    </w:rPr>
  </w:style>
  <w:style w:type="paragraph" w:styleId="Heading5">
    <w:name w:val="Heading 5"/>
    <w:basedOn w:val="Normal"/>
    <w:next w:val="Normal"/>
    <w:qFormat/>
    <w:pPr>
      <w:keepNext/>
      <w:numPr>
        <w:ilvl w:val="4"/>
        <w:numId w:val="1"/>
      </w:numPr>
      <w:outlineLvl w:val="4"/>
      <w:outlineLvl w:val="4"/>
    </w:pPr>
    <w:rPr>
      <w:rFonts w:ascii="Arial" w:hAnsi="Arial" w:cs="Arial"/>
      <w:b/>
      <w:sz w:val="22"/>
      <w:u w:val="single"/>
    </w:rPr>
  </w:style>
  <w:style w:type="paragraph" w:styleId="Heading6">
    <w:name w:val="Heading 6"/>
    <w:basedOn w:val="Normal"/>
    <w:next w:val="Normal"/>
    <w:qFormat/>
    <w:pPr>
      <w:keepNext/>
      <w:numPr>
        <w:ilvl w:val="5"/>
        <w:numId w:val="1"/>
      </w:numPr>
      <w:ind w:right="1558" w:hanging="0"/>
      <w:outlineLvl w:val="5"/>
      <w:outlineLvl w:val="5"/>
    </w:pPr>
    <w:rPr>
      <w:rFonts w:ascii="Arial" w:hAnsi="Arial" w:cs="Arial"/>
      <w:b/>
      <w:sz w:val="22"/>
      <w:u w:val="single"/>
    </w:rPr>
  </w:style>
  <w:style w:type="paragraph" w:styleId="Heading7">
    <w:name w:val="Heading 7"/>
    <w:basedOn w:val="Normal"/>
    <w:next w:val="Normal"/>
    <w:qFormat/>
    <w:pPr>
      <w:keepNext/>
      <w:numPr>
        <w:ilvl w:val="6"/>
        <w:numId w:val="1"/>
      </w:numPr>
      <w:ind w:right="1558" w:hanging="0"/>
      <w:outlineLvl w:val="6"/>
      <w:outlineLvl w:val="6"/>
    </w:pPr>
    <w:rPr>
      <w:rFonts w:ascii="Arial" w:hAnsi="Arial" w:cs="Arial"/>
      <w:sz w:val="22"/>
      <w:u w:val="single"/>
    </w:rPr>
  </w:style>
  <w:style w:type="paragraph" w:styleId="Heading8">
    <w:name w:val="Heading 8"/>
    <w:basedOn w:val="Normal"/>
    <w:next w:val="Normal"/>
    <w:qFormat/>
    <w:pPr>
      <w:keepNext/>
      <w:numPr>
        <w:ilvl w:val="7"/>
        <w:numId w:val="1"/>
      </w:numPr>
      <w:outlineLvl w:val="7"/>
      <w:outlineLvl w:val="7"/>
    </w:pPr>
    <w:rPr>
      <w:rFonts w:ascii="Arial" w:hAnsi="Arial" w:cs="Arial"/>
      <w:sz w:val="22"/>
      <w:u w:val="single"/>
    </w:rPr>
  </w:style>
  <w:style w:type="paragraph" w:styleId="Heading9">
    <w:name w:val="Heading 9"/>
    <w:basedOn w:val="Normal"/>
    <w:next w:val="Normal"/>
    <w:qFormat/>
    <w:pPr>
      <w:keepNext/>
      <w:numPr>
        <w:ilvl w:val="8"/>
        <w:numId w:val="1"/>
      </w:numPr>
      <w:jc w:val="both"/>
      <w:outlineLvl w:val="8"/>
      <w:outlineLvl w:val="8"/>
    </w:pPr>
    <w:rPr>
      <w:rFonts w:ascii="Arial" w:hAnsi="Arial" w:cs="Arial"/>
      <w:b/>
      <w:sz w:val="22"/>
    </w:rPr>
  </w:style>
  <w:style w:type="character" w:styleId="WW8Num1z0">
    <w:name w:val="WW8Num1z0"/>
    <w:qFormat/>
    <w:rPr>
      <w:rFonts w:ascii="Times New Roman" w:hAnsi="Times New Roman" w:cs="Times New Roman"/>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rFonts w:ascii="Times New Roman" w:hAnsi="Times New Roman" w:cs="Times New Roman"/>
    </w:rPr>
  </w:style>
  <w:style w:type="character" w:styleId="WW8Num7z0">
    <w:name w:val="WW8Num7z0"/>
    <w:qFormat/>
    <w:rPr>
      <w:rFonts w:ascii="Maiandra GD" w:hAnsi="Maiandra GD"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Maiandra GD" w:hAnsi="Maiandra GD"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10z0">
    <w:name w:val="WW8Num10z0"/>
    <w:qFormat/>
    <w:rPr/>
  </w:style>
  <w:style w:type="character" w:styleId="WW8Num11z0">
    <w:name w:val="WW8Num11z0"/>
    <w:qFormat/>
    <w:rPr>
      <w:rFonts w:ascii="Wingdings" w:hAnsi="Wingdings" w:cs="Wingdings"/>
    </w:rPr>
  </w:style>
  <w:style w:type="character" w:styleId="WW8Num12z0">
    <w:name w:val="WW8Num12z0"/>
    <w:qFormat/>
    <w:rPr>
      <w:rFonts w:ascii="Wingdings" w:hAnsi="Wingdings" w:cs="Wingdings"/>
    </w:rPr>
  </w:style>
  <w:style w:type="character" w:styleId="WW8Num13z0">
    <w:name w:val="WW8Num13z0"/>
    <w:qFormat/>
    <w:rPr>
      <w:rFonts w:ascii="Monotype Sorts" w:hAnsi="Monotype Sorts" w:cs="Monotype Sorts"/>
    </w:rPr>
  </w:style>
  <w:style w:type="character" w:styleId="WW8Num14z0">
    <w:name w:val="WW8Num14z0"/>
    <w:qFormat/>
    <w:rPr>
      <w:rFonts w:ascii="Times New Roman" w:hAnsi="Times New Roman" w:cs="Times New Roman"/>
    </w:rPr>
  </w:style>
  <w:style w:type="character" w:styleId="WW8Num15z0">
    <w:name w:val="WW8Num15z0"/>
    <w:qFormat/>
    <w:rPr/>
  </w:style>
  <w:style w:type="character" w:styleId="WW8Num16z0">
    <w:name w:val="WW8Num16z0"/>
    <w:qFormat/>
    <w:rPr>
      <w:rFonts w:ascii="Wingdings" w:hAnsi="Wingdings" w:cs="Wingdings"/>
    </w:rPr>
  </w:style>
  <w:style w:type="character" w:styleId="WW8Num17z0">
    <w:name w:val="WW8Num17z0"/>
    <w:qFormat/>
    <w:rPr>
      <w:rFonts w:ascii="Maiandra GD" w:hAnsi="Maiandra GD"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9z0">
    <w:name w:val="WW8Num19z0"/>
    <w:qFormat/>
    <w:rPr/>
  </w:style>
  <w:style w:type="character" w:styleId="WW8Num20z0">
    <w:name w:val="WW8Num20z0"/>
    <w:qFormat/>
    <w:rPr>
      <w:rFonts w:ascii="Wingdings" w:hAnsi="Wingdings" w:cs="Wingdings"/>
    </w:rPr>
  </w:style>
  <w:style w:type="character" w:styleId="WW8Num21z0">
    <w:name w:val="WW8Num21z0"/>
    <w:qFormat/>
    <w:rPr>
      <w:rFonts w:ascii="Times New Roman" w:hAnsi="Times New Roman" w:cs="Times New Roman"/>
    </w:rPr>
  </w:style>
  <w:style w:type="character" w:styleId="WW8Num22z0">
    <w:name w:val="WW8Num22z0"/>
    <w:qFormat/>
    <w:rPr>
      <w:rFonts w:ascii="Wingdings" w:hAnsi="Wingdings" w:cs="Wingdings"/>
    </w:rPr>
  </w:style>
  <w:style w:type="character" w:styleId="WW8Num23z0">
    <w:name w:val="WW8Num23z0"/>
    <w:qFormat/>
    <w:rPr>
      <w:rFonts w:ascii="Wingdings" w:hAnsi="Wingdings" w:cs="Wingdings"/>
    </w:rPr>
  </w:style>
  <w:style w:type="character" w:styleId="WW8Num24z0">
    <w:name w:val="WW8Num24z0"/>
    <w:qFormat/>
    <w:rPr>
      <w:rFonts w:ascii="Wingdings" w:hAnsi="Wingdings" w:cs="Wingdings"/>
    </w:rPr>
  </w:style>
  <w:style w:type="character" w:styleId="WW8Num25z0">
    <w:name w:val="WW8Num25z0"/>
    <w:qFormat/>
    <w:rPr>
      <w:rFonts w:ascii="Wingdings" w:hAnsi="Wingdings" w:cs="Wingdings"/>
    </w:rPr>
  </w:style>
  <w:style w:type="character" w:styleId="WW8Num26z0">
    <w:name w:val="WW8Num26z0"/>
    <w:qFormat/>
    <w:rPr>
      <w:rFonts w:ascii="Wingdings" w:hAnsi="Wingdings" w:cs="Wingdings"/>
    </w:rPr>
  </w:style>
  <w:style w:type="character" w:styleId="Policepardfaut">
    <w:name w:val="Police par défaut"/>
    <w:qFormat/>
    <w:rPr/>
  </w:style>
  <w:style w:type="character" w:styleId="InternetLink">
    <w:name w:val="Internet Link"/>
    <w:rPr>
      <w:color w:val="0000FF"/>
      <w:u w:val="single"/>
    </w:rPr>
  </w:style>
  <w:style w:type="character" w:styleId="VisitedInternetLink">
    <w:name w:val="Visited Internet Link"/>
    <w:rPr>
      <w:color w:val="800080"/>
      <w:u w:val="single"/>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jc w:val="both"/>
    </w:pPr>
    <w:rPr>
      <w:rFonts w:ascii="Arial" w:hAnsi="Arial" w:cs="Arial"/>
      <w:color w:val="FF0000"/>
      <w:sz w:val="22"/>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Retraitnormal">
    <w:name w:val="Retrait normal"/>
    <w:basedOn w:val="Normal"/>
    <w:qFormat/>
    <w:pPr>
      <w:ind w:left="708" w:hanging="0"/>
    </w:pPr>
    <w:rPr/>
  </w:style>
  <w:style w:type="paragraph" w:styleId="Footer">
    <w:name w:val="Footer"/>
    <w:basedOn w:val="Normal"/>
    <w:pPr>
      <w:tabs>
        <w:tab w:val="center" w:pos="4819" w:leader="none"/>
        <w:tab w:val="right" w:pos="9071" w:leader="none"/>
      </w:tabs>
    </w:pPr>
    <w:rPr/>
  </w:style>
  <w:style w:type="paragraph" w:styleId="Header">
    <w:name w:val="Header"/>
    <w:basedOn w:val="Normal"/>
    <w:pPr>
      <w:tabs>
        <w:tab w:val="center" w:pos="4536" w:leader="none"/>
        <w:tab w:val="right" w:pos="9072" w:leader="none"/>
      </w:tabs>
    </w:pPr>
    <w:rPr/>
  </w:style>
  <w:style w:type="paragraph" w:styleId="Corpsdetexte2">
    <w:name w:val="Corps de texte 2"/>
    <w:basedOn w:val="Normal"/>
    <w:qFormat/>
    <w:pPr>
      <w:jc w:val="both"/>
    </w:pPr>
    <w:rPr>
      <w:rFonts w:ascii="Arial" w:hAnsi="Arial" w:cs="Arial"/>
      <w:sz w:val="22"/>
    </w:rPr>
  </w:style>
  <w:style w:type="paragraph" w:styleId="TextBodyIndent">
    <w:name w:val="Text Body Indent"/>
    <w:basedOn w:val="Normal"/>
    <w:pPr>
      <w:ind w:left="284" w:hanging="0"/>
      <w:jc w:val="both"/>
    </w:pPr>
    <w:rPr>
      <w:rFonts w:ascii="Arial" w:hAnsi="Arial" w:cs="Arial"/>
      <w:color w:val="FF0000"/>
      <w:sz w:val="24"/>
    </w:rPr>
  </w:style>
  <w:style w:type="paragraph" w:styleId="DefinitionList">
    <w:name w:val="Definition List"/>
    <w:basedOn w:val="Normal"/>
    <w:next w:val="Normal"/>
    <w:qFormat/>
    <w:pPr>
      <w:ind w:left="360" w:hanging="0"/>
    </w:pPr>
    <w:rPr>
      <w:rFonts w:ascii="Times New Roman" w:hAnsi="Times New Roman" w:cs="Times New Roman"/>
      <w:sz w:val="24"/>
    </w:rPr>
  </w:style>
  <w:style w:type="paragraph" w:styleId="Normalcentr">
    <w:name w:val="Normal centré"/>
    <w:basedOn w:val="Normal"/>
    <w:qFormat/>
    <w:pPr>
      <w:pBdr>
        <w:top w:val="single" w:sz="12" w:space="1" w:color="000000"/>
        <w:left w:val="single" w:sz="12" w:space="1" w:color="000000"/>
        <w:bottom w:val="single" w:sz="12" w:space="1" w:color="000000"/>
        <w:right w:val="single" w:sz="12" w:space="1" w:color="000000"/>
      </w:pBdr>
      <w:ind w:left="1985" w:right="1841" w:hanging="0"/>
      <w:jc w:val="center"/>
    </w:pPr>
    <w:rPr>
      <w:rFonts w:ascii="Arial" w:hAnsi="Arial" w:cs="Arial"/>
      <w:sz w:val="32"/>
    </w:rPr>
  </w:style>
  <w:style w:type="paragraph" w:styleId="Corpsdetexte3">
    <w:name w:val="Corps de texte 3"/>
    <w:basedOn w:val="Normal"/>
    <w:qFormat/>
    <w:pPr/>
    <w:rPr>
      <w:rFonts w:ascii="Arial" w:hAnsi="Arial" w:cs="Arial"/>
      <w:color w:val="FF0000"/>
      <w:sz w:val="22"/>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2019-02-14T11:08:00Z</dcterms:created>
  <dc:language>en-GB</dc:language>
  <cp:lastPrinted>2018-12-03T10:00:00Z</cp:lastPrinted>
  <dcterms:modified xsi:type="dcterms:W3CDTF">2019-02-14T11:09:00Z</dcterms:modified>
  <cp:revision>3</cp:revision>
  <dc:title>Accord d'intéressement V.Industries 92</dc:title>
</cp:coreProperties>
</file>