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pBdr>
          <w:top w:val="single" w:sz="4" w:space="1" w:color="000000"/>
          <w:left w:val="single" w:sz="4" w:space="4" w:color="000000"/>
          <w:bottom w:val="single" w:sz="4" w:space="1" w:color="000000"/>
          <w:right w:val="single" w:sz="4" w:space="4" w:color="000000"/>
        </w:pBdr>
        <w:jc w:val="center"/>
        <w:rPr>
          <w:rFonts w:ascii="Calibri" w:hAnsi="Calibri" w:eastAsia="Arial" w:cs="Arial"/>
          <w:b/>
          <w:b/>
          <w:sz w:val="32"/>
          <w:szCs w:val="32"/>
          <w:lang w:val="en-GB" w:eastAsia="en-GB" w:bidi="en-GB"/>
        </w:rPr>
      </w:pPr>
      <w:r>
        <w:rPr>
          <w:rFonts w:eastAsia="Arial" w:cs="Arial" w:ascii="Calibri" w:hAnsi="Calibri"/>
          <w:b/>
          <w:sz w:val="32"/>
          <w:szCs w:val="32"/>
          <w:lang w:val="en-GB" w:eastAsia="en-GB" w:bidi="en-GB"/>
        </w:rPr>
        <w:t xml:space="preserve">ACCORD D’ENTREPRISE </w:t>
      </w:r>
    </w:p>
    <w:p>
      <w:pPr>
        <w:pStyle w:val="Normal"/>
        <w:rPr>
          <w:rFonts w:ascii="Calibri" w:hAnsi="Calibri" w:eastAsia="Arial" w:cs="Arial"/>
          <w:b/>
          <w:b/>
          <w:sz w:val="32"/>
          <w:szCs w:val="32"/>
          <w:lang w:val="en-GB" w:eastAsia="en-GB" w:bidi="en-GB"/>
        </w:rPr>
      </w:pPr>
      <w:r>
        <w:rPr>
          <w:rFonts w:eastAsia="Arial" w:cs="Arial" w:ascii="Calibri" w:hAnsi="Calibri"/>
          <w:b/>
          <w:sz w:val="32"/>
          <w:szCs w:val="32"/>
          <w:lang w:val="en-GB" w:eastAsia="en-GB" w:bidi="en-GB"/>
        </w:rPr>
      </w:r>
    </w:p>
    <w:p>
      <w:pPr>
        <w:pStyle w:val="Normal"/>
        <w:jc w:val="both"/>
        <w:rPr/>
      </w:pPr>
      <w:r>
        <w:rPr>
          <w:rFonts w:eastAsia="Arial" w:cs="Arial" w:ascii="Calibri" w:hAnsi="Calibri"/>
          <w:lang w:val="en-GB" w:eastAsia="en-GB" w:bidi="en-GB"/>
        </w:rPr>
        <w:br/>
      </w:r>
      <w:r>
        <w:rPr>
          <w:rFonts w:eastAsia="Arial" w:cs="Arial" w:ascii="Calibri" w:hAnsi="Calibri"/>
          <w:b/>
          <w:bCs/>
          <w:i/>
          <w:iCs/>
          <w:sz w:val="28"/>
          <w:szCs w:val="28"/>
          <w:lang w:val="en-GB" w:eastAsia="en-GB" w:bidi="en-GB"/>
        </w:rPr>
        <w:t>Entre</w:t>
      </w:r>
    </w:p>
    <w:p>
      <w:pPr>
        <w:pStyle w:val="Normal"/>
        <w:jc w:val="both"/>
        <w:rPr>
          <w:rFonts w:ascii="Calibri" w:hAnsi="Calibri" w:eastAsia="Arial" w:cs="Arial"/>
          <w:b/>
          <w:b/>
          <w:bCs/>
          <w:i/>
          <w:i/>
          <w:iCs/>
          <w:sz w:val="28"/>
          <w:szCs w:val="28"/>
          <w:lang w:val="en-GB" w:eastAsia="en-GB" w:bidi="en-GB"/>
        </w:rPr>
      </w:pPr>
      <w:r>
        <w:rPr>
          <w:rFonts w:eastAsia="Arial" w:cs="Arial" w:ascii="Calibri" w:hAnsi="Calibri"/>
          <w:b/>
          <w:bCs/>
          <w:i/>
          <w:iCs/>
          <w:sz w:val="28"/>
          <w:szCs w:val="28"/>
          <w:lang w:val="en-GB" w:eastAsia="en-GB" w:bidi="en-GB"/>
        </w:rPr>
      </w:r>
    </w:p>
    <w:p>
      <w:pPr>
        <w:pStyle w:val="Normal"/>
        <w:rPr>
          <w:rFonts w:ascii="Calibri" w:hAnsi="Calibri" w:cs="Calibri"/>
          <w:b/>
          <w:b/>
        </w:rPr>
      </w:pPr>
      <w:r>
        <w:rPr>
          <w:rFonts w:cs="Calibri" w:ascii="Calibri" w:hAnsi="Calibri"/>
          <w:b/>
        </w:rPr>
        <w:t xml:space="preserve">La société </w:t>
      </w:r>
    </w:p>
    <w:p>
      <w:pPr>
        <w:pStyle w:val="Normal"/>
        <w:rPr>
          <w:rFonts w:ascii="Calibri" w:hAnsi="Calibri" w:cs="Calibri"/>
        </w:rPr>
      </w:pPr>
      <w:r>
        <w:rPr>
          <w:rFonts w:cs="Calibri" w:ascii="Calibri" w:hAnsi="Calibri"/>
        </w:rPr>
        <w:t xml:space="preserve">Société </w:t>
      </w:r>
    </w:p>
    <w:p>
      <w:pPr>
        <w:pStyle w:val="Normal"/>
        <w:rPr>
          <w:rFonts w:ascii="Calibri" w:hAnsi="Calibri" w:cs="Calibri"/>
        </w:rPr>
      </w:pPr>
      <w:r>
        <w:rPr>
          <w:rFonts w:cs="Calibri" w:ascii="Calibri" w:hAnsi="Calibri"/>
        </w:rPr>
        <w:t xml:space="preserve">Dont le siège social se situe </w:t>
      </w:r>
    </w:p>
    <w:p>
      <w:pPr>
        <w:pStyle w:val="Normal"/>
        <w:rPr>
          <w:rFonts w:ascii="Calibri" w:hAnsi="Calibri" w:cs="Calibri"/>
        </w:rPr>
      </w:pPr>
      <w:r>
        <w:rPr>
          <w:rFonts w:cs="Calibri" w:ascii="Calibri" w:hAnsi="Calibri"/>
        </w:rPr>
        <w:t xml:space="preserve">Immatriculée au registre du commerce et des sociétés de sous le numéro </w:t>
      </w:r>
    </w:p>
    <w:p>
      <w:pPr>
        <w:pStyle w:val="Normal"/>
        <w:rPr/>
      </w:pPr>
      <w:r>
        <w:rPr>
          <w:rFonts w:cs="Calibri" w:ascii="Calibri" w:hAnsi="Calibri"/>
        </w:rPr>
        <w:t xml:space="preserve">Représentée par, en sa qualité de </w:t>
      </w:r>
    </w:p>
    <w:p>
      <w:pPr>
        <w:pStyle w:val="ElAppp"/>
        <w:ind w:left="15" w:right="15" w:hanging="0"/>
        <w:jc w:val="both"/>
        <w:rPr>
          <w:rFonts w:ascii="Calibri" w:hAnsi="Calibri" w:cs="Calibri"/>
          <w:sz w:val="24"/>
          <w:szCs w:val="24"/>
          <w:lang w:val="en-GB" w:eastAsia="en-GB" w:bidi="en-GB"/>
        </w:rPr>
      </w:pPr>
      <w:r>
        <w:rPr>
          <w:rFonts w:cs="Calibri" w:ascii="Calibri" w:hAnsi="Calibri"/>
          <w:sz w:val="24"/>
          <w:szCs w:val="24"/>
          <w:lang w:val="en-GB" w:eastAsia="en-GB" w:bidi="en-GB"/>
        </w:rPr>
      </w:r>
    </w:p>
    <w:p>
      <w:pPr>
        <w:pStyle w:val="ElApp"/>
        <w:jc w:val="both"/>
        <w:rPr>
          <w:rFonts w:ascii="Calibri" w:hAnsi="Calibri" w:cs="Calibri"/>
          <w:sz w:val="24"/>
          <w:szCs w:val="24"/>
          <w:lang w:val="en-GB" w:eastAsia="en-GB" w:bidi="en-GB"/>
        </w:rPr>
      </w:pPr>
      <w:r>
        <w:rPr>
          <w:rFonts w:cs="Calibri" w:ascii="Calibri" w:hAnsi="Calibri"/>
          <w:sz w:val="24"/>
          <w:szCs w:val="24"/>
          <w:lang w:val="en-GB" w:eastAsia="en-GB" w:bidi="en-GB"/>
        </w:rPr>
        <w:t>D'une part,</w:t>
      </w:r>
    </w:p>
    <w:p>
      <w:pPr>
        <w:pStyle w:val="ElApp"/>
        <w:jc w:val="both"/>
        <w:rPr>
          <w:rFonts w:ascii="Calibri" w:hAnsi="Calibri" w:cs="Calibri"/>
          <w:sz w:val="24"/>
          <w:szCs w:val="24"/>
          <w:lang w:val="en-GB" w:eastAsia="en-GB" w:bidi="en-GB"/>
        </w:rPr>
      </w:pPr>
      <w:r>
        <w:rPr>
          <w:rFonts w:cs="Calibri" w:ascii="Calibri" w:hAnsi="Calibri"/>
          <w:sz w:val="24"/>
          <w:szCs w:val="24"/>
          <w:lang w:val="en-GB" w:eastAsia="en-GB" w:bidi="en-GB"/>
        </w:rPr>
      </w:r>
    </w:p>
    <w:p>
      <w:pPr>
        <w:pStyle w:val="ElApp"/>
        <w:jc w:val="both"/>
        <w:rPr>
          <w:rFonts w:ascii="Calibri" w:hAnsi="Calibri" w:cs="Calibri"/>
          <w:sz w:val="24"/>
          <w:szCs w:val="24"/>
          <w:lang w:val="en-GB" w:eastAsia="en-GB" w:bidi="en-GB"/>
        </w:rPr>
      </w:pPr>
      <w:r>
        <w:rPr>
          <w:rFonts w:cs="Calibri" w:ascii="Calibri" w:hAnsi="Calibri"/>
          <w:sz w:val="24"/>
          <w:szCs w:val="24"/>
          <w:lang w:val="en-GB" w:eastAsia="en-GB" w:bidi="en-GB"/>
        </w:rPr>
      </w:r>
    </w:p>
    <w:p>
      <w:pPr>
        <w:pStyle w:val="ElApp"/>
        <w:jc w:val="both"/>
        <w:rPr>
          <w:rFonts w:ascii="Calibri" w:hAnsi="Calibri" w:cs="Calibri"/>
          <w:b/>
          <w:b/>
          <w:i/>
          <w:i/>
          <w:sz w:val="28"/>
          <w:szCs w:val="28"/>
          <w:lang w:val="en-GB" w:eastAsia="en-GB" w:bidi="en-GB"/>
        </w:rPr>
      </w:pPr>
      <w:r>
        <w:rPr>
          <w:rFonts w:cs="Calibri" w:ascii="Calibri" w:hAnsi="Calibri"/>
          <w:b/>
          <w:i/>
          <w:sz w:val="28"/>
          <w:szCs w:val="28"/>
          <w:lang w:val="en-GB" w:eastAsia="en-GB" w:bidi="en-GB"/>
        </w:rPr>
        <w:t>Et</w:t>
      </w:r>
    </w:p>
    <w:p>
      <w:pPr>
        <w:pStyle w:val="ElApp"/>
        <w:jc w:val="both"/>
        <w:rPr>
          <w:rFonts w:ascii="Calibri" w:hAnsi="Calibri" w:cs="Calibri"/>
          <w:b/>
          <w:b/>
          <w:i/>
          <w:i/>
          <w:sz w:val="28"/>
          <w:szCs w:val="28"/>
          <w:lang w:val="en-GB" w:eastAsia="en-GB" w:bidi="en-GB"/>
        </w:rPr>
      </w:pPr>
      <w:r>
        <w:rPr>
          <w:rFonts w:cs="Calibri" w:ascii="Calibri" w:hAnsi="Calibri"/>
          <w:b/>
          <w:i/>
          <w:sz w:val="28"/>
          <w:szCs w:val="28"/>
          <w:lang w:val="en-GB" w:eastAsia="en-GB" w:bidi="en-GB"/>
        </w:rPr>
      </w:r>
    </w:p>
    <w:p>
      <w:pPr>
        <w:pStyle w:val="Normal"/>
        <w:jc w:val="both"/>
        <w:rPr>
          <w:rFonts w:ascii="Calibri" w:hAnsi="Calibri" w:eastAsia="Arial" w:cs="Arial"/>
          <w:lang w:val="en-GB" w:eastAsia="en-GB" w:bidi="en-GB"/>
        </w:rPr>
      </w:pPr>
      <w:r>
        <w:rPr>
          <w:rFonts w:eastAsia="Arial" w:cs="Arial" w:ascii="Calibri" w:hAnsi="Calibri"/>
          <w:b/>
          <w:lang w:val="en-GB" w:eastAsia="en-GB" w:bidi="en-GB"/>
        </w:rPr>
        <w:t>L’ensemble du personnel de la société ayant ratifié l'accord à la suite d'un vote qui a recueilli la majorité des deux tiers et dont le procès-verbal est joint au présent accord.</w:t>
      </w:r>
    </w:p>
    <w:p>
      <w:pPr>
        <w:pStyle w:val="Normal"/>
        <w:jc w:val="both"/>
        <w:rPr>
          <w:rFonts w:ascii="Calibri" w:hAnsi="Calibri" w:eastAsia="Arial" w:cs="Arial"/>
          <w:lang w:val="en-GB" w:eastAsia="en-GB" w:bidi="en-GB"/>
        </w:rPr>
      </w:pPr>
      <w:r>
        <w:rPr>
          <w:rFonts w:eastAsia="Arial" w:cs="Arial" w:ascii="Calibri" w:hAnsi="Calibri"/>
          <w:lang w:val="en-GB" w:eastAsia="en-GB" w:bidi="en-GB"/>
        </w:rPr>
        <w:br/>
        <w:t>D'autre part,</w:t>
      </w:r>
    </w:p>
    <w:p>
      <w:pPr>
        <w:pStyle w:val="Normal"/>
        <w:jc w:val="both"/>
        <w:rPr>
          <w:rFonts w:ascii="Calibri" w:hAnsi="Calibri" w:eastAsia="Arial" w:cs="Arial"/>
          <w:lang w:val="en-GB" w:eastAsia="en-GB" w:bidi="en-GB"/>
        </w:rPr>
      </w:pPr>
      <w:r>
        <w:rPr>
          <w:rFonts w:eastAsia="Arial" w:cs="Arial" w:ascii="Calibri" w:hAnsi="Calibri"/>
          <w:lang w:val="en-GB" w:eastAsia="en-GB" w:bidi="en-GB"/>
        </w:rPr>
      </w:r>
    </w:p>
    <w:p>
      <w:pPr>
        <w:pStyle w:val="Normal"/>
        <w:jc w:val="both"/>
        <w:rPr>
          <w:rFonts w:ascii="Calibri" w:hAnsi="Calibri" w:eastAsia="Arial" w:cs="Arial"/>
          <w:lang w:val="en-GB" w:eastAsia="en-GB" w:bidi="en-GB"/>
        </w:rPr>
      </w:pPr>
      <w:r>
        <w:rPr>
          <w:rFonts w:eastAsia="Arial" w:cs="Arial" w:ascii="Calibri" w:hAnsi="Calibri"/>
          <w:lang w:val="en-GB" w:eastAsia="en-GB" w:bidi="en-GB"/>
        </w:rPr>
      </w:r>
    </w:p>
    <w:p>
      <w:pPr>
        <w:pStyle w:val="ElApptidtifaligncenter"/>
        <w:jc w:val="both"/>
        <w:rPr>
          <w:rFonts w:ascii="Calibri" w:hAnsi="Calibri" w:eastAsia="Arial" w:cs="Arial"/>
          <w:b/>
          <w:b/>
          <w:color w:val="000000"/>
          <w:sz w:val="24"/>
          <w:szCs w:val="24"/>
          <w:lang w:val="en-GB" w:eastAsia="en-GB" w:bidi="en-GB"/>
        </w:rPr>
      </w:pPr>
      <w:r>
        <w:rPr>
          <w:rFonts w:eastAsia="Arial" w:cs="Arial" w:ascii="Calibri" w:hAnsi="Calibri"/>
          <w:b/>
          <w:color w:val="000000"/>
          <w:sz w:val="24"/>
          <w:szCs w:val="24"/>
          <w:lang w:val="en-GB" w:eastAsia="en-GB" w:bidi="en-GB"/>
        </w:rPr>
      </w:r>
    </w:p>
    <w:p>
      <w:pPr>
        <w:pStyle w:val="ElApptidtifaligncenter"/>
        <w:jc w:val="both"/>
        <w:rPr>
          <w:rFonts w:ascii="Calibri" w:hAnsi="Calibri" w:eastAsia="Arial" w:cs="Arial"/>
          <w:b/>
          <w:b/>
          <w:color w:val="000000"/>
          <w:sz w:val="24"/>
          <w:szCs w:val="24"/>
          <w:lang w:val="en-GB" w:eastAsia="en-GB" w:bidi="en-GB"/>
        </w:rPr>
      </w:pPr>
      <w:r>
        <w:rPr>
          <w:rFonts w:eastAsia="Arial" w:cs="Arial" w:ascii="Calibri" w:hAnsi="Calibri"/>
          <w:b/>
          <w:color w:val="000000"/>
          <w:sz w:val="24"/>
          <w:szCs w:val="24"/>
          <w:lang w:val="en-GB" w:eastAsia="en-GB" w:bidi="en-GB"/>
        </w:rPr>
        <w:t>Préambule</w:t>
      </w:r>
    </w:p>
    <w:p>
      <w:pPr>
        <w:pStyle w:val="ElAppp"/>
        <w:ind w:left="15" w:right="15" w:hanging="0"/>
        <w:jc w:val="both"/>
        <w:rPr>
          <w:rFonts w:ascii="Calibri" w:hAnsi="Calibri" w:eastAsia="Arial" w:cs="Calibri"/>
          <w:b/>
          <w:b/>
          <w:color w:val="000000"/>
          <w:sz w:val="24"/>
          <w:szCs w:val="24"/>
          <w:lang w:val="en-GB" w:eastAsia="en-GB" w:bidi="en-GB"/>
        </w:rPr>
      </w:pPr>
      <w:r>
        <w:rPr>
          <w:rFonts w:eastAsia="Arial" w:cs="Calibri" w:ascii="Calibri" w:hAnsi="Calibri"/>
          <w:b/>
          <w:color w:val="000000"/>
          <w:sz w:val="24"/>
          <w:szCs w:val="24"/>
          <w:lang w:val="en-GB" w:eastAsia="en-GB" w:bidi="en-GB"/>
        </w:rPr>
      </w:r>
    </w:p>
    <w:p>
      <w:pPr>
        <w:pStyle w:val="ElAppp"/>
        <w:ind w:left="15" w:right="15" w:hanging="0"/>
        <w:jc w:val="both"/>
        <w:rPr/>
      </w:pPr>
      <w:r>
        <w:rPr>
          <w:rFonts w:cs="Calibri" w:ascii="Calibri" w:hAnsi="Calibri"/>
          <w:sz w:val="24"/>
          <w:szCs w:val="24"/>
          <w:lang w:val="en-GB" w:eastAsia="en-GB" w:bidi="en-GB"/>
        </w:rPr>
        <w:t>Le 1</w:t>
      </w:r>
      <w:r>
        <w:rPr>
          <w:rFonts w:cs="Calibri" w:ascii="Calibri" w:hAnsi="Calibri"/>
          <w:sz w:val="24"/>
          <w:szCs w:val="24"/>
          <w:vertAlign w:val="superscript"/>
          <w:lang w:val="en-GB" w:eastAsia="en-GB" w:bidi="en-GB"/>
        </w:rPr>
        <w:t>er</w:t>
      </w:r>
      <w:r>
        <w:rPr>
          <w:rFonts w:cs="Calibri" w:ascii="Calibri" w:hAnsi="Calibri"/>
          <w:sz w:val="24"/>
          <w:szCs w:val="24"/>
          <w:lang w:val="en-GB" w:eastAsia="en-GB" w:bidi="en-GB"/>
        </w:rPr>
        <w:t xml:space="preserve"> juillet 2018, la nouvelle convention collective nationale des ouvriers du Bâtiment conclue le 7 mars 2018 est entrée en vigueur. </w:t>
      </w:r>
    </w:p>
    <w:p>
      <w:pPr>
        <w:pStyle w:val="ElAppp"/>
        <w:ind w:left="15" w:right="15" w:hanging="0"/>
        <w:jc w:val="both"/>
        <w:rPr>
          <w:rFonts w:ascii="Calibri" w:hAnsi="Calibri" w:cs="Calibri"/>
          <w:sz w:val="24"/>
          <w:szCs w:val="24"/>
          <w:lang w:val="en-GB" w:eastAsia="en-GB" w:bidi="en-GB"/>
        </w:rPr>
      </w:pPr>
      <w:r>
        <w:rPr>
          <w:rFonts w:cs="Calibri" w:ascii="Calibri" w:hAnsi="Calibri"/>
          <w:sz w:val="24"/>
          <w:szCs w:val="24"/>
          <w:lang w:val="en-GB" w:eastAsia="en-GB" w:bidi="en-GB"/>
        </w:rPr>
      </w:r>
    </w:p>
    <w:p>
      <w:pPr>
        <w:pStyle w:val="ElAppp"/>
        <w:ind w:left="15" w:right="15" w:hanging="0"/>
        <w:jc w:val="both"/>
        <w:rPr>
          <w:rFonts w:ascii="Calibri" w:hAnsi="Calibri" w:cs="Calibri"/>
          <w:sz w:val="24"/>
          <w:szCs w:val="24"/>
          <w:lang w:val="en-GB" w:eastAsia="en-GB" w:bidi="en-GB"/>
        </w:rPr>
      </w:pPr>
      <w:r>
        <w:rPr>
          <w:rFonts w:cs="Calibri" w:ascii="Calibri" w:hAnsi="Calibri"/>
          <w:sz w:val="24"/>
          <w:szCs w:val="24"/>
          <w:lang w:val="en-GB" w:eastAsia="en-GB" w:bidi="en-GB"/>
        </w:rPr>
        <w:t xml:space="preserve">La société a fait évoluer ses pratiques professionnelles pour s’y conformer. </w:t>
      </w:r>
    </w:p>
    <w:p>
      <w:pPr>
        <w:pStyle w:val="ElAppp"/>
        <w:ind w:left="15" w:right="15" w:hanging="0"/>
        <w:jc w:val="both"/>
        <w:rPr>
          <w:rFonts w:ascii="Calibri" w:hAnsi="Calibri" w:cs="Calibri"/>
          <w:sz w:val="24"/>
          <w:szCs w:val="24"/>
          <w:lang w:val="en-GB" w:eastAsia="en-GB" w:bidi="en-GB"/>
        </w:rPr>
      </w:pPr>
      <w:r>
        <w:rPr>
          <w:rFonts w:cs="Calibri" w:ascii="Calibri" w:hAnsi="Calibri"/>
          <w:sz w:val="24"/>
          <w:szCs w:val="24"/>
          <w:lang w:val="en-GB" w:eastAsia="en-GB" w:bidi="en-GB"/>
        </w:rPr>
      </w:r>
    </w:p>
    <w:p>
      <w:pPr>
        <w:pStyle w:val="ElAppp"/>
        <w:ind w:left="15" w:right="15" w:hanging="0"/>
        <w:jc w:val="both"/>
        <w:rPr/>
      </w:pPr>
      <w:r>
        <w:rPr>
          <w:rFonts w:cs="Calibri" w:ascii="Calibri" w:hAnsi="Calibri"/>
          <w:sz w:val="24"/>
          <w:szCs w:val="24"/>
          <w:lang w:val="en-GB" w:eastAsia="en-GB" w:bidi="en-GB"/>
        </w:rPr>
        <w:t xml:space="preserve">La nouvelle rédaction de la convention collective nationale des ouvriers du Bâtiment a été remise en cause en janvier 2019 et suspendue fin février 2019. </w:t>
      </w:r>
    </w:p>
    <w:p>
      <w:pPr>
        <w:pStyle w:val="ElAppp"/>
        <w:ind w:left="15" w:right="15" w:hanging="0"/>
        <w:jc w:val="both"/>
        <w:rPr>
          <w:rFonts w:ascii="Calibri" w:hAnsi="Calibri" w:cs="Calibri"/>
          <w:sz w:val="24"/>
          <w:szCs w:val="24"/>
          <w:lang w:val="en-GB" w:eastAsia="en-GB" w:bidi="en-GB"/>
        </w:rPr>
      </w:pPr>
      <w:r>
        <w:rPr>
          <w:rFonts w:cs="Calibri" w:ascii="Calibri" w:hAnsi="Calibri"/>
          <w:sz w:val="24"/>
          <w:szCs w:val="24"/>
          <w:lang w:val="en-GB" w:eastAsia="en-GB" w:bidi="en-GB"/>
        </w:rPr>
      </w:r>
    </w:p>
    <w:p>
      <w:pPr>
        <w:pStyle w:val="ElAppp"/>
        <w:ind w:left="15" w:right="15" w:hanging="0"/>
        <w:jc w:val="both"/>
        <w:rPr>
          <w:rFonts w:ascii="Calibri" w:hAnsi="Calibri" w:cs="Calibri"/>
          <w:sz w:val="24"/>
          <w:szCs w:val="24"/>
          <w:lang w:val="en-GB" w:eastAsia="en-GB" w:bidi="en-GB"/>
        </w:rPr>
      </w:pPr>
      <w:r>
        <w:rPr>
          <w:rFonts w:cs="Calibri" w:ascii="Calibri" w:hAnsi="Calibri"/>
          <w:sz w:val="24"/>
          <w:szCs w:val="24"/>
          <w:lang w:val="en-GB" w:eastAsia="en-GB" w:bidi="en-GB"/>
        </w:rPr>
        <w:t>Soucieuse de ne pas modifier les pratiques désormais existantes au sein de la société, et ainsi de conserver un équilibre, les parties ont décidé :</w:t>
      </w:r>
    </w:p>
    <w:p>
      <w:pPr>
        <w:pStyle w:val="ElAppp"/>
        <w:numPr>
          <w:ilvl w:val="0"/>
          <w:numId w:val="2"/>
        </w:numPr>
        <w:ind w:left="375" w:right="15" w:hanging="360"/>
        <w:jc w:val="both"/>
        <w:rPr>
          <w:rFonts w:ascii="Calibri" w:hAnsi="Calibri" w:cs="Calibri"/>
          <w:sz w:val="24"/>
          <w:szCs w:val="24"/>
          <w:lang w:val="en-GB" w:eastAsia="en-GB" w:bidi="en-GB"/>
        </w:rPr>
      </w:pPr>
      <w:r>
        <w:rPr>
          <w:rFonts w:cs="Calibri" w:ascii="Calibri" w:hAnsi="Calibri"/>
          <w:sz w:val="24"/>
          <w:szCs w:val="24"/>
          <w:lang w:val="en-GB" w:eastAsia="en-GB" w:bidi="en-GB"/>
        </w:rPr>
        <w:t xml:space="preserve">De maintenir le contingent d’heures supplémentaires à un niveau élevé, </w:t>
      </w:r>
    </w:p>
    <w:p>
      <w:pPr>
        <w:pStyle w:val="ElAppp"/>
        <w:numPr>
          <w:ilvl w:val="0"/>
          <w:numId w:val="2"/>
        </w:numPr>
        <w:ind w:left="375" w:right="15" w:hanging="360"/>
        <w:jc w:val="both"/>
        <w:rPr>
          <w:rFonts w:ascii="Calibri" w:hAnsi="Calibri" w:cs="Calibri"/>
          <w:sz w:val="24"/>
          <w:szCs w:val="24"/>
          <w:lang w:val="en-GB" w:eastAsia="en-GB" w:bidi="en-GB"/>
        </w:rPr>
      </w:pPr>
      <w:r>
        <w:rPr>
          <w:rFonts w:cs="Calibri" w:ascii="Calibri" w:hAnsi="Calibri"/>
          <w:sz w:val="24"/>
          <w:szCs w:val="24"/>
          <w:lang w:val="en-GB" w:eastAsia="en-GB" w:bidi="en-GB"/>
        </w:rPr>
        <w:t>D’aménager le régime des petits déplacements.</w:t>
      </w:r>
    </w:p>
    <w:p>
      <w:pPr>
        <w:pStyle w:val="ElAppp"/>
        <w:tabs>
          <w:tab w:val="left" w:pos="1845" w:leader="none"/>
        </w:tabs>
        <w:ind w:left="15" w:right="15" w:hanging="0"/>
        <w:jc w:val="both"/>
        <w:rPr>
          <w:rFonts w:ascii="Calibri" w:hAnsi="Calibri" w:cs="Calibri"/>
          <w:sz w:val="24"/>
          <w:szCs w:val="24"/>
          <w:lang w:val="en-GB" w:eastAsia="en-GB" w:bidi="en-GB"/>
        </w:rPr>
      </w:pPr>
      <w:r>
        <w:rPr>
          <w:rFonts w:cs="Calibri" w:ascii="Calibri" w:hAnsi="Calibri"/>
          <w:sz w:val="24"/>
          <w:szCs w:val="24"/>
          <w:lang w:val="en-GB" w:eastAsia="en-GB" w:bidi="en-GB"/>
        </w:rPr>
        <w:tab/>
      </w:r>
    </w:p>
    <w:p>
      <w:pPr>
        <w:pStyle w:val="ElAppp"/>
        <w:ind w:left="15" w:right="15" w:hanging="0"/>
        <w:jc w:val="both"/>
        <w:rPr>
          <w:rFonts w:ascii="Calibri" w:hAnsi="Calibri" w:cs="Calibri"/>
          <w:sz w:val="24"/>
          <w:szCs w:val="24"/>
          <w:lang w:val="en-GB" w:eastAsia="en-GB" w:bidi="en-GB"/>
        </w:rPr>
      </w:pPr>
      <w:r>
        <w:rPr>
          <w:rFonts w:cs="Calibri" w:ascii="Calibri" w:hAnsi="Calibri"/>
          <w:sz w:val="24"/>
          <w:szCs w:val="24"/>
          <w:lang w:val="en-GB" w:eastAsia="en-GB" w:bidi="en-GB"/>
        </w:rPr>
        <w:t xml:space="preserve">Il est convenu ce qui suit : </w:t>
      </w:r>
    </w:p>
    <w:p>
      <w:pPr>
        <w:pStyle w:val="Normal"/>
        <w:jc w:val="both"/>
        <w:rPr>
          <w:rFonts w:ascii="Calibri" w:hAnsi="Calibri" w:eastAsia="Arial" w:cs="Arial"/>
          <w:sz w:val="24"/>
          <w:szCs w:val="24"/>
          <w:lang w:val="en-GB" w:eastAsia="en-GB" w:bidi="en-GB"/>
        </w:rPr>
      </w:pPr>
      <w:r>
        <w:rPr>
          <w:rFonts w:eastAsia="Arial" w:cs="Arial" w:ascii="Calibri" w:hAnsi="Calibri"/>
          <w:sz w:val="24"/>
          <w:szCs w:val="24"/>
          <w:lang w:val="en-GB" w:eastAsia="en-GB" w:bidi="en-GB"/>
        </w:rPr>
      </w:r>
    </w:p>
    <w:p>
      <w:pPr>
        <w:pStyle w:val="Normal"/>
        <w:jc w:val="both"/>
        <w:rPr>
          <w:rFonts w:ascii="Calibri" w:hAnsi="Calibri" w:eastAsia="Arial" w:cs="Arial"/>
          <w:lang w:val="en-GB" w:eastAsia="en-GB" w:bidi="en-GB"/>
        </w:rPr>
      </w:pPr>
      <w:r>
        <w:rPr>
          <w:rFonts w:eastAsia="Arial" w:cs="Arial" w:ascii="Calibri" w:hAnsi="Calibri"/>
          <w:lang w:val="en-GB" w:eastAsia="en-GB" w:bidi="en-GB"/>
        </w:rPr>
      </w:r>
      <w:r>
        <w:br w:type="page"/>
      </w:r>
    </w:p>
    <w:p>
      <w:pPr>
        <w:pStyle w:val="ElApptidtifaligncenter"/>
        <w:pBdr>
          <w:bottom w:val="single" w:sz="4" w:space="1" w:color="000000"/>
        </w:pBdr>
        <w:jc w:val="both"/>
        <w:rPr/>
      </w:pPr>
      <w:r>
        <w:rPr>
          <w:rFonts w:eastAsia="Arial" w:cs="Arial" w:ascii="Calibri" w:hAnsi="Calibri"/>
          <w:b/>
          <w:color w:val="000000"/>
          <w:sz w:val="24"/>
          <w:szCs w:val="24"/>
          <w:lang w:val="en-GB" w:eastAsia="en-GB" w:bidi="en-GB"/>
        </w:rPr>
        <w:t xml:space="preserve">ARTICLE 1 – CHAMP D’APPLICATION </w:t>
      </w:r>
    </w:p>
    <w:p>
      <w:pPr>
        <w:pStyle w:val="ElApptidtifaligncenter"/>
        <w:jc w:val="both"/>
        <w:rPr>
          <w:rFonts w:ascii="Calibri" w:hAnsi="Calibri" w:eastAsia="Arial" w:cs="Arial"/>
          <w:b/>
          <w:b/>
          <w:color w:val="000000"/>
          <w:sz w:val="24"/>
          <w:szCs w:val="24"/>
          <w:lang w:val="en-GB" w:eastAsia="en-GB" w:bidi="en-GB"/>
        </w:rPr>
      </w:pPr>
      <w:r>
        <w:rPr>
          <w:rFonts w:eastAsia="Arial" w:cs="Arial" w:ascii="Calibri" w:hAnsi="Calibri"/>
          <w:b/>
          <w:color w:val="000000"/>
          <w:sz w:val="24"/>
          <w:szCs w:val="24"/>
          <w:lang w:val="en-GB" w:eastAsia="en-GB" w:bidi="en-GB"/>
        </w:rPr>
      </w:r>
    </w:p>
    <w:p>
      <w:pPr>
        <w:pStyle w:val="ElApptidtifaligncenter"/>
        <w:jc w:val="both"/>
        <w:rPr/>
      </w:pPr>
      <w:r>
        <w:rPr>
          <w:rFonts w:eastAsia="Arial" w:cs="Arial" w:ascii="Calibri" w:hAnsi="Calibri"/>
          <w:color w:val="000000"/>
          <w:sz w:val="24"/>
          <w:szCs w:val="24"/>
          <w:lang w:val="en-GB" w:eastAsia="en-GB" w:bidi="en-GB"/>
        </w:rPr>
        <w:t xml:space="preserve">Le présent accord s’applique à l’ensemble des salariés de la société. </w:t>
      </w:r>
    </w:p>
    <w:p>
      <w:pPr>
        <w:pStyle w:val="ElApptidtifaligncenter"/>
        <w:jc w:val="both"/>
        <w:rPr>
          <w:rFonts w:ascii="Calibri" w:hAnsi="Calibri" w:eastAsia="Arial" w:cs="Arial"/>
          <w:b/>
          <w:b/>
          <w:color w:val="000000"/>
          <w:sz w:val="24"/>
          <w:szCs w:val="24"/>
          <w:lang w:val="en-GB" w:eastAsia="en-GB" w:bidi="en-GB"/>
        </w:rPr>
      </w:pPr>
      <w:r>
        <w:rPr>
          <w:rFonts w:eastAsia="Arial" w:cs="Arial" w:ascii="Calibri" w:hAnsi="Calibri"/>
          <w:b/>
          <w:color w:val="000000"/>
          <w:sz w:val="24"/>
          <w:szCs w:val="24"/>
          <w:lang w:val="en-GB" w:eastAsia="en-GB" w:bidi="en-GB"/>
        </w:rPr>
      </w:r>
    </w:p>
    <w:p>
      <w:pPr>
        <w:pStyle w:val="Normal"/>
        <w:jc w:val="both"/>
        <w:rPr>
          <w:rFonts w:ascii="Calibri" w:hAnsi="Calibri" w:eastAsia="Arial" w:cs="Calibri"/>
          <w:b/>
          <w:b/>
          <w:color w:val="000000"/>
          <w:sz w:val="24"/>
          <w:szCs w:val="24"/>
          <w:lang w:val="en-GB" w:eastAsia="en-GB" w:bidi="en-GB"/>
        </w:rPr>
      </w:pPr>
      <w:r>
        <w:rPr>
          <w:rFonts w:eastAsia="Arial" w:cs="Calibri" w:ascii="Calibri" w:hAnsi="Calibri"/>
          <w:b/>
          <w:color w:val="000000"/>
          <w:sz w:val="24"/>
          <w:szCs w:val="24"/>
          <w:lang w:val="en-GB" w:eastAsia="en-GB" w:bidi="en-GB"/>
        </w:rPr>
      </w:r>
    </w:p>
    <w:p>
      <w:pPr>
        <w:pStyle w:val="Normal"/>
        <w:pBdr>
          <w:bottom w:val="single" w:sz="4" w:space="0" w:color="000000"/>
        </w:pBdr>
        <w:jc w:val="both"/>
        <w:rPr/>
      </w:pPr>
      <w:r>
        <w:rPr>
          <w:rFonts w:cs="Calibri" w:ascii="Calibri" w:hAnsi="Calibri"/>
          <w:b/>
          <w:lang w:val="en-GB" w:eastAsia="en-GB" w:bidi="en-GB"/>
        </w:rPr>
        <w:t xml:space="preserve">ARTICLE 2 – ENTREE EN VIGUEUR / DUREE DE L’ACCORD </w:t>
      </w:r>
    </w:p>
    <w:p>
      <w:pPr>
        <w:pStyle w:val="Normal"/>
        <w:jc w:val="both"/>
        <w:rPr>
          <w:rFonts w:ascii="Calibri" w:hAnsi="Calibri" w:cs="Calibri"/>
          <w:b/>
          <w:b/>
          <w:lang w:val="en-GB" w:eastAsia="en-GB" w:bidi="en-GB"/>
        </w:rPr>
      </w:pPr>
      <w:r>
        <w:rPr>
          <w:rFonts w:cs="Calibri" w:ascii="Calibri" w:hAnsi="Calibri"/>
          <w:b/>
          <w:lang w:val="en-GB" w:eastAsia="en-GB" w:bidi="en-GB"/>
        </w:rPr>
      </w:r>
    </w:p>
    <w:p>
      <w:pPr>
        <w:pStyle w:val="Normal"/>
        <w:jc w:val="both"/>
        <w:rPr>
          <w:rFonts w:ascii="Calibri" w:hAnsi="Calibri" w:cs="Calibri"/>
          <w:lang w:val="en-GB" w:eastAsia="en-GB" w:bidi="en-GB"/>
        </w:rPr>
      </w:pPr>
      <w:r>
        <w:rPr>
          <w:rFonts w:cs="Calibri" w:ascii="Calibri" w:hAnsi="Calibri"/>
          <w:lang w:val="en-GB" w:eastAsia="en-GB" w:bidi="en-GB"/>
        </w:rPr>
        <w:t xml:space="preserve">Le présent accord est conclu pour une durée indéterminée. Il entrera en vigueur le </w:t>
      </w:r>
    </w:p>
    <w:p>
      <w:pPr>
        <w:pStyle w:val="Normal"/>
        <w:jc w:val="both"/>
        <w:rPr>
          <w:rFonts w:ascii="Calibri" w:hAnsi="Calibri" w:eastAsia="Arial" w:cs="Arial"/>
          <w:lang w:val="en-GB" w:eastAsia="en-GB" w:bidi="en-GB"/>
        </w:rPr>
      </w:pPr>
      <w:r>
        <w:rPr>
          <w:rFonts w:eastAsia="Arial" w:cs="Arial" w:ascii="Calibri" w:hAnsi="Calibri"/>
          <w:lang w:val="en-GB" w:eastAsia="en-GB" w:bidi="en-GB"/>
        </w:rPr>
      </w:r>
    </w:p>
    <w:p>
      <w:pPr>
        <w:pStyle w:val="ElApptidtifaligncenter"/>
        <w:jc w:val="both"/>
        <w:rPr>
          <w:rFonts w:ascii="Calibri" w:hAnsi="Calibri" w:eastAsia="Arial" w:cs="Arial"/>
          <w:b/>
          <w:b/>
          <w:color w:val="000000"/>
          <w:sz w:val="24"/>
          <w:szCs w:val="24"/>
          <w:lang w:val="en-GB" w:eastAsia="en-GB" w:bidi="en-GB"/>
        </w:rPr>
      </w:pPr>
      <w:r>
        <w:rPr>
          <w:rFonts w:eastAsia="Arial" w:cs="Arial" w:ascii="Calibri" w:hAnsi="Calibri"/>
          <w:b/>
          <w:color w:val="000000"/>
          <w:sz w:val="24"/>
          <w:szCs w:val="24"/>
          <w:lang w:val="en-GB" w:eastAsia="en-GB" w:bidi="en-GB"/>
        </w:rPr>
      </w:r>
    </w:p>
    <w:p>
      <w:pPr>
        <w:pStyle w:val="ElApptidtifaligncenter"/>
        <w:pBdr>
          <w:bottom w:val="single" w:sz="4" w:space="1" w:color="000000"/>
        </w:pBdr>
        <w:jc w:val="both"/>
        <w:rPr>
          <w:rFonts w:ascii="Calibri" w:hAnsi="Calibri" w:eastAsia="Arial" w:cs="Arial"/>
          <w:b/>
          <w:b/>
          <w:color w:val="000000"/>
          <w:sz w:val="24"/>
          <w:szCs w:val="24"/>
          <w:lang w:val="en-GB" w:eastAsia="en-GB" w:bidi="en-GB"/>
        </w:rPr>
      </w:pPr>
      <w:r>
        <w:rPr>
          <w:rFonts w:eastAsia="Arial" w:cs="Arial" w:ascii="Calibri" w:hAnsi="Calibri"/>
          <w:b/>
          <w:color w:val="000000"/>
          <w:sz w:val="24"/>
          <w:szCs w:val="24"/>
          <w:lang w:val="en-GB" w:eastAsia="en-GB" w:bidi="en-GB"/>
        </w:rPr>
        <w:t xml:space="preserve">ARTICLE 3 - CONTIGENT D’HEURES SUPPLEMENTAIRES </w:t>
      </w:r>
    </w:p>
    <w:p>
      <w:pPr>
        <w:pStyle w:val="Normal"/>
        <w:jc w:val="both"/>
        <w:rPr>
          <w:rFonts w:ascii="Calibri" w:hAnsi="Calibri" w:eastAsia="Arial" w:cs="Arial"/>
          <w:b/>
          <w:b/>
          <w:lang w:val="en-GB" w:eastAsia="en-GB" w:bidi="en-GB"/>
        </w:rPr>
      </w:pPr>
      <w:r>
        <w:rPr>
          <w:rFonts w:eastAsia="Arial" w:cs="Arial" w:ascii="Calibri" w:hAnsi="Calibri"/>
          <w:lang w:val="en-GB" w:eastAsia="en-GB" w:bidi="en-GB"/>
        </w:rPr>
        <w:br/>
      </w:r>
      <w:r>
        <w:rPr>
          <w:rStyle w:val="ElApptiartf"/>
          <w:rFonts w:eastAsia="Arial" w:cs="Arial" w:ascii="Calibri" w:hAnsi="Calibri"/>
          <w:b w:val="false"/>
          <w:sz w:val="24"/>
          <w:szCs w:val="24"/>
          <w:lang w:val="en-GB" w:eastAsia="en-GB" w:bidi="en-GB"/>
        </w:rPr>
        <w:t>A compter du 1</w:t>
      </w:r>
      <w:r>
        <w:rPr>
          <w:rStyle w:val="ElApptiartf"/>
          <w:rFonts w:eastAsia="Arial" w:cs="Arial" w:ascii="Calibri" w:hAnsi="Calibri"/>
          <w:b w:val="false"/>
          <w:sz w:val="24"/>
          <w:szCs w:val="24"/>
          <w:vertAlign w:val="superscript"/>
          <w:lang w:val="en-GB" w:eastAsia="en-GB" w:bidi="en-GB"/>
        </w:rPr>
        <w:t>er</w:t>
      </w:r>
      <w:r>
        <w:rPr>
          <w:rStyle w:val="ElApptiartf"/>
          <w:rFonts w:eastAsia="Arial" w:cs="Arial" w:ascii="Calibri" w:hAnsi="Calibri"/>
          <w:b w:val="false"/>
          <w:sz w:val="24"/>
          <w:szCs w:val="24"/>
          <w:lang w:val="en-GB" w:eastAsia="en-GB" w:bidi="en-GB"/>
        </w:rPr>
        <w:t xml:space="preserve"> janvier 2019, le contingent d’heures supplémentaires applicable à l’ensemble des salariés de l’entreprise (ouvriers, ETAM, cadres) est de 300 heures par an et par salarié. </w:t>
      </w:r>
    </w:p>
    <w:p>
      <w:pPr>
        <w:pStyle w:val="ElAppp"/>
        <w:ind w:left="15" w:right="15" w:hanging="0"/>
        <w:jc w:val="both"/>
        <w:rPr>
          <w:rFonts w:ascii="Calibri" w:hAnsi="Calibri" w:cs="Calibri"/>
          <w:sz w:val="24"/>
          <w:szCs w:val="24"/>
          <w:lang w:val="en-GB" w:eastAsia="en-GB" w:bidi="en-GB"/>
        </w:rPr>
      </w:pPr>
      <w:r>
        <w:rPr>
          <w:rFonts w:cs="Calibri" w:ascii="Calibri" w:hAnsi="Calibri"/>
          <w:sz w:val="24"/>
          <w:szCs w:val="24"/>
          <w:lang w:val="en-GB" w:eastAsia="en-GB" w:bidi="en-GB"/>
        </w:rPr>
        <w:br/>
      </w:r>
    </w:p>
    <w:p>
      <w:pPr>
        <w:pStyle w:val="ElApptidtifaligncenter"/>
        <w:pBdr>
          <w:bottom w:val="single" w:sz="4" w:space="1" w:color="000000"/>
        </w:pBdr>
        <w:jc w:val="both"/>
        <w:rPr>
          <w:rFonts w:ascii="Calibri" w:hAnsi="Calibri" w:eastAsia="Arial" w:cs="Arial"/>
          <w:b/>
          <w:b/>
          <w:color w:val="000000"/>
          <w:sz w:val="24"/>
          <w:szCs w:val="24"/>
          <w:lang w:val="en-GB" w:eastAsia="en-GB" w:bidi="en-GB"/>
        </w:rPr>
      </w:pPr>
      <w:r>
        <w:rPr>
          <w:rFonts w:eastAsia="Arial" w:cs="Arial" w:ascii="Calibri" w:hAnsi="Calibri"/>
          <w:b/>
          <w:color w:val="000000"/>
          <w:sz w:val="24"/>
          <w:szCs w:val="24"/>
          <w:lang w:val="en-GB" w:eastAsia="en-GB" w:bidi="en-GB"/>
        </w:rPr>
        <w:t xml:space="preserve">ARTICLE 4 – PETITS DEPLACEMENTS </w:t>
      </w:r>
    </w:p>
    <w:p>
      <w:pPr>
        <w:pStyle w:val="Normal"/>
        <w:jc w:val="both"/>
        <w:rPr>
          <w:rFonts w:ascii="Calibri" w:hAnsi="Calibri" w:eastAsia="Arial" w:cs="Arial"/>
          <w:b/>
          <w:b/>
          <w:color w:val="000000"/>
          <w:sz w:val="24"/>
          <w:szCs w:val="24"/>
          <w:lang w:val="en-GB" w:eastAsia="en-GB" w:bidi="en-GB"/>
        </w:rPr>
      </w:pPr>
      <w:r>
        <w:rPr>
          <w:rFonts w:eastAsia="Arial" w:cs="Arial" w:ascii="Calibri" w:hAnsi="Calibri"/>
          <w:b/>
          <w:color w:val="000000"/>
          <w:sz w:val="24"/>
          <w:szCs w:val="24"/>
          <w:lang w:val="en-GB" w:eastAsia="en-GB" w:bidi="en-GB"/>
        </w:rPr>
      </w:r>
    </w:p>
    <w:p>
      <w:pPr>
        <w:pStyle w:val="Normal"/>
        <w:jc w:val="both"/>
        <w:rPr>
          <w:rFonts w:ascii="Calibri" w:hAnsi="Calibri" w:eastAsia="Arial" w:cs="Arial"/>
          <w:lang w:val="en-GB" w:eastAsia="en-GB" w:bidi="en-GB"/>
        </w:rPr>
      </w:pPr>
      <w:r>
        <w:rPr>
          <w:rFonts w:eastAsia="Arial" w:cs="Arial" w:ascii="Calibri" w:hAnsi="Calibri"/>
          <w:lang w:val="en-GB" w:eastAsia="en-GB" w:bidi="en-GB"/>
        </w:rPr>
        <w:t xml:space="preserve">Les ouvriers non sédentaires de l’entreprise bénéficient du régime des petits déplacements dans les conditions prévues par les dispositions conventionnelles en vigueur, sous réserve des précisions et adaptations prévues dans le présent accord. </w:t>
      </w:r>
    </w:p>
    <w:p>
      <w:pPr>
        <w:pStyle w:val="Normal"/>
        <w:jc w:val="both"/>
        <w:rPr>
          <w:rFonts w:ascii="Calibri" w:hAnsi="Calibri" w:eastAsia="Arial" w:cs="Arial"/>
          <w:lang w:val="en-GB" w:eastAsia="en-GB" w:bidi="en-GB"/>
        </w:rPr>
      </w:pPr>
      <w:r>
        <w:rPr>
          <w:rFonts w:eastAsia="Arial" w:cs="Arial" w:ascii="Calibri" w:hAnsi="Calibri"/>
          <w:lang w:val="en-GB" w:eastAsia="en-GB" w:bidi="en-GB"/>
        </w:rPr>
      </w:r>
    </w:p>
    <w:p>
      <w:pPr>
        <w:pStyle w:val="Normal"/>
        <w:jc w:val="both"/>
        <w:rPr>
          <w:rFonts w:ascii="Calibri" w:hAnsi="Calibri" w:eastAsia="Arial" w:cs="Arial"/>
          <w:b/>
          <w:b/>
          <w:u w:val="single"/>
          <w:lang w:val="en-GB" w:eastAsia="en-GB" w:bidi="en-GB"/>
        </w:rPr>
      </w:pPr>
      <w:r>
        <w:rPr>
          <w:rFonts w:eastAsia="Arial" w:cs="Arial" w:ascii="Calibri" w:hAnsi="Calibri"/>
          <w:b/>
          <w:u w:val="single"/>
          <w:lang w:val="en-GB" w:eastAsia="en-GB" w:bidi="en-GB"/>
        </w:rPr>
        <w:t>Article 4-2 : Indemnité de trajet</w:t>
      </w:r>
    </w:p>
    <w:p>
      <w:pPr>
        <w:pStyle w:val="Normal"/>
        <w:jc w:val="both"/>
        <w:rPr>
          <w:rFonts w:ascii="Calibri" w:hAnsi="Calibri" w:eastAsia="Arial" w:cs="Arial"/>
          <w:b/>
          <w:b/>
          <w:u w:val="single"/>
          <w:lang w:val="en-GB" w:eastAsia="en-GB" w:bidi="en-GB"/>
        </w:rPr>
      </w:pPr>
      <w:r>
        <w:rPr>
          <w:rFonts w:eastAsia="Arial" w:cs="Arial" w:ascii="Calibri" w:hAnsi="Calibri"/>
          <w:b/>
          <w:u w:val="single"/>
          <w:lang w:val="en-GB" w:eastAsia="en-GB" w:bidi="en-GB"/>
        </w:rPr>
      </w:r>
    </w:p>
    <w:p>
      <w:pPr>
        <w:pStyle w:val="Normal"/>
        <w:jc w:val="both"/>
        <w:rPr>
          <w:rFonts w:ascii="Calibri" w:hAnsi="Calibri" w:eastAsia="Arial" w:cs="Arial"/>
          <w:lang w:val="en-GB" w:eastAsia="en-GB" w:bidi="en-GB"/>
        </w:rPr>
      </w:pPr>
      <w:r>
        <w:rPr>
          <w:rFonts w:eastAsia="Arial" w:cs="Arial" w:ascii="Calibri" w:hAnsi="Calibri"/>
          <w:lang w:val="en-GB" w:eastAsia="en-GB" w:bidi="en-GB"/>
        </w:rPr>
        <w:t xml:space="preserve">Le trajet correspond à la nécessité de se rendre quotidiennement sur le chantier, avant la journée de travail, et d’en revenir, après la journée de travail et est indemnisé par le versement d’une indemnité de trajet. </w:t>
      </w:r>
    </w:p>
    <w:p>
      <w:pPr>
        <w:pStyle w:val="Normal"/>
        <w:jc w:val="both"/>
        <w:rPr>
          <w:rFonts w:ascii="Calibri" w:hAnsi="Calibri" w:eastAsia="Arial" w:cs="Arial"/>
          <w:lang w:val="en-GB" w:eastAsia="en-GB" w:bidi="en-GB"/>
        </w:rPr>
      </w:pPr>
      <w:r>
        <w:rPr>
          <w:rFonts w:eastAsia="Arial" w:cs="Arial" w:ascii="Calibri" w:hAnsi="Calibri"/>
          <w:lang w:val="en-GB" w:eastAsia="en-GB" w:bidi="en-GB"/>
        </w:rPr>
      </w:r>
    </w:p>
    <w:p>
      <w:pPr>
        <w:pStyle w:val="Normal"/>
        <w:jc w:val="both"/>
        <w:rPr>
          <w:rFonts w:ascii="Calibri" w:hAnsi="Calibri" w:eastAsia="Arial" w:cs="Arial"/>
          <w:lang w:val="en-GB" w:eastAsia="en-GB" w:bidi="en-GB"/>
        </w:rPr>
      </w:pPr>
      <w:r>
        <w:rPr>
          <w:rFonts w:eastAsia="Arial" w:cs="Arial" w:ascii="Calibri" w:hAnsi="Calibri"/>
          <w:lang w:val="en-GB" w:eastAsia="en-GB" w:bidi="en-GB"/>
        </w:rPr>
        <w:t xml:space="preserve">Ainsi, en contrepartie de la mobilité du lieu de travail, inhérente à l’emploi sur le chantier l’indemnité de trajet a pour objet d’indemniser forfaitairement l’amplitude que représente pour l’ouvrier le trajet nécessaire pour se rendre quotidiennement sur le chantier avant le début de la journée de travail et d’en revenir après la journée de travail. </w:t>
      </w:r>
    </w:p>
    <w:p>
      <w:pPr>
        <w:pStyle w:val="Normal"/>
        <w:jc w:val="both"/>
        <w:rPr>
          <w:rFonts w:ascii="Calibri" w:hAnsi="Calibri" w:eastAsia="Arial" w:cs="Arial"/>
          <w:lang w:val="en-GB" w:eastAsia="en-GB" w:bidi="en-GB"/>
        </w:rPr>
      </w:pPr>
      <w:r>
        <w:rPr>
          <w:rFonts w:eastAsia="Arial" w:cs="Arial" w:ascii="Calibri" w:hAnsi="Calibri"/>
          <w:lang w:val="en-GB" w:eastAsia="en-GB" w:bidi="en-GB"/>
        </w:rPr>
      </w:r>
    </w:p>
    <w:p>
      <w:pPr>
        <w:pStyle w:val="Normal"/>
        <w:jc w:val="both"/>
        <w:rPr>
          <w:rFonts w:ascii="Calibri" w:hAnsi="Calibri" w:eastAsia="Arial" w:cs="Arial"/>
          <w:lang w:val="en-GB" w:eastAsia="en-GB" w:bidi="en-GB"/>
        </w:rPr>
      </w:pPr>
      <w:r>
        <w:rPr>
          <w:rFonts w:eastAsia="Arial" w:cs="Arial" w:ascii="Calibri" w:hAnsi="Calibri"/>
          <w:lang w:val="en-GB" w:eastAsia="en-GB" w:bidi="en-GB"/>
        </w:rPr>
        <w:t xml:space="preserve">L’indemnité de trajet n’est pas due lorsque l’ouvrier est logé gratuitement par l’entreprise sur le chantier ou à proximité immédiate du chantier ou lorsque le temps de trajet est rémunéré en temps de travail. </w:t>
      </w:r>
    </w:p>
    <w:p>
      <w:pPr>
        <w:pStyle w:val="Normal"/>
        <w:jc w:val="both"/>
        <w:rPr>
          <w:rFonts w:ascii="Calibri" w:hAnsi="Calibri" w:eastAsia="Arial" w:cs="Arial"/>
          <w:lang w:val="en-GB" w:eastAsia="en-GB" w:bidi="en-GB"/>
        </w:rPr>
      </w:pPr>
      <w:r>
        <w:rPr>
          <w:rFonts w:eastAsia="Arial" w:cs="Arial" w:ascii="Calibri" w:hAnsi="Calibri"/>
          <w:lang w:val="en-GB" w:eastAsia="en-GB" w:bidi="en-GB"/>
        </w:rPr>
      </w:r>
    </w:p>
    <w:p>
      <w:pPr>
        <w:pStyle w:val="Normal"/>
        <w:jc w:val="both"/>
        <w:rPr>
          <w:rFonts w:ascii="Calibri" w:hAnsi="Calibri" w:eastAsia="Arial" w:cs="Arial"/>
          <w:lang w:val="en-GB" w:eastAsia="en-GB" w:bidi="en-GB"/>
        </w:rPr>
      </w:pPr>
      <w:r>
        <w:rPr>
          <w:rFonts w:eastAsia="Arial" w:cs="Arial" w:ascii="Calibri" w:hAnsi="Calibri"/>
          <w:lang w:val="en-GB" w:eastAsia="en-GB" w:bidi="en-GB"/>
        </w:rPr>
      </w:r>
      <w:r>
        <w:br w:type="page"/>
      </w:r>
    </w:p>
    <w:p>
      <w:pPr>
        <w:pStyle w:val="Normal"/>
        <w:jc w:val="both"/>
        <w:rPr>
          <w:rFonts w:ascii="Calibri" w:hAnsi="Calibri" w:eastAsia="Arial" w:cs="Arial"/>
          <w:b/>
          <w:b/>
          <w:u w:val="single"/>
          <w:lang w:val="en-GB" w:eastAsia="en-GB" w:bidi="en-GB"/>
        </w:rPr>
      </w:pPr>
      <w:r>
        <w:rPr>
          <w:rFonts w:eastAsia="Arial" w:cs="Arial" w:ascii="Calibri" w:hAnsi="Calibri"/>
          <w:b/>
          <w:u w:val="single"/>
          <w:lang w:val="en-GB" w:eastAsia="en-GB" w:bidi="en-GB"/>
        </w:rPr>
        <w:t>Article 4 - 3 : Zones concentriques</w:t>
      </w:r>
    </w:p>
    <w:p>
      <w:pPr>
        <w:pStyle w:val="Normal"/>
        <w:jc w:val="both"/>
        <w:rPr>
          <w:rFonts w:ascii="Calibri" w:hAnsi="Calibri" w:eastAsia="Arial" w:cs="Arial"/>
          <w:b/>
          <w:b/>
          <w:u w:val="single"/>
          <w:lang w:val="en-GB" w:eastAsia="en-GB" w:bidi="en-GB"/>
        </w:rPr>
      </w:pPr>
      <w:r>
        <w:rPr>
          <w:rFonts w:eastAsia="Arial" w:cs="Arial" w:ascii="Calibri" w:hAnsi="Calibri"/>
          <w:b/>
          <w:u w:val="single"/>
          <w:lang w:val="en-GB" w:eastAsia="en-GB" w:bidi="en-GB"/>
        </w:rPr>
      </w:r>
    </w:p>
    <w:p>
      <w:pPr>
        <w:pStyle w:val="Normal"/>
        <w:jc w:val="both"/>
        <w:rPr/>
      </w:pPr>
      <w:r>
        <w:rPr>
          <w:rFonts w:eastAsia="Arial" w:cs="Arial" w:ascii="Calibri" w:hAnsi="Calibri"/>
          <w:lang w:val="en-GB" w:eastAsia="en-GB" w:bidi="en-GB"/>
        </w:rPr>
        <w:t>Il est prévu des indemnités de trajet pour les zones concentriques conventionnelles existantes supérieures aux barèmes existant actuellement.</w:t>
      </w:r>
    </w:p>
    <w:p>
      <w:pPr>
        <w:pStyle w:val="Normal"/>
        <w:jc w:val="both"/>
        <w:rPr>
          <w:rFonts w:ascii="Calibri" w:hAnsi="Calibri" w:eastAsia="Arial" w:cs="Arial"/>
          <w:lang w:val="en-GB" w:eastAsia="en-GB" w:bidi="en-GB"/>
        </w:rPr>
      </w:pPr>
      <w:r>
        <w:rPr>
          <w:rFonts w:eastAsia="Arial" w:cs="Arial" w:ascii="Calibri" w:hAnsi="Calibri"/>
          <w:lang w:val="en-GB" w:eastAsia="en-GB" w:bidi="en-GB"/>
        </w:rPr>
      </w:r>
    </w:p>
    <w:tbl>
      <w:tblPr>
        <w:tblW w:w="9556" w:type="dxa"/>
        <w:jc w:val="left"/>
        <w:tblInd w:w="-5" w:type="dxa"/>
        <w:tblBorders>
          <w:top w:val="single" w:sz="4" w:space="0" w:color="000000"/>
          <w:left w:val="single" w:sz="4" w:space="0" w:color="000000"/>
          <w:bottom w:val="single" w:sz="4" w:space="0" w:color="000000"/>
          <w:insideH w:val="single" w:sz="4" w:space="0" w:color="000000"/>
        </w:tblBorders>
        <w:tblCellMar>
          <w:top w:w="0" w:type="dxa"/>
          <w:left w:w="103" w:type="dxa"/>
          <w:bottom w:w="0" w:type="dxa"/>
          <w:right w:w="108" w:type="dxa"/>
        </w:tblCellMar>
      </w:tblPr>
      <w:tblGrid>
        <w:gridCol w:w="3182"/>
        <w:gridCol w:w="3182"/>
        <w:gridCol w:w="3192"/>
      </w:tblGrid>
      <w:tr>
        <w:trPr/>
        <w:tc>
          <w:tcPr>
            <w:tcW w:w="318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rFonts w:ascii="Calibri" w:hAnsi="Calibri" w:eastAsia="Arial" w:cs="Arial"/>
                <w:lang w:val="en-GB" w:eastAsia="en-GB" w:bidi="en-GB"/>
              </w:rPr>
            </w:pPr>
            <w:r>
              <w:rPr>
                <w:rFonts w:eastAsia="Arial" w:cs="Arial" w:ascii="Calibri" w:hAnsi="Calibri"/>
                <w:lang w:val="en-GB" w:eastAsia="en-GB" w:bidi="en-GB"/>
              </w:rPr>
              <w:t>Distance</w:t>
            </w:r>
          </w:p>
        </w:tc>
        <w:tc>
          <w:tcPr>
            <w:tcW w:w="318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rFonts w:ascii="Calibri" w:hAnsi="Calibri" w:eastAsia="Arial" w:cs="Arial"/>
                <w:lang w:val="en-GB" w:eastAsia="en-GB" w:bidi="en-GB"/>
              </w:rPr>
            </w:pPr>
            <w:r>
              <w:rPr>
                <w:rFonts w:eastAsia="Arial" w:cs="Arial" w:ascii="Calibri" w:hAnsi="Calibri"/>
                <w:lang w:val="en-GB" w:eastAsia="en-GB" w:bidi="en-GB"/>
              </w:rPr>
              <w:t>Zones</w:t>
            </w:r>
          </w:p>
        </w:tc>
        <w:tc>
          <w:tcPr>
            <w:tcW w:w="319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jc w:val="both"/>
              <w:rPr>
                <w:rFonts w:ascii="Calibri" w:hAnsi="Calibri" w:eastAsia="Arial" w:cs="Arial"/>
                <w:lang w:val="en-GB" w:eastAsia="en-GB" w:bidi="en-GB"/>
              </w:rPr>
            </w:pPr>
            <w:r>
              <w:rPr>
                <w:rFonts w:eastAsia="Arial" w:cs="Arial" w:ascii="Calibri" w:hAnsi="Calibri"/>
                <w:lang w:val="en-GB" w:eastAsia="en-GB" w:bidi="en-GB"/>
              </w:rPr>
              <w:t>Indemnités de trajet</w:t>
            </w:r>
          </w:p>
        </w:tc>
      </w:tr>
      <w:tr>
        <w:trPr/>
        <w:tc>
          <w:tcPr>
            <w:tcW w:w="318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rFonts w:ascii="Calibri" w:hAnsi="Calibri" w:eastAsia="Arial" w:cs="Arial"/>
                <w:lang w:val="en-GB" w:eastAsia="en-GB" w:bidi="en-GB"/>
              </w:rPr>
            </w:pPr>
            <w:r>
              <w:rPr>
                <w:rFonts w:eastAsia="Arial" w:cs="Arial" w:ascii="Calibri" w:hAnsi="Calibri"/>
                <w:lang w:val="en-GB" w:eastAsia="en-GB" w:bidi="en-GB"/>
              </w:rPr>
              <w:t>0 à 5 km</w:t>
            </w:r>
          </w:p>
        </w:tc>
        <w:tc>
          <w:tcPr>
            <w:tcW w:w="318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rFonts w:ascii="Calibri" w:hAnsi="Calibri" w:eastAsia="Arial" w:cs="Arial"/>
                <w:lang w:val="en-GB" w:eastAsia="en-GB" w:bidi="en-GB"/>
              </w:rPr>
            </w:pPr>
            <w:r>
              <w:rPr>
                <w:rFonts w:eastAsia="Arial" w:cs="Arial" w:ascii="Calibri" w:hAnsi="Calibri"/>
                <w:lang w:val="en-GB" w:eastAsia="en-GB" w:bidi="en-GB"/>
              </w:rPr>
              <w:t>1A</w:t>
            </w:r>
          </w:p>
        </w:tc>
        <w:tc>
          <w:tcPr>
            <w:tcW w:w="319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jc w:val="both"/>
              <w:rPr>
                <w:rFonts w:ascii="Calibri" w:hAnsi="Calibri" w:eastAsia="Arial" w:cs="Arial"/>
                <w:lang w:val="en-GB" w:eastAsia="en-GB" w:bidi="en-GB"/>
              </w:rPr>
            </w:pPr>
            <w:r>
              <w:rPr>
                <w:rFonts w:eastAsia="Arial" w:cs="Arial" w:ascii="Calibri" w:hAnsi="Calibri"/>
                <w:lang w:val="en-GB" w:eastAsia="en-GB" w:bidi="en-GB"/>
              </w:rPr>
              <w:t>0.69 €</w:t>
            </w:r>
          </w:p>
        </w:tc>
      </w:tr>
      <w:tr>
        <w:trPr/>
        <w:tc>
          <w:tcPr>
            <w:tcW w:w="318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rFonts w:ascii="Calibri" w:hAnsi="Calibri" w:eastAsia="Arial" w:cs="Arial"/>
                <w:lang w:val="en-GB" w:eastAsia="en-GB" w:bidi="en-GB"/>
              </w:rPr>
            </w:pPr>
            <w:r>
              <w:rPr>
                <w:rFonts w:eastAsia="Arial" w:cs="Arial" w:ascii="Calibri" w:hAnsi="Calibri"/>
                <w:lang w:val="en-GB" w:eastAsia="en-GB" w:bidi="en-GB"/>
              </w:rPr>
              <w:t>5 à 10 km</w:t>
            </w:r>
          </w:p>
        </w:tc>
        <w:tc>
          <w:tcPr>
            <w:tcW w:w="318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rFonts w:ascii="Calibri" w:hAnsi="Calibri" w:eastAsia="Arial" w:cs="Arial"/>
                <w:lang w:val="en-GB" w:eastAsia="en-GB" w:bidi="en-GB"/>
              </w:rPr>
            </w:pPr>
            <w:r>
              <w:rPr>
                <w:rFonts w:eastAsia="Arial" w:cs="Arial" w:ascii="Calibri" w:hAnsi="Calibri"/>
                <w:lang w:val="en-GB" w:eastAsia="en-GB" w:bidi="en-GB"/>
              </w:rPr>
              <w:t>1B</w:t>
            </w:r>
          </w:p>
        </w:tc>
        <w:tc>
          <w:tcPr>
            <w:tcW w:w="319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jc w:val="both"/>
              <w:rPr>
                <w:rFonts w:ascii="Calibri" w:hAnsi="Calibri" w:eastAsia="Arial" w:cs="Arial"/>
                <w:lang w:val="en-GB" w:eastAsia="en-GB" w:bidi="en-GB"/>
              </w:rPr>
            </w:pPr>
            <w:r>
              <w:rPr>
                <w:rFonts w:eastAsia="Arial" w:cs="Arial" w:ascii="Calibri" w:hAnsi="Calibri"/>
                <w:lang w:val="en-GB" w:eastAsia="en-GB" w:bidi="en-GB"/>
              </w:rPr>
              <w:t>1.25 €</w:t>
            </w:r>
          </w:p>
        </w:tc>
      </w:tr>
      <w:tr>
        <w:trPr/>
        <w:tc>
          <w:tcPr>
            <w:tcW w:w="318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rFonts w:ascii="Calibri" w:hAnsi="Calibri" w:eastAsia="Arial" w:cs="Arial"/>
                <w:lang w:val="en-GB" w:eastAsia="en-GB" w:bidi="en-GB"/>
              </w:rPr>
            </w:pPr>
            <w:r>
              <w:rPr>
                <w:rFonts w:eastAsia="Arial" w:cs="Arial" w:ascii="Calibri" w:hAnsi="Calibri"/>
                <w:lang w:val="en-GB" w:eastAsia="en-GB" w:bidi="en-GB"/>
              </w:rPr>
              <w:t>10 à 20 km</w:t>
            </w:r>
          </w:p>
        </w:tc>
        <w:tc>
          <w:tcPr>
            <w:tcW w:w="318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rFonts w:ascii="Calibri" w:hAnsi="Calibri" w:eastAsia="Arial" w:cs="Arial"/>
                <w:lang w:val="en-GB" w:eastAsia="en-GB" w:bidi="en-GB"/>
              </w:rPr>
            </w:pPr>
            <w:r>
              <w:rPr>
                <w:rFonts w:eastAsia="Arial" w:cs="Arial" w:ascii="Calibri" w:hAnsi="Calibri"/>
                <w:lang w:val="en-GB" w:eastAsia="en-GB" w:bidi="en-GB"/>
              </w:rPr>
              <w:t>2</w:t>
            </w:r>
          </w:p>
        </w:tc>
        <w:tc>
          <w:tcPr>
            <w:tcW w:w="319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jc w:val="both"/>
              <w:rPr>
                <w:rFonts w:ascii="Calibri" w:hAnsi="Calibri" w:eastAsia="Arial" w:cs="Arial"/>
                <w:lang w:val="en-GB" w:eastAsia="en-GB" w:bidi="en-GB"/>
              </w:rPr>
            </w:pPr>
            <w:r>
              <w:rPr>
                <w:rFonts w:eastAsia="Arial" w:cs="Arial" w:ascii="Calibri" w:hAnsi="Calibri"/>
                <w:lang w:val="en-GB" w:eastAsia="en-GB" w:bidi="en-GB"/>
              </w:rPr>
              <w:t xml:space="preserve">2.70 € </w:t>
            </w:r>
          </w:p>
        </w:tc>
      </w:tr>
      <w:tr>
        <w:trPr/>
        <w:tc>
          <w:tcPr>
            <w:tcW w:w="318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rFonts w:ascii="Calibri" w:hAnsi="Calibri" w:eastAsia="Arial" w:cs="Arial"/>
                <w:lang w:val="en-GB" w:eastAsia="en-GB" w:bidi="en-GB"/>
              </w:rPr>
            </w:pPr>
            <w:r>
              <w:rPr>
                <w:rFonts w:eastAsia="Arial" w:cs="Arial" w:ascii="Calibri" w:hAnsi="Calibri"/>
                <w:lang w:val="en-GB" w:eastAsia="en-GB" w:bidi="en-GB"/>
              </w:rPr>
              <w:t>20 à 30 km</w:t>
            </w:r>
          </w:p>
        </w:tc>
        <w:tc>
          <w:tcPr>
            <w:tcW w:w="318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rFonts w:ascii="Calibri" w:hAnsi="Calibri" w:eastAsia="Arial" w:cs="Arial"/>
                <w:lang w:val="en-GB" w:eastAsia="en-GB" w:bidi="en-GB"/>
              </w:rPr>
            </w:pPr>
            <w:r>
              <w:rPr>
                <w:rFonts w:eastAsia="Arial" w:cs="Arial" w:ascii="Calibri" w:hAnsi="Calibri"/>
                <w:lang w:val="en-GB" w:eastAsia="en-GB" w:bidi="en-GB"/>
              </w:rPr>
              <w:t>3</w:t>
            </w:r>
          </w:p>
        </w:tc>
        <w:tc>
          <w:tcPr>
            <w:tcW w:w="319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jc w:val="both"/>
              <w:rPr>
                <w:rFonts w:ascii="Calibri" w:hAnsi="Calibri" w:eastAsia="Arial" w:cs="Arial"/>
                <w:lang w:val="en-GB" w:eastAsia="en-GB" w:bidi="en-GB"/>
              </w:rPr>
            </w:pPr>
            <w:r>
              <w:rPr>
                <w:rFonts w:eastAsia="Arial" w:cs="Arial" w:ascii="Calibri" w:hAnsi="Calibri"/>
                <w:lang w:val="en-GB" w:eastAsia="en-GB" w:bidi="en-GB"/>
              </w:rPr>
              <w:t>3.95 €</w:t>
            </w:r>
          </w:p>
        </w:tc>
      </w:tr>
      <w:tr>
        <w:trPr/>
        <w:tc>
          <w:tcPr>
            <w:tcW w:w="318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rFonts w:ascii="Calibri" w:hAnsi="Calibri" w:eastAsia="Arial" w:cs="Arial"/>
                <w:lang w:val="en-GB" w:eastAsia="en-GB" w:bidi="en-GB"/>
              </w:rPr>
            </w:pPr>
            <w:r>
              <w:rPr>
                <w:rFonts w:eastAsia="Arial" w:cs="Arial" w:ascii="Calibri" w:hAnsi="Calibri"/>
                <w:lang w:val="en-GB" w:eastAsia="en-GB" w:bidi="en-GB"/>
              </w:rPr>
              <w:t>30 à 40 km</w:t>
            </w:r>
          </w:p>
        </w:tc>
        <w:tc>
          <w:tcPr>
            <w:tcW w:w="318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rFonts w:ascii="Calibri" w:hAnsi="Calibri" w:eastAsia="Arial" w:cs="Arial"/>
                <w:lang w:val="en-GB" w:eastAsia="en-GB" w:bidi="en-GB"/>
              </w:rPr>
            </w:pPr>
            <w:r>
              <w:rPr>
                <w:rFonts w:eastAsia="Arial" w:cs="Arial" w:ascii="Calibri" w:hAnsi="Calibri"/>
                <w:lang w:val="en-GB" w:eastAsia="en-GB" w:bidi="en-GB"/>
              </w:rPr>
              <w:t>4</w:t>
            </w:r>
          </w:p>
        </w:tc>
        <w:tc>
          <w:tcPr>
            <w:tcW w:w="319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jc w:val="both"/>
              <w:rPr>
                <w:rFonts w:ascii="Calibri" w:hAnsi="Calibri" w:eastAsia="Arial" w:cs="Arial"/>
                <w:lang w:val="en-GB" w:eastAsia="en-GB" w:bidi="en-GB"/>
              </w:rPr>
            </w:pPr>
            <w:r>
              <w:rPr>
                <w:rFonts w:eastAsia="Arial" w:cs="Arial" w:ascii="Calibri" w:hAnsi="Calibri"/>
                <w:lang w:val="en-GB" w:eastAsia="en-GB" w:bidi="en-GB"/>
              </w:rPr>
              <w:t>5.38 €</w:t>
            </w:r>
          </w:p>
        </w:tc>
      </w:tr>
      <w:tr>
        <w:trPr/>
        <w:tc>
          <w:tcPr>
            <w:tcW w:w="318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rFonts w:ascii="Calibri" w:hAnsi="Calibri" w:eastAsia="Arial" w:cs="Arial"/>
                <w:lang w:val="en-GB" w:eastAsia="en-GB" w:bidi="en-GB"/>
              </w:rPr>
            </w:pPr>
            <w:r>
              <w:rPr>
                <w:rFonts w:eastAsia="Arial" w:cs="Arial" w:ascii="Calibri" w:hAnsi="Calibri"/>
                <w:lang w:val="en-GB" w:eastAsia="en-GB" w:bidi="en-GB"/>
              </w:rPr>
              <w:t>40 à 50 km</w:t>
            </w:r>
          </w:p>
        </w:tc>
        <w:tc>
          <w:tcPr>
            <w:tcW w:w="318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rFonts w:ascii="Calibri" w:hAnsi="Calibri" w:eastAsia="Arial" w:cs="Arial"/>
                <w:lang w:val="en-GB" w:eastAsia="en-GB" w:bidi="en-GB"/>
              </w:rPr>
            </w:pPr>
            <w:r>
              <w:rPr>
                <w:rFonts w:eastAsia="Arial" w:cs="Arial" w:ascii="Calibri" w:hAnsi="Calibri"/>
                <w:lang w:val="en-GB" w:eastAsia="en-GB" w:bidi="en-GB"/>
              </w:rPr>
              <w:t>5</w:t>
            </w:r>
          </w:p>
        </w:tc>
        <w:tc>
          <w:tcPr>
            <w:tcW w:w="319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jc w:val="both"/>
              <w:rPr>
                <w:rFonts w:ascii="Calibri" w:hAnsi="Calibri" w:eastAsia="Arial" w:cs="Arial"/>
                <w:lang w:val="en-GB" w:eastAsia="en-GB" w:bidi="en-GB"/>
              </w:rPr>
            </w:pPr>
            <w:r>
              <w:rPr>
                <w:rFonts w:eastAsia="Arial" w:cs="Arial" w:ascii="Calibri" w:hAnsi="Calibri"/>
                <w:lang w:val="en-GB" w:eastAsia="en-GB" w:bidi="en-GB"/>
              </w:rPr>
              <w:t>6.58 €</w:t>
            </w:r>
          </w:p>
        </w:tc>
      </w:tr>
    </w:tbl>
    <w:p>
      <w:pPr>
        <w:pStyle w:val="Normal"/>
        <w:jc w:val="both"/>
        <w:rPr>
          <w:rFonts w:ascii="Calibri" w:hAnsi="Calibri" w:eastAsia="Arial" w:cs="Arial"/>
          <w:lang w:val="en-GB" w:eastAsia="en-GB" w:bidi="en-GB"/>
        </w:rPr>
      </w:pPr>
      <w:r>
        <w:rPr>
          <w:rFonts w:eastAsia="Arial" w:cs="Arial" w:ascii="Calibri" w:hAnsi="Calibri"/>
          <w:lang w:val="en-GB" w:eastAsia="en-GB" w:bidi="en-GB"/>
        </w:rPr>
      </w:r>
    </w:p>
    <w:p>
      <w:pPr>
        <w:pStyle w:val="Normal"/>
        <w:jc w:val="both"/>
        <w:rPr>
          <w:rFonts w:ascii="Calibri" w:hAnsi="Calibri" w:eastAsia="Arial" w:cs="Arial"/>
          <w:lang w:val="en-GB" w:eastAsia="en-GB" w:bidi="en-GB"/>
        </w:rPr>
      </w:pPr>
      <w:r>
        <w:rPr>
          <w:rFonts w:eastAsia="Arial" w:cs="Arial" w:ascii="Calibri" w:hAnsi="Calibri"/>
          <w:lang w:val="en-GB" w:eastAsia="en-GB" w:bidi="en-GB"/>
        </w:rPr>
        <w:t>En outre, il est prévu d’instituer des zones concentriques complémentaires à celles fixées conventionnellement.</w:t>
      </w:r>
    </w:p>
    <w:p>
      <w:pPr>
        <w:pStyle w:val="Normal"/>
        <w:jc w:val="both"/>
        <w:rPr>
          <w:rFonts w:ascii="Calibri" w:hAnsi="Calibri" w:eastAsia="Arial" w:cs="Arial"/>
          <w:lang w:val="en-GB" w:eastAsia="en-GB" w:bidi="en-GB"/>
        </w:rPr>
      </w:pPr>
      <w:r>
        <w:rPr>
          <w:rFonts w:eastAsia="Arial" w:cs="Arial" w:ascii="Calibri" w:hAnsi="Calibri"/>
          <w:lang w:val="en-GB" w:eastAsia="en-GB" w:bidi="en-GB"/>
        </w:rPr>
      </w:r>
    </w:p>
    <w:p>
      <w:pPr>
        <w:pStyle w:val="Normal"/>
        <w:jc w:val="both"/>
        <w:rPr/>
      </w:pPr>
      <w:r>
        <w:rPr>
          <w:rFonts w:eastAsia="Arial" w:cs="Arial" w:ascii="Calibri" w:hAnsi="Calibri"/>
          <w:lang w:val="en-GB" w:eastAsia="en-GB" w:bidi="en-GB"/>
        </w:rPr>
        <w:t xml:space="preserve">Sans préjudice de l’application du régime des grands déplacements, les salariés en situation de petits déplacements au-delà de 50 kilomètres sont indemnités de la manière suivante : </w:t>
      </w:r>
    </w:p>
    <w:p>
      <w:pPr>
        <w:pStyle w:val="Normal"/>
        <w:jc w:val="both"/>
        <w:rPr>
          <w:rFonts w:ascii="Calibri" w:hAnsi="Calibri" w:eastAsia="Arial" w:cs="Arial"/>
          <w:lang w:val="en-GB" w:eastAsia="en-GB" w:bidi="en-GB"/>
        </w:rPr>
      </w:pPr>
      <w:r>
        <w:rPr>
          <w:rFonts w:eastAsia="Arial" w:cs="Arial" w:ascii="Calibri" w:hAnsi="Calibri"/>
          <w:lang w:val="en-GB" w:eastAsia="en-GB" w:bidi="en-GB"/>
        </w:rPr>
      </w:r>
    </w:p>
    <w:tbl>
      <w:tblPr>
        <w:tblW w:w="9556" w:type="dxa"/>
        <w:jc w:val="left"/>
        <w:tblInd w:w="-5" w:type="dxa"/>
        <w:tblBorders>
          <w:top w:val="single" w:sz="4" w:space="0" w:color="000000"/>
          <w:left w:val="single" w:sz="4" w:space="0" w:color="000000"/>
          <w:bottom w:val="single" w:sz="4" w:space="0" w:color="000000"/>
          <w:insideH w:val="single" w:sz="4" w:space="0" w:color="000000"/>
        </w:tblBorders>
        <w:tblCellMar>
          <w:top w:w="0" w:type="dxa"/>
          <w:left w:w="103" w:type="dxa"/>
          <w:bottom w:w="0" w:type="dxa"/>
          <w:right w:w="108" w:type="dxa"/>
        </w:tblCellMar>
      </w:tblPr>
      <w:tblGrid>
        <w:gridCol w:w="3182"/>
        <w:gridCol w:w="3182"/>
        <w:gridCol w:w="3192"/>
      </w:tblGrid>
      <w:tr>
        <w:trPr/>
        <w:tc>
          <w:tcPr>
            <w:tcW w:w="318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rFonts w:ascii="Calibri" w:hAnsi="Calibri" w:eastAsia="Arial" w:cs="Arial"/>
                <w:lang w:val="en-GB" w:eastAsia="en-GB" w:bidi="en-GB"/>
              </w:rPr>
            </w:pPr>
            <w:r>
              <w:rPr>
                <w:rFonts w:eastAsia="Arial" w:cs="Arial" w:ascii="Calibri" w:hAnsi="Calibri"/>
                <w:lang w:val="en-GB" w:eastAsia="en-GB" w:bidi="en-GB"/>
              </w:rPr>
              <w:t>Distance</w:t>
            </w:r>
          </w:p>
        </w:tc>
        <w:tc>
          <w:tcPr>
            <w:tcW w:w="318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rFonts w:ascii="Calibri" w:hAnsi="Calibri" w:eastAsia="Arial" w:cs="Arial"/>
                <w:lang w:val="en-GB" w:eastAsia="en-GB" w:bidi="en-GB"/>
              </w:rPr>
            </w:pPr>
            <w:r>
              <w:rPr>
                <w:rFonts w:eastAsia="Arial" w:cs="Arial" w:ascii="Calibri" w:hAnsi="Calibri"/>
                <w:lang w:val="en-GB" w:eastAsia="en-GB" w:bidi="en-GB"/>
              </w:rPr>
              <w:t>Zones</w:t>
            </w:r>
          </w:p>
        </w:tc>
        <w:tc>
          <w:tcPr>
            <w:tcW w:w="319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jc w:val="both"/>
              <w:rPr>
                <w:rFonts w:ascii="Calibri" w:hAnsi="Calibri" w:eastAsia="Arial" w:cs="Arial"/>
                <w:lang w:val="en-GB" w:eastAsia="en-GB" w:bidi="en-GB"/>
              </w:rPr>
            </w:pPr>
            <w:r>
              <w:rPr>
                <w:rFonts w:eastAsia="Arial" w:cs="Arial" w:ascii="Calibri" w:hAnsi="Calibri"/>
                <w:lang w:val="en-GB" w:eastAsia="en-GB" w:bidi="en-GB"/>
              </w:rPr>
              <w:t>Indemnités de trajet</w:t>
            </w:r>
          </w:p>
        </w:tc>
      </w:tr>
      <w:tr>
        <w:trPr/>
        <w:tc>
          <w:tcPr>
            <w:tcW w:w="318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rFonts w:ascii="Calibri" w:hAnsi="Calibri" w:eastAsia="Arial" w:cs="Arial"/>
                <w:lang w:val="en-GB" w:eastAsia="en-GB" w:bidi="en-GB"/>
              </w:rPr>
            </w:pPr>
            <w:r>
              <w:rPr>
                <w:rFonts w:eastAsia="Arial" w:cs="Arial" w:ascii="Calibri" w:hAnsi="Calibri"/>
                <w:lang w:val="en-GB" w:eastAsia="en-GB" w:bidi="en-GB"/>
              </w:rPr>
              <w:t>50 à 60 km</w:t>
            </w:r>
          </w:p>
        </w:tc>
        <w:tc>
          <w:tcPr>
            <w:tcW w:w="318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rFonts w:ascii="Calibri" w:hAnsi="Calibri" w:eastAsia="Arial" w:cs="Arial"/>
                <w:lang w:val="en-GB" w:eastAsia="en-GB" w:bidi="en-GB"/>
              </w:rPr>
            </w:pPr>
            <w:r>
              <w:rPr>
                <w:rFonts w:eastAsia="Arial" w:cs="Arial" w:ascii="Calibri" w:hAnsi="Calibri"/>
                <w:lang w:val="en-GB" w:eastAsia="en-GB" w:bidi="en-GB"/>
              </w:rPr>
              <w:t>6</w:t>
            </w:r>
          </w:p>
        </w:tc>
        <w:tc>
          <w:tcPr>
            <w:tcW w:w="319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jc w:val="both"/>
              <w:rPr>
                <w:rFonts w:ascii="Calibri" w:hAnsi="Calibri" w:eastAsia="Arial" w:cs="Arial"/>
                <w:lang w:val="en-GB" w:eastAsia="en-GB" w:bidi="en-GB"/>
              </w:rPr>
            </w:pPr>
            <w:r>
              <w:rPr>
                <w:rFonts w:eastAsia="Arial" w:cs="Arial" w:ascii="Calibri" w:hAnsi="Calibri"/>
                <w:lang w:val="en-GB" w:eastAsia="en-GB" w:bidi="en-GB"/>
              </w:rPr>
              <w:t>7.99 €</w:t>
            </w:r>
          </w:p>
        </w:tc>
      </w:tr>
      <w:tr>
        <w:trPr/>
        <w:tc>
          <w:tcPr>
            <w:tcW w:w="318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rFonts w:ascii="Calibri" w:hAnsi="Calibri" w:eastAsia="Arial" w:cs="Arial"/>
                <w:lang w:val="en-GB" w:eastAsia="en-GB" w:bidi="en-GB"/>
              </w:rPr>
            </w:pPr>
            <w:r>
              <w:rPr>
                <w:rFonts w:eastAsia="Arial" w:cs="Arial" w:ascii="Calibri" w:hAnsi="Calibri"/>
                <w:lang w:val="en-GB" w:eastAsia="en-GB" w:bidi="en-GB"/>
              </w:rPr>
              <w:t>60 à 70 km</w:t>
            </w:r>
          </w:p>
        </w:tc>
        <w:tc>
          <w:tcPr>
            <w:tcW w:w="318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rFonts w:ascii="Calibri" w:hAnsi="Calibri" w:eastAsia="Arial" w:cs="Arial"/>
                <w:lang w:val="en-GB" w:eastAsia="en-GB" w:bidi="en-GB"/>
              </w:rPr>
            </w:pPr>
            <w:r>
              <w:rPr>
                <w:rFonts w:eastAsia="Arial" w:cs="Arial" w:ascii="Calibri" w:hAnsi="Calibri"/>
                <w:lang w:val="en-GB" w:eastAsia="en-GB" w:bidi="en-GB"/>
              </w:rPr>
              <w:t>7</w:t>
            </w:r>
          </w:p>
        </w:tc>
        <w:tc>
          <w:tcPr>
            <w:tcW w:w="319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jc w:val="both"/>
              <w:rPr>
                <w:rFonts w:ascii="Calibri" w:hAnsi="Calibri" w:eastAsia="Arial" w:cs="Arial"/>
                <w:lang w:val="en-GB" w:eastAsia="en-GB" w:bidi="en-GB"/>
              </w:rPr>
            </w:pPr>
            <w:r>
              <w:rPr>
                <w:rFonts w:eastAsia="Arial" w:cs="Arial" w:ascii="Calibri" w:hAnsi="Calibri"/>
                <w:lang w:val="en-GB" w:eastAsia="en-GB" w:bidi="en-GB"/>
              </w:rPr>
              <w:t>9.39 €</w:t>
            </w:r>
          </w:p>
        </w:tc>
      </w:tr>
      <w:tr>
        <w:trPr/>
        <w:tc>
          <w:tcPr>
            <w:tcW w:w="318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rFonts w:ascii="Calibri" w:hAnsi="Calibri" w:eastAsia="Arial" w:cs="Arial"/>
                <w:lang w:val="en-GB" w:eastAsia="en-GB" w:bidi="en-GB"/>
              </w:rPr>
            </w:pPr>
            <w:r>
              <w:rPr>
                <w:rFonts w:eastAsia="Arial" w:cs="Arial" w:ascii="Calibri" w:hAnsi="Calibri"/>
                <w:lang w:val="en-GB" w:eastAsia="en-GB" w:bidi="en-GB"/>
              </w:rPr>
              <w:t>70 à 80 km</w:t>
            </w:r>
          </w:p>
        </w:tc>
        <w:tc>
          <w:tcPr>
            <w:tcW w:w="318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rFonts w:ascii="Calibri" w:hAnsi="Calibri" w:eastAsia="Arial" w:cs="Arial"/>
                <w:lang w:val="en-GB" w:eastAsia="en-GB" w:bidi="en-GB"/>
              </w:rPr>
            </w:pPr>
            <w:r>
              <w:rPr>
                <w:rFonts w:eastAsia="Arial" w:cs="Arial" w:ascii="Calibri" w:hAnsi="Calibri"/>
                <w:lang w:val="en-GB" w:eastAsia="en-GB" w:bidi="en-GB"/>
              </w:rPr>
              <w:t>8</w:t>
            </w:r>
          </w:p>
        </w:tc>
        <w:tc>
          <w:tcPr>
            <w:tcW w:w="319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jc w:val="both"/>
              <w:rPr>
                <w:rFonts w:ascii="Calibri" w:hAnsi="Calibri" w:eastAsia="Arial" w:cs="Arial"/>
                <w:lang w:val="en-GB" w:eastAsia="en-GB" w:bidi="en-GB"/>
              </w:rPr>
            </w:pPr>
            <w:r>
              <w:rPr>
                <w:rFonts w:eastAsia="Arial" w:cs="Arial" w:ascii="Calibri" w:hAnsi="Calibri"/>
                <w:lang w:val="en-GB" w:eastAsia="en-GB" w:bidi="en-GB"/>
              </w:rPr>
              <w:t>10.79 €</w:t>
            </w:r>
          </w:p>
        </w:tc>
      </w:tr>
      <w:tr>
        <w:trPr/>
        <w:tc>
          <w:tcPr>
            <w:tcW w:w="318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rFonts w:ascii="Calibri" w:hAnsi="Calibri" w:eastAsia="Arial" w:cs="Arial"/>
                <w:lang w:val="en-GB" w:eastAsia="en-GB" w:bidi="en-GB"/>
              </w:rPr>
            </w:pPr>
            <w:r>
              <w:rPr>
                <w:rFonts w:eastAsia="Arial" w:cs="Arial" w:ascii="Calibri" w:hAnsi="Calibri"/>
                <w:lang w:val="en-GB" w:eastAsia="en-GB" w:bidi="en-GB"/>
              </w:rPr>
              <w:t>80 à 90 km</w:t>
            </w:r>
          </w:p>
        </w:tc>
        <w:tc>
          <w:tcPr>
            <w:tcW w:w="318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rFonts w:ascii="Calibri" w:hAnsi="Calibri" w:eastAsia="Arial" w:cs="Arial"/>
                <w:lang w:val="en-GB" w:eastAsia="en-GB" w:bidi="en-GB"/>
              </w:rPr>
            </w:pPr>
            <w:r>
              <w:rPr>
                <w:rFonts w:eastAsia="Arial" w:cs="Arial" w:ascii="Calibri" w:hAnsi="Calibri"/>
                <w:lang w:val="en-GB" w:eastAsia="en-GB" w:bidi="en-GB"/>
              </w:rPr>
              <w:t>9</w:t>
            </w:r>
          </w:p>
        </w:tc>
        <w:tc>
          <w:tcPr>
            <w:tcW w:w="319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jc w:val="both"/>
              <w:rPr>
                <w:rFonts w:ascii="Calibri" w:hAnsi="Calibri" w:eastAsia="Arial" w:cs="Arial"/>
                <w:lang w:val="en-GB" w:eastAsia="en-GB" w:bidi="en-GB"/>
              </w:rPr>
            </w:pPr>
            <w:r>
              <w:rPr>
                <w:rFonts w:eastAsia="Arial" w:cs="Arial" w:ascii="Calibri" w:hAnsi="Calibri"/>
                <w:lang w:val="en-GB" w:eastAsia="en-GB" w:bidi="en-GB"/>
              </w:rPr>
              <w:t>12.19 €</w:t>
            </w:r>
          </w:p>
        </w:tc>
      </w:tr>
      <w:tr>
        <w:trPr/>
        <w:tc>
          <w:tcPr>
            <w:tcW w:w="318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rFonts w:ascii="Calibri" w:hAnsi="Calibri" w:eastAsia="Arial" w:cs="Arial"/>
                <w:lang w:val="en-GB" w:eastAsia="en-GB" w:bidi="en-GB"/>
              </w:rPr>
            </w:pPr>
            <w:r>
              <w:rPr>
                <w:rFonts w:eastAsia="Arial" w:cs="Arial" w:ascii="Calibri" w:hAnsi="Calibri"/>
                <w:lang w:val="en-GB" w:eastAsia="en-GB" w:bidi="en-GB"/>
              </w:rPr>
              <w:t>90 à 100 km</w:t>
            </w:r>
          </w:p>
        </w:tc>
        <w:tc>
          <w:tcPr>
            <w:tcW w:w="318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rFonts w:ascii="Calibri" w:hAnsi="Calibri" w:eastAsia="Arial" w:cs="Arial"/>
                <w:lang w:val="en-GB" w:eastAsia="en-GB" w:bidi="en-GB"/>
              </w:rPr>
            </w:pPr>
            <w:r>
              <w:rPr>
                <w:rFonts w:eastAsia="Arial" w:cs="Arial" w:ascii="Calibri" w:hAnsi="Calibri"/>
                <w:lang w:val="en-GB" w:eastAsia="en-GB" w:bidi="en-GB"/>
              </w:rPr>
              <w:t>10</w:t>
            </w:r>
          </w:p>
        </w:tc>
        <w:tc>
          <w:tcPr>
            <w:tcW w:w="319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jc w:val="both"/>
              <w:rPr>
                <w:rFonts w:ascii="Calibri" w:hAnsi="Calibri" w:eastAsia="Arial" w:cs="Arial"/>
                <w:lang w:val="en-GB" w:eastAsia="en-GB" w:bidi="en-GB"/>
              </w:rPr>
            </w:pPr>
            <w:r>
              <w:rPr>
                <w:rFonts w:eastAsia="Arial" w:cs="Arial" w:ascii="Calibri" w:hAnsi="Calibri"/>
                <w:lang w:val="en-GB" w:eastAsia="en-GB" w:bidi="en-GB"/>
              </w:rPr>
              <w:t>13.59 €</w:t>
            </w:r>
          </w:p>
        </w:tc>
      </w:tr>
    </w:tbl>
    <w:p>
      <w:pPr>
        <w:pStyle w:val="Normal"/>
        <w:jc w:val="both"/>
        <w:rPr>
          <w:rFonts w:ascii="Calibri" w:hAnsi="Calibri" w:eastAsia="Arial" w:cs="Arial"/>
          <w:lang w:val="en-GB" w:eastAsia="en-GB" w:bidi="en-GB"/>
        </w:rPr>
      </w:pPr>
      <w:r>
        <w:rPr>
          <w:rFonts w:eastAsia="Arial" w:cs="Arial" w:ascii="Calibri" w:hAnsi="Calibri"/>
          <w:lang w:val="en-GB" w:eastAsia="en-GB" w:bidi="en-GB"/>
        </w:rPr>
      </w:r>
    </w:p>
    <w:p>
      <w:pPr>
        <w:pStyle w:val="Normal"/>
        <w:jc w:val="both"/>
        <w:rPr>
          <w:rFonts w:ascii="Calibri" w:hAnsi="Calibri" w:eastAsia="Arial" w:cs="Arial"/>
          <w:lang w:val="en-GB" w:eastAsia="en-GB" w:bidi="en-GB"/>
        </w:rPr>
      </w:pPr>
      <w:r>
        <w:rPr>
          <w:rFonts w:eastAsia="Arial" w:cs="Arial" w:ascii="Calibri" w:hAnsi="Calibri"/>
          <w:lang w:val="en-GB" w:eastAsia="en-GB" w:bidi="en-GB"/>
        </w:rPr>
      </w:r>
    </w:p>
    <w:p>
      <w:pPr>
        <w:pStyle w:val="Normal"/>
        <w:jc w:val="both"/>
        <w:rPr/>
      </w:pPr>
      <w:r>
        <w:rPr>
          <w:rFonts w:eastAsia="Arial" w:cs="Arial" w:ascii="Calibri" w:hAnsi="Calibri"/>
          <w:b/>
          <w:u w:val="single"/>
          <w:lang w:val="en-GB" w:eastAsia="en-GB" w:bidi="en-GB"/>
        </w:rPr>
        <w:t xml:space="preserve">Article 4 - 4 : Indemnité de repas </w:t>
      </w:r>
    </w:p>
    <w:p>
      <w:pPr>
        <w:pStyle w:val="Normal"/>
        <w:jc w:val="both"/>
        <w:rPr>
          <w:rFonts w:ascii="Calibri" w:hAnsi="Calibri" w:eastAsia="Arial" w:cs="Arial"/>
          <w:b/>
          <w:b/>
          <w:u w:val="single"/>
          <w:lang w:val="en-GB" w:eastAsia="en-GB" w:bidi="en-GB"/>
        </w:rPr>
      </w:pPr>
      <w:r>
        <w:rPr>
          <w:rFonts w:eastAsia="Arial" w:cs="Arial" w:ascii="Calibri" w:hAnsi="Calibri"/>
          <w:b/>
          <w:u w:val="single"/>
          <w:lang w:val="en-GB" w:eastAsia="en-GB" w:bidi="en-GB"/>
        </w:rPr>
      </w:r>
    </w:p>
    <w:p>
      <w:pPr>
        <w:pStyle w:val="Normal"/>
        <w:jc w:val="both"/>
        <w:rPr>
          <w:rFonts w:ascii="Calibri" w:hAnsi="Calibri" w:eastAsia="Arial" w:cs="Arial"/>
          <w:lang w:val="en-GB" w:eastAsia="en-GB" w:bidi="en-GB"/>
        </w:rPr>
      </w:pPr>
      <w:r>
        <w:rPr>
          <w:rFonts w:eastAsia="Arial" w:cs="Arial" w:ascii="Calibri" w:hAnsi="Calibri"/>
          <w:lang w:val="en-GB" w:eastAsia="en-GB" w:bidi="en-GB"/>
        </w:rPr>
        <w:t xml:space="preserve">L’indemnité de repas a pour objet d’indemniser l’ouvrier mis, pour des raisons de service, dans l’impossibilité de regagner son domicile et qui prend son déjeuner en dehors de sa résidence habituelle, du supplément de frais occasionné. </w:t>
      </w:r>
    </w:p>
    <w:p>
      <w:pPr>
        <w:pStyle w:val="Normal"/>
        <w:jc w:val="both"/>
        <w:rPr>
          <w:rFonts w:ascii="Calibri" w:hAnsi="Calibri" w:eastAsia="Arial" w:cs="Arial"/>
          <w:lang w:val="en-GB" w:eastAsia="en-GB" w:bidi="en-GB"/>
        </w:rPr>
      </w:pPr>
      <w:r>
        <w:rPr>
          <w:rFonts w:eastAsia="Arial" w:cs="Arial" w:ascii="Calibri" w:hAnsi="Calibri"/>
          <w:lang w:val="en-GB" w:eastAsia="en-GB" w:bidi="en-GB"/>
        </w:rPr>
      </w:r>
    </w:p>
    <w:p>
      <w:pPr>
        <w:pStyle w:val="Normal"/>
        <w:jc w:val="both"/>
        <w:rPr>
          <w:rFonts w:ascii="Calibri" w:hAnsi="Calibri" w:eastAsia="Arial" w:cs="Arial"/>
          <w:lang w:val="en-GB" w:eastAsia="en-GB" w:bidi="en-GB"/>
        </w:rPr>
      </w:pPr>
      <w:r>
        <w:rPr>
          <w:rFonts w:eastAsia="Arial" w:cs="Arial" w:ascii="Calibri" w:hAnsi="Calibri"/>
          <w:lang w:val="en-GB" w:eastAsia="en-GB" w:bidi="en-GB"/>
        </w:rPr>
        <w:t xml:space="preserve">L’indemnité de repas n’est pas due par l’employeur lorsque : </w:t>
      </w:r>
    </w:p>
    <w:p>
      <w:pPr>
        <w:pStyle w:val="Normal"/>
        <w:numPr>
          <w:ilvl w:val="0"/>
          <w:numId w:val="2"/>
        </w:numPr>
        <w:jc w:val="both"/>
        <w:rPr>
          <w:rFonts w:ascii="Calibri" w:hAnsi="Calibri" w:eastAsia="Arial" w:cs="Arial"/>
          <w:lang w:val="en-GB" w:eastAsia="en-GB" w:bidi="en-GB"/>
        </w:rPr>
      </w:pPr>
      <w:r>
        <w:rPr>
          <w:rFonts w:eastAsia="Arial" w:cs="Arial" w:ascii="Calibri" w:hAnsi="Calibri"/>
          <w:lang w:val="en-GB" w:eastAsia="en-GB" w:bidi="en-GB"/>
        </w:rPr>
        <w:t>L’ouvrier prend effectivement son repas à sa résidence habituelle ;</w:t>
      </w:r>
    </w:p>
    <w:p>
      <w:pPr>
        <w:pStyle w:val="Normal"/>
        <w:numPr>
          <w:ilvl w:val="0"/>
          <w:numId w:val="2"/>
        </w:numPr>
        <w:jc w:val="both"/>
        <w:rPr>
          <w:rFonts w:ascii="Calibri" w:hAnsi="Calibri" w:eastAsia="Arial" w:cs="Arial"/>
          <w:lang w:val="en-GB" w:eastAsia="en-GB" w:bidi="en-GB"/>
        </w:rPr>
      </w:pPr>
      <w:r>
        <w:rPr>
          <w:rFonts w:eastAsia="Arial" w:cs="Arial" w:ascii="Calibri" w:hAnsi="Calibri"/>
          <w:lang w:val="en-GB" w:eastAsia="en-GB" w:bidi="en-GB"/>
        </w:rPr>
        <w:t>Un restaurant d’entreprise existe sur le chantier et le repas est fourni avec une participation financière de l’entreprise égale au montant de l’indemnité de repas ;</w:t>
      </w:r>
    </w:p>
    <w:p>
      <w:pPr>
        <w:pStyle w:val="Normal"/>
        <w:numPr>
          <w:ilvl w:val="0"/>
          <w:numId w:val="2"/>
        </w:numPr>
        <w:jc w:val="both"/>
        <w:rPr>
          <w:rFonts w:ascii="Calibri" w:hAnsi="Calibri" w:eastAsia="Arial" w:cs="Arial"/>
          <w:lang w:val="en-GB" w:eastAsia="en-GB" w:bidi="en-GB"/>
        </w:rPr>
      </w:pPr>
      <w:r>
        <w:rPr>
          <w:rFonts w:eastAsia="Arial" w:cs="Arial" w:ascii="Calibri" w:hAnsi="Calibri"/>
          <w:lang w:val="en-GB" w:eastAsia="en-GB" w:bidi="en-GB"/>
        </w:rPr>
        <w:t xml:space="preserve">Le repas est fourni gratuitement ou avec une participation financière de l’entreprise égale au montant de l’indemnité de repas. </w:t>
      </w:r>
    </w:p>
    <w:p>
      <w:pPr>
        <w:pStyle w:val="Normal"/>
        <w:ind w:left="375" w:hanging="0"/>
        <w:jc w:val="both"/>
        <w:rPr>
          <w:rFonts w:ascii="Calibri" w:hAnsi="Calibri" w:eastAsia="Arial" w:cs="Arial"/>
          <w:lang w:val="en-GB" w:eastAsia="en-GB" w:bidi="en-GB"/>
        </w:rPr>
      </w:pPr>
      <w:r>
        <w:rPr>
          <w:rFonts w:eastAsia="Arial" w:cs="Arial" w:ascii="Calibri" w:hAnsi="Calibri"/>
          <w:lang w:val="en-GB" w:eastAsia="en-GB" w:bidi="en-GB"/>
        </w:rPr>
      </w:r>
      <w:r>
        <w:br w:type="page"/>
      </w:r>
    </w:p>
    <w:p>
      <w:pPr>
        <w:pStyle w:val="Normal"/>
        <w:pBdr>
          <w:bottom w:val="single" w:sz="4" w:space="1" w:color="000000"/>
        </w:pBdr>
        <w:jc w:val="both"/>
        <w:rPr>
          <w:rFonts w:ascii="Calibri" w:hAnsi="Calibri" w:eastAsia="Arial" w:cs="Arial"/>
          <w:b/>
          <w:b/>
          <w:lang w:val="en-GB" w:eastAsia="en-GB" w:bidi="en-GB"/>
        </w:rPr>
      </w:pPr>
      <w:r>
        <w:rPr>
          <w:rFonts w:eastAsia="Arial" w:cs="Arial" w:ascii="Calibri" w:hAnsi="Calibri"/>
          <w:b/>
          <w:lang w:val="en-GB" w:eastAsia="en-GB" w:bidi="en-GB"/>
        </w:rPr>
        <w:t>ARTICLE 5 – SUIVI DE L’ACCORD</w:t>
      </w:r>
    </w:p>
    <w:p>
      <w:pPr>
        <w:pStyle w:val="Normal"/>
        <w:jc w:val="both"/>
        <w:rPr>
          <w:rFonts w:ascii="Calibri" w:hAnsi="Calibri" w:eastAsia="Arial" w:cs="Arial"/>
          <w:b/>
          <w:b/>
          <w:lang w:val="en-GB" w:eastAsia="en-GB" w:bidi="en-GB"/>
        </w:rPr>
      </w:pPr>
      <w:r>
        <w:rPr>
          <w:rFonts w:eastAsia="Arial" w:cs="Arial" w:ascii="Calibri" w:hAnsi="Calibri"/>
          <w:b/>
          <w:lang w:val="en-GB" w:eastAsia="en-GB" w:bidi="en-GB"/>
        </w:rPr>
      </w:r>
    </w:p>
    <w:p>
      <w:pPr>
        <w:pStyle w:val="Normal"/>
        <w:jc w:val="both"/>
        <w:rPr>
          <w:rFonts w:ascii="Calibri" w:hAnsi="Calibri" w:eastAsia="Arial" w:cs="Arial"/>
          <w:lang w:val="en-GB" w:eastAsia="en-GB" w:bidi="en-GB"/>
        </w:rPr>
      </w:pPr>
      <w:r>
        <w:rPr>
          <w:rFonts w:eastAsia="Arial" w:cs="Arial" w:ascii="Calibri" w:hAnsi="Calibri"/>
          <w:lang w:val="en-GB" w:eastAsia="en-GB" w:bidi="en-GB"/>
        </w:rPr>
        <w:t xml:space="preserve">Une réunion se tiendra une fois par an au siège social de la société afin d’examiner le suivi et l’évolution de l’accord. </w:t>
      </w:r>
    </w:p>
    <w:p>
      <w:pPr>
        <w:pStyle w:val="Normal"/>
        <w:jc w:val="both"/>
        <w:rPr>
          <w:rFonts w:ascii="Calibri" w:hAnsi="Calibri" w:eastAsia="Arial" w:cs="Arial"/>
          <w:lang w:val="en-GB" w:eastAsia="en-GB" w:bidi="en-GB"/>
        </w:rPr>
      </w:pPr>
      <w:r>
        <w:rPr>
          <w:rFonts w:eastAsia="Arial" w:cs="Arial" w:ascii="Calibri" w:hAnsi="Calibri"/>
          <w:lang w:val="en-GB" w:eastAsia="en-GB" w:bidi="en-GB"/>
        </w:rPr>
      </w:r>
    </w:p>
    <w:p>
      <w:pPr>
        <w:pStyle w:val="Normal"/>
        <w:pBdr>
          <w:bottom w:val="single" w:sz="4" w:space="1" w:color="000000"/>
        </w:pBdr>
        <w:jc w:val="both"/>
        <w:rPr>
          <w:rFonts w:ascii="Calibri" w:hAnsi="Calibri" w:eastAsia="Arial" w:cs="Arial"/>
          <w:b/>
          <w:b/>
          <w:lang w:val="en-GB" w:eastAsia="en-GB" w:bidi="en-GB"/>
        </w:rPr>
      </w:pPr>
      <w:r>
        <w:rPr>
          <w:rFonts w:eastAsia="Arial" w:cs="Arial" w:ascii="Calibri" w:hAnsi="Calibri"/>
          <w:b/>
          <w:lang w:val="en-GB" w:eastAsia="en-GB" w:bidi="en-GB"/>
        </w:rPr>
      </w:r>
    </w:p>
    <w:p>
      <w:pPr>
        <w:pStyle w:val="Normal"/>
        <w:pBdr>
          <w:bottom w:val="single" w:sz="4" w:space="1" w:color="000000"/>
        </w:pBdr>
        <w:jc w:val="both"/>
        <w:rPr>
          <w:rFonts w:ascii="Calibri" w:hAnsi="Calibri" w:eastAsia="Arial" w:cs="Arial"/>
          <w:b/>
          <w:b/>
          <w:lang w:val="en-GB" w:eastAsia="en-GB" w:bidi="en-GB"/>
        </w:rPr>
      </w:pPr>
      <w:r>
        <w:rPr>
          <w:rFonts w:eastAsia="Arial" w:cs="Arial" w:ascii="Calibri" w:hAnsi="Calibri"/>
          <w:b/>
          <w:lang w:val="en-GB" w:eastAsia="en-GB" w:bidi="en-GB"/>
        </w:rPr>
        <w:t>ARTICLE 6 – REVISION</w:t>
      </w:r>
    </w:p>
    <w:p>
      <w:pPr>
        <w:pStyle w:val="Normal"/>
        <w:jc w:val="both"/>
        <w:rPr>
          <w:rFonts w:ascii="Calibri" w:hAnsi="Calibri" w:eastAsia="Arial" w:cs="Arial"/>
          <w:b/>
          <w:b/>
          <w:lang w:val="en-GB" w:eastAsia="en-GB" w:bidi="en-GB"/>
        </w:rPr>
      </w:pPr>
      <w:r>
        <w:rPr>
          <w:rFonts w:eastAsia="Arial" w:cs="Arial" w:ascii="Calibri" w:hAnsi="Calibri"/>
          <w:b/>
          <w:lang w:val="en-GB" w:eastAsia="en-GB" w:bidi="en-GB"/>
        </w:rPr>
      </w:r>
    </w:p>
    <w:p>
      <w:pPr>
        <w:pStyle w:val="Normal"/>
        <w:jc w:val="both"/>
        <w:rPr>
          <w:rFonts w:ascii="Calibri" w:hAnsi="Calibri" w:eastAsia="Arial" w:cs="Arial"/>
        </w:rPr>
      </w:pPr>
      <w:r>
        <w:rPr>
          <w:rFonts w:eastAsia="Arial" w:cs="Arial" w:ascii="Calibri" w:hAnsi="Calibri"/>
        </w:rPr>
        <w:t xml:space="preserve">A compter d’un délai d’application d’un an, le présent accord pourra faire l’objet d’une révision dans les conditions fixées aux articles L.2232-21 à L.2232-26 du Code du travail. </w:t>
      </w:r>
    </w:p>
    <w:p>
      <w:pPr>
        <w:pStyle w:val="Normal"/>
        <w:jc w:val="both"/>
        <w:rPr>
          <w:rFonts w:ascii="Calibri" w:hAnsi="Calibri" w:eastAsia="Arial" w:cs="Arial"/>
          <w:lang w:val="en-GB" w:eastAsia="en-GB" w:bidi="en-GB"/>
        </w:rPr>
      </w:pPr>
      <w:r>
        <w:rPr>
          <w:rFonts w:eastAsia="Arial" w:cs="Arial" w:ascii="Calibri" w:hAnsi="Calibri"/>
          <w:lang w:val="en-GB" w:eastAsia="en-GB" w:bidi="en-GB"/>
        </w:rPr>
      </w:r>
    </w:p>
    <w:p>
      <w:pPr>
        <w:pStyle w:val="Normal"/>
        <w:jc w:val="both"/>
        <w:rPr>
          <w:rFonts w:ascii="Calibri" w:hAnsi="Calibri" w:eastAsia="Arial" w:cs="Arial"/>
          <w:lang w:val="en-GB" w:eastAsia="en-GB" w:bidi="en-GB"/>
        </w:rPr>
      </w:pPr>
      <w:r>
        <w:rPr>
          <w:rFonts w:eastAsia="Arial" w:cs="Arial" w:ascii="Calibri" w:hAnsi="Calibri"/>
          <w:lang w:val="en-GB" w:eastAsia="en-GB" w:bidi="en-GB"/>
        </w:rPr>
        <w:t xml:space="preserve">Chacune des parties habilitées pourra solliciter la révision du présent accord selon les modalités suivantes : </w:t>
      </w:r>
    </w:p>
    <w:p>
      <w:pPr>
        <w:pStyle w:val="Normal"/>
        <w:jc w:val="both"/>
        <w:rPr>
          <w:rFonts w:ascii="Calibri" w:hAnsi="Calibri" w:eastAsia="Arial" w:cs="Arial"/>
          <w:lang w:val="en-GB" w:eastAsia="en-GB" w:bidi="en-GB"/>
        </w:rPr>
      </w:pPr>
      <w:r>
        <w:rPr>
          <w:rFonts w:eastAsia="Arial" w:cs="Arial" w:ascii="Calibri" w:hAnsi="Calibri"/>
          <w:lang w:val="en-GB" w:eastAsia="en-GB" w:bidi="en-GB"/>
        </w:rPr>
      </w:r>
    </w:p>
    <w:p>
      <w:pPr>
        <w:pStyle w:val="Normal"/>
        <w:jc w:val="both"/>
        <w:rPr>
          <w:rFonts w:ascii="Calibri" w:hAnsi="Calibri" w:eastAsia="Arial" w:cs="Arial"/>
          <w:lang w:val="en-GB" w:eastAsia="en-GB" w:bidi="en-GB"/>
        </w:rPr>
      </w:pPr>
      <w:r>
        <w:rPr>
          <w:rFonts w:eastAsia="Arial" w:cs="Arial" w:ascii="Calibri" w:hAnsi="Calibri"/>
          <w:lang w:val="en-GB" w:eastAsia="en-GB" w:bidi="en-GB"/>
        </w:rPr>
        <w:t xml:space="preserve">La demande de révision devra être accompagnée d’un projet d’avenant et devra être adressée en lettre recommandée avec AR ou lettre remise en mains propres contre décharge. </w:t>
      </w:r>
    </w:p>
    <w:p>
      <w:pPr>
        <w:pStyle w:val="Normal"/>
        <w:jc w:val="both"/>
        <w:rPr>
          <w:rFonts w:ascii="Calibri" w:hAnsi="Calibri" w:eastAsia="Arial" w:cs="Arial"/>
          <w:lang w:val="en-GB" w:eastAsia="en-GB" w:bidi="en-GB"/>
        </w:rPr>
      </w:pPr>
      <w:r>
        <w:rPr>
          <w:rFonts w:eastAsia="Arial" w:cs="Arial" w:ascii="Calibri" w:hAnsi="Calibri"/>
          <w:lang w:val="en-GB" w:eastAsia="en-GB" w:bidi="en-GB"/>
        </w:rPr>
      </w:r>
    </w:p>
    <w:p>
      <w:pPr>
        <w:pStyle w:val="Normal"/>
        <w:jc w:val="both"/>
        <w:rPr>
          <w:rFonts w:ascii="Calibri" w:hAnsi="Calibri" w:eastAsia="Arial" w:cs="Arial"/>
          <w:lang w:val="en-GB" w:eastAsia="en-GB" w:bidi="en-GB"/>
        </w:rPr>
      </w:pPr>
      <w:r>
        <w:rPr>
          <w:rFonts w:eastAsia="Arial" w:cs="Arial" w:ascii="Calibri" w:hAnsi="Calibri"/>
          <w:lang w:val="en-GB" w:eastAsia="en-GB" w:bidi="en-GB"/>
        </w:rPr>
        <w:t>Les parties seront convoquées dans un délai d’un mois à compter de la réception de la demande de révision pour étudier la demande</w:t>
      </w:r>
    </w:p>
    <w:p>
      <w:pPr>
        <w:pStyle w:val="Normal"/>
        <w:jc w:val="both"/>
        <w:rPr>
          <w:rFonts w:ascii="Calibri" w:hAnsi="Calibri" w:eastAsia="Arial" w:cs="Arial"/>
          <w:lang w:val="en-GB" w:eastAsia="en-GB" w:bidi="en-GB"/>
        </w:rPr>
      </w:pPr>
      <w:r>
        <w:rPr>
          <w:rFonts w:eastAsia="Arial" w:cs="Arial" w:ascii="Calibri" w:hAnsi="Calibri"/>
          <w:lang w:val="en-GB" w:eastAsia="en-GB" w:bidi="en-GB"/>
        </w:rPr>
      </w:r>
    </w:p>
    <w:p>
      <w:pPr>
        <w:pStyle w:val="Normal"/>
        <w:jc w:val="both"/>
        <w:rPr>
          <w:rFonts w:ascii="Calibri" w:hAnsi="Calibri" w:eastAsia="Arial" w:cs="Arial"/>
          <w:lang w:val="en-GB" w:eastAsia="en-GB" w:bidi="en-GB"/>
        </w:rPr>
      </w:pPr>
      <w:r>
        <w:rPr>
          <w:rFonts w:eastAsia="Arial" w:cs="Arial" w:ascii="Calibri" w:hAnsi="Calibri"/>
          <w:lang w:val="en-GB" w:eastAsia="en-GB" w:bidi="en-GB"/>
        </w:rPr>
        <w:t>Les dispositions de l'avenant de révision se substitueront de plein droit à celles de l'accord qu'elles modifieront, soit à la date qui aura été expressément convenue soit, à défaut, à partir du lendemain de son dépôt.</w:t>
      </w:r>
    </w:p>
    <w:p>
      <w:pPr>
        <w:pStyle w:val="Normal"/>
        <w:jc w:val="both"/>
        <w:rPr>
          <w:rFonts w:ascii="Calibri" w:hAnsi="Calibri" w:eastAsia="Arial" w:cs="Arial"/>
          <w:lang w:val="en-GB" w:eastAsia="en-GB" w:bidi="en-GB"/>
        </w:rPr>
      </w:pPr>
      <w:r>
        <w:rPr>
          <w:rFonts w:eastAsia="Arial" w:cs="Arial" w:ascii="Calibri" w:hAnsi="Calibri"/>
          <w:lang w:val="en-GB" w:eastAsia="en-GB" w:bidi="en-GB"/>
        </w:rPr>
      </w:r>
    </w:p>
    <w:p>
      <w:pPr>
        <w:pStyle w:val="Normal"/>
        <w:jc w:val="both"/>
        <w:rPr>
          <w:rFonts w:ascii="Calibri" w:hAnsi="Calibri" w:eastAsia="Arial" w:cs="Arial"/>
          <w:lang w:val="en-GB" w:eastAsia="en-GB" w:bidi="en-GB"/>
        </w:rPr>
      </w:pPr>
      <w:r>
        <w:rPr>
          <w:rFonts w:eastAsia="Arial" w:cs="Arial" w:ascii="Calibri" w:hAnsi="Calibri"/>
          <w:lang w:val="en-GB" w:eastAsia="en-GB" w:bidi="en-GB"/>
        </w:rPr>
      </w:r>
    </w:p>
    <w:p>
      <w:pPr>
        <w:pStyle w:val="Normal"/>
        <w:pBdr>
          <w:bottom w:val="single" w:sz="4" w:space="1" w:color="000000"/>
        </w:pBdr>
        <w:jc w:val="both"/>
        <w:rPr>
          <w:rFonts w:ascii="Calibri" w:hAnsi="Calibri" w:eastAsia="Arial" w:cs="Arial"/>
          <w:b/>
          <w:b/>
          <w:u w:val="single"/>
          <w:lang w:val="en-GB" w:eastAsia="en-GB" w:bidi="en-GB"/>
        </w:rPr>
      </w:pPr>
      <w:r>
        <w:rPr>
          <w:rFonts w:eastAsia="Arial" w:cs="Arial" w:ascii="Calibri" w:hAnsi="Calibri"/>
          <w:b/>
          <w:lang w:val="en-GB" w:eastAsia="en-GB" w:bidi="en-GB"/>
        </w:rPr>
        <w:t xml:space="preserve">ARTICLE 7 – DENONCIATION </w:t>
      </w:r>
    </w:p>
    <w:p>
      <w:pPr>
        <w:pStyle w:val="Normal"/>
        <w:jc w:val="both"/>
        <w:rPr>
          <w:rFonts w:ascii="Calibri" w:hAnsi="Calibri" w:eastAsia="Arial" w:cs="Arial"/>
          <w:b/>
          <w:b/>
          <w:u w:val="single"/>
          <w:lang w:val="en-GB" w:eastAsia="en-GB" w:bidi="en-GB"/>
        </w:rPr>
      </w:pPr>
      <w:r>
        <w:rPr>
          <w:rFonts w:eastAsia="Arial" w:cs="Arial" w:ascii="Calibri" w:hAnsi="Calibri"/>
          <w:b/>
          <w:u w:val="single"/>
          <w:lang w:val="en-GB" w:eastAsia="en-GB" w:bidi="en-GB"/>
        </w:rPr>
      </w:r>
    </w:p>
    <w:p>
      <w:pPr>
        <w:pStyle w:val="Normal"/>
        <w:jc w:val="both"/>
        <w:rPr>
          <w:rFonts w:ascii="Calibri" w:hAnsi="Calibri" w:eastAsia="Arial" w:cs="Arial"/>
          <w:lang w:val="en-GB" w:eastAsia="en-GB" w:bidi="en-GB"/>
        </w:rPr>
      </w:pPr>
      <w:r>
        <w:rPr>
          <w:rFonts w:eastAsia="Arial" w:cs="Arial" w:ascii="Calibri" w:hAnsi="Calibri"/>
          <w:lang w:val="en-GB" w:eastAsia="en-GB" w:bidi="en-GB"/>
        </w:rPr>
        <w:t xml:space="preserve">Conformément à l’article L.2222-6 du Code du travail, le présent accord pourra être dénoncé dans les conditions fixées par la loi, en respectant un délai de préavis de trois mois. </w:t>
      </w:r>
    </w:p>
    <w:p>
      <w:pPr>
        <w:pStyle w:val="Normal"/>
        <w:jc w:val="both"/>
        <w:rPr>
          <w:rFonts w:ascii="Calibri" w:hAnsi="Calibri" w:eastAsia="Arial" w:cs="Arial"/>
          <w:lang w:val="en-GB" w:eastAsia="en-GB" w:bidi="en-GB"/>
        </w:rPr>
      </w:pPr>
      <w:r>
        <w:rPr>
          <w:rFonts w:eastAsia="Arial" w:cs="Arial" w:ascii="Calibri" w:hAnsi="Calibri"/>
          <w:lang w:val="en-GB" w:eastAsia="en-GB" w:bidi="en-GB"/>
        </w:rPr>
      </w:r>
    </w:p>
    <w:p>
      <w:pPr>
        <w:pStyle w:val="Normal"/>
        <w:jc w:val="both"/>
        <w:rPr>
          <w:rFonts w:ascii="Calibri" w:hAnsi="Calibri" w:eastAsia="Arial" w:cs="Arial"/>
          <w:lang w:val="en-GB" w:eastAsia="en-GB" w:bidi="en-GB"/>
        </w:rPr>
      </w:pPr>
      <w:r>
        <w:rPr>
          <w:rFonts w:eastAsia="Arial" w:cs="Arial" w:ascii="Calibri" w:hAnsi="Calibri"/>
          <w:lang w:val="en-GB" w:eastAsia="en-GB" w:bidi="en-GB"/>
        </w:rPr>
      </w:r>
    </w:p>
    <w:p>
      <w:pPr>
        <w:pStyle w:val="Normal"/>
        <w:pBdr>
          <w:bottom w:val="single" w:sz="4" w:space="1" w:color="000000"/>
        </w:pBdr>
        <w:jc w:val="both"/>
        <w:rPr/>
      </w:pPr>
      <w:r>
        <w:rPr>
          <w:rFonts w:eastAsia="Arial" w:cs="Arial" w:ascii="Calibri" w:hAnsi="Calibri"/>
          <w:b/>
          <w:lang w:val="en-GB" w:eastAsia="en-GB" w:bidi="en-GB"/>
        </w:rPr>
        <w:t xml:space="preserve">ARTICLE 8 – FORMALITE ET PUBLICITE </w:t>
      </w:r>
    </w:p>
    <w:p>
      <w:pPr>
        <w:pStyle w:val="Normal"/>
        <w:jc w:val="both"/>
        <w:rPr>
          <w:rFonts w:ascii="Calibri" w:hAnsi="Calibri" w:eastAsia="Arial" w:cs="Arial"/>
          <w:b/>
          <w:b/>
          <w:lang w:val="en-GB" w:eastAsia="en-GB" w:bidi="en-GB"/>
        </w:rPr>
      </w:pPr>
      <w:r>
        <w:rPr>
          <w:rFonts w:eastAsia="Arial" w:cs="Arial" w:ascii="Calibri" w:hAnsi="Calibri"/>
          <w:b/>
          <w:lang w:val="en-GB" w:eastAsia="en-GB" w:bidi="en-GB"/>
        </w:rPr>
      </w:r>
    </w:p>
    <w:p>
      <w:pPr>
        <w:pStyle w:val="ElAppp"/>
        <w:ind w:left="15" w:right="15" w:hanging="0"/>
        <w:jc w:val="both"/>
        <w:rPr/>
      </w:pPr>
      <w:r>
        <w:rPr>
          <w:rFonts w:cs="Calibri" w:ascii="Calibri" w:hAnsi="Calibri"/>
          <w:sz w:val="24"/>
          <w:szCs w:val="24"/>
          <w:lang w:val="en-GB" w:eastAsia="en-GB" w:bidi="en-GB"/>
        </w:rPr>
        <w:t xml:space="preserve">Le présent accord doit être approuvé par les 2/3 du personnel. </w:t>
      </w:r>
    </w:p>
    <w:p>
      <w:pPr>
        <w:pStyle w:val="ElAppp"/>
        <w:ind w:left="15" w:right="15" w:hanging="0"/>
        <w:jc w:val="both"/>
        <w:rPr>
          <w:rFonts w:ascii="Calibri" w:hAnsi="Calibri" w:cs="Calibri"/>
          <w:sz w:val="24"/>
          <w:szCs w:val="24"/>
          <w:lang w:val="en-GB" w:eastAsia="en-GB" w:bidi="en-GB"/>
        </w:rPr>
      </w:pPr>
      <w:r>
        <w:rPr>
          <w:rFonts w:cs="Calibri" w:ascii="Calibri" w:hAnsi="Calibri"/>
          <w:sz w:val="24"/>
          <w:szCs w:val="24"/>
          <w:lang w:val="en-GB" w:eastAsia="en-GB" w:bidi="en-GB"/>
        </w:rPr>
      </w:r>
    </w:p>
    <w:p>
      <w:pPr>
        <w:pStyle w:val="ElAppp"/>
        <w:ind w:left="15" w:right="15" w:hanging="0"/>
        <w:jc w:val="both"/>
        <w:rPr/>
      </w:pPr>
      <w:r>
        <w:rPr>
          <w:rFonts w:cs="Calibri" w:ascii="Calibri" w:hAnsi="Calibri"/>
          <w:sz w:val="24"/>
          <w:szCs w:val="24"/>
          <w:lang w:val="en-GB" w:eastAsia="en-GB" w:bidi="en-GB"/>
        </w:rPr>
        <w:t>Il sera déposé par la société en ligne via une plateforme nationale, le site du ministère du travail Téléaccords (www.teleaccords.travail-emploi.gouv.fr)</w:t>
      </w:r>
    </w:p>
    <w:p>
      <w:pPr>
        <w:pStyle w:val="ElAppp"/>
        <w:ind w:left="15" w:right="15" w:hanging="0"/>
        <w:jc w:val="both"/>
        <w:rPr>
          <w:rFonts w:ascii="Calibri" w:hAnsi="Calibri" w:cs="Calibri"/>
          <w:sz w:val="24"/>
          <w:szCs w:val="24"/>
          <w:lang w:val="en-GB" w:eastAsia="en-GB" w:bidi="en-GB"/>
        </w:rPr>
      </w:pPr>
      <w:r>
        <w:rPr>
          <w:rFonts w:cs="Calibri" w:ascii="Calibri" w:hAnsi="Calibri"/>
          <w:sz w:val="24"/>
          <w:szCs w:val="24"/>
          <w:lang w:val="en-GB" w:eastAsia="en-GB" w:bidi="en-GB"/>
        </w:rPr>
      </w:r>
    </w:p>
    <w:p>
      <w:pPr>
        <w:pStyle w:val="ElAppp"/>
        <w:ind w:left="15" w:right="15" w:hanging="0"/>
        <w:jc w:val="both"/>
        <w:rPr>
          <w:rFonts w:ascii="Calibri" w:hAnsi="Calibri" w:cs="Calibri"/>
          <w:sz w:val="24"/>
          <w:szCs w:val="24"/>
          <w:lang w:val="en-GB" w:eastAsia="en-GB" w:bidi="en-GB"/>
        </w:rPr>
      </w:pPr>
      <w:r>
        <w:rPr>
          <w:rFonts w:cs="Calibri" w:ascii="Calibri" w:hAnsi="Calibri"/>
          <w:sz w:val="24"/>
          <w:szCs w:val="24"/>
          <w:lang w:val="en-GB" w:eastAsia="en-GB" w:bidi="en-GB"/>
        </w:rPr>
        <w:t>La société remetttra également un exemplaire de chaque convention ou accord au greffe du conseil de prud'hommes du lieu de conclusion.</w:t>
      </w:r>
    </w:p>
    <w:p>
      <w:pPr>
        <w:pStyle w:val="ElAppp"/>
        <w:ind w:left="15" w:right="15" w:hanging="0"/>
        <w:jc w:val="both"/>
        <w:rPr>
          <w:rFonts w:ascii="Calibri" w:hAnsi="Calibri" w:cs="Calibri"/>
          <w:sz w:val="24"/>
          <w:szCs w:val="24"/>
          <w:lang w:val="en-GB" w:eastAsia="en-GB" w:bidi="en-GB"/>
        </w:rPr>
      </w:pPr>
      <w:r>
        <w:rPr>
          <w:rFonts w:cs="Calibri" w:ascii="Calibri" w:hAnsi="Calibri"/>
          <w:sz w:val="24"/>
          <w:szCs w:val="24"/>
          <w:lang w:val="en-GB" w:eastAsia="en-GB" w:bidi="en-GB"/>
        </w:rPr>
      </w:r>
    </w:p>
    <w:p>
      <w:pPr>
        <w:pStyle w:val="ElAppp"/>
        <w:ind w:left="15" w:right="15" w:hanging="0"/>
        <w:jc w:val="both"/>
        <w:rPr>
          <w:rFonts w:ascii="Calibri" w:hAnsi="Calibri" w:cs="Calibri"/>
          <w:sz w:val="24"/>
          <w:szCs w:val="24"/>
          <w:lang w:val="en-GB" w:eastAsia="en-GB" w:bidi="en-GB"/>
        </w:rPr>
      </w:pPr>
      <w:r>
        <w:rPr>
          <w:rFonts w:cs="Calibri" w:ascii="Calibri" w:hAnsi="Calibri"/>
          <w:sz w:val="24"/>
          <w:szCs w:val="24"/>
          <w:lang w:val="en-GB" w:eastAsia="en-GB" w:bidi="en-GB"/>
        </w:rPr>
        <w:t>Son existence figurera aux emplacements réservés à la communication du personnel.</w:t>
      </w:r>
      <w:r>
        <w:rPr>
          <w:rFonts w:cs="Calibri" w:ascii="Calibri" w:hAnsi="Calibri"/>
          <w:lang w:val="en-GB" w:eastAsia="en-GB" w:bidi="en-GB"/>
        </w:rPr>
        <w:br/>
      </w:r>
      <w:r>
        <w:br w:type="page"/>
      </w:r>
    </w:p>
    <w:p>
      <w:pPr>
        <w:pStyle w:val="ElAppright"/>
        <w:jc w:val="both"/>
        <w:rPr>
          <w:rFonts w:ascii="Calibri" w:hAnsi="Calibri" w:eastAsia="Arial" w:cs="Arial"/>
          <w:lang w:val="en-GB" w:eastAsia="en-GB" w:bidi="en-GB"/>
        </w:rPr>
      </w:pPr>
      <w:r>
        <w:rPr>
          <w:rFonts w:eastAsia="Arial" w:cs="Arial" w:ascii="Calibri" w:hAnsi="Calibri"/>
          <w:lang w:val="en-GB" w:eastAsia="en-GB" w:bidi="en-GB"/>
        </w:rPr>
        <w:t xml:space="preserve">Fait à, le </w:t>
      </w:r>
    </w:p>
    <w:p>
      <w:pPr>
        <w:pStyle w:val="ElAppright"/>
        <w:jc w:val="both"/>
        <w:rPr>
          <w:rFonts w:ascii="Calibri" w:hAnsi="Calibri" w:eastAsia="Arial" w:cs="Arial"/>
          <w:lang w:val="en-GB" w:eastAsia="en-GB" w:bidi="en-GB"/>
        </w:rPr>
      </w:pPr>
      <w:r>
        <w:rPr>
          <w:rFonts w:eastAsia="Arial" w:cs="Arial" w:ascii="Calibri" w:hAnsi="Calibri"/>
          <w:lang w:val="en-GB" w:eastAsia="en-GB" w:bidi="en-GB"/>
        </w:rPr>
        <w:t>En 4 exemplaires originaux</w:t>
      </w:r>
    </w:p>
    <w:p>
      <w:pPr>
        <w:pStyle w:val="ElAppright"/>
        <w:jc w:val="both"/>
        <w:rPr>
          <w:rFonts w:ascii="Calibri" w:hAnsi="Calibri" w:eastAsia="Arial" w:cs="Arial"/>
          <w:lang w:val="en-GB" w:eastAsia="en-GB" w:bidi="en-GB"/>
        </w:rPr>
      </w:pPr>
      <w:r>
        <w:rPr>
          <w:rFonts w:eastAsia="Arial" w:cs="Arial" w:ascii="Calibri" w:hAnsi="Calibri"/>
          <w:lang w:val="en-GB" w:eastAsia="en-GB" w:bidi="en-GB"/>
        </w:rPr>
        <w:br/>
      </w:r>
    </w:p>
    <w:p>
      <w:pPr>
        <w:pStyle w:val="Normal"/>
        <w:rPr>
          <w:rFonts w:ascii="Calibri" w:hAnsi="Calibri" w:eastAsia="Calibri" w:cs="Calibri"/>
          <w:lang w:val="en-GB" w:eastAsia="en-US" w:bidi="en-GB"/>
        </w:rPr>
      </w:pPr>
      <w:r>
        <w:rPr>
          <w:rFonts w:eastAsia="Calibri" w:cs="Calibri" w:ascii="Calibri" w:hAnsi="Calibri"/>
          <w:lang w:val="en-GB" w:eastAsia="en-US" w:bidi="en-GB"/>
        </w:rPr>
      </w:r>
    </w:p>
    <w:p>
      <w:pPr>
        <w:pStyle w:val="Normal"/>
        <w:pBdr>
          <w:bottom w:val="single" w:sz="4" w:space="1" w:color="000000"/>
        </w:pBdr>
        <w:jc w:val="center"/>
        <w:rPr>
          <w:rFonts w:ascii="Calibri" w:hAnsi="Calibri" w:eastAsia="Calibri" w:cs="Calibri"/>
          <w:b/>
          <w:b/>
        </w:rPr>
      </w:pPr>
      <w:r>
        <w:rPr>
          <w:rFonts w:eastAsia="Calibri" w:cs="Calibri" w:ascii="Calibri" w:hAnsi="Calibri"/>
          <w:b/>
        </w:rPr>
        <w:t xml:space="preserve">Pour la société </w:t>
      </w:r>
    </w:p>
    <w:p>
      <w:pPr>
        <w:pStyle w:val="Normal"/>
        <w:keepNext/>
        <w:numPr>
          <w:ilvl w:val="0"/>
          <w:numId w:val="0"/>
        </w:numPr>
        <w:outlineLvl w:val="1"/>
        <w:rPr>
          <w:rFonts w:ascii="Calibri" w:hAnsi="Calibri" w:eastAsia="PMingLiU;新細明體" w:cs="Calibri"/>
          <w:b/>
          <w:b/>
          <w:bCs/>
          <w:i/>
          <w:i/>
          <w:iCs/>
        </w:rPr>
      </w:pPr>
      <w:r>
        <w:rPr>
          <w:rFonts w:eastAsia="PMingLiU;新細明體" w:cs="Calibri" w:ascii="Calibri" w:hAnsi="Calibri"/>
          <w:b/>
          <w:bCs/>
          <w:i/>
          <w:iCs/>
        </w:rPr>
      </w:r>
    </w:p>
    <w:p>
      <w:pPr>
        <w:pStyle w:val="Normal"/>
        <w:keepNext/>
        <w:numPr>
          <w:ilvl w:val="0"/>
          <w:numId w:val="0"/>
        </w:numPr>
        <w:outlineLvl w:val="1"/>
        <w:rPr>
          <w:rFonts w:ascii="Calibri" w:hAnsi="Calibri" w:eastAsia="PMingLiU;新細明體" w:cs="Calibri"/>
          <w:b/>
          <w:b/>
          <w:bCs/>
          <w:i/>
          <w:i/>
          <w:iCs/>
        </w:rPr>
      </w:pPr>
      <w:r>
        <w:rPr>
          <w:rFonts w:eastAsia="PMingLiU;新細明體" w:cs="Calibri" w:ascii="Calibri" w:hAnsi="Calibri"/>
          <w:b/>
          <w:bCs/>
          <w:i/>
          <w:iCs/>
        </w:rPr>
      </w:r>
    </w:p>
    <w:p>
      <w:pPr>
        <w:pStyle w:val="Normal"/>
        <w:keepNext/>
        <w:numPr>
          <w:ilvl w:val="0"/>
          <w:numId w:val="0"/>
        </w:numPr>
        <w:outlineLvl w:val="1"/>
        <w:rPr>
          <w:rFonts w:ascii="Calibri" w:hAnsi="Calibri" w:eastAsia="PMingLiU;新細明體" w:cs="Calibri"/>
          <w:b/>
          <w:b/>
          <w:bCs/>
          <w:i/>
          <w:i/>
          <w:iCs/>
        </w:rPr>
      </w:pPr>
      <w:r>
        <w:rPr>
          <w:rFonts w:eastAsia="PMingLiU;新細明體" w:cs="Calibri" w:ascii="Calibri" w:hAnsi="Calibri"/>
          <w:b/>
          <w:bCs/>
          <w:i/>
          <w:iCs/>
        </w:rPr>
      </w:r>
    </w:p>
    <w:p>
      <w:pPr>
        <w:pStyle w:val="Normal"/>
        <w:keepNext/>
        <w:numPr>
          <w:ilvl w:val="0"/>
          <w:numId w:val="0"/>
        </w:numPr>
        <w:outlineLvl w:val="1"/>
        <w:rPr>
          <w:rFonts w:ascii="Calibri" w:hAnsi="Calibri" w:eastAsia="PMingLiU;新細明體" w:cs="Calibri"/>
          <w:b/>
          <w:b/>
          <w:bCs/>
          <w:i/>
          <w:i/>
          <w:iCs/>
        </w:rPr>
      </w:pPr>
      <w:r>
        <w:rPr>
          <w:rFonts w:eastAsia="PMingLiU;新細明體" w:cs="Calibri" w:ascii="Calibri" w:hAnsi="Calibri"/>
          <w:b/>
          <w:bCs/>
          <w:i/>
          <w:iCs/>
        </w:rPr>
      </w:r>
    </w:p>
    <w:p>
      <w:pPr>
        <w:pStyle w:val="Normal"/>
        <w:keepNext/>
        <w:numPr>
          <w:ilvl w:val="0"/>
          <w:numId w:val="0"/>
        </w:numPr>
        <w:outlineLvl w:val="1"/>
        <w:rPr>
          <w:rFonts w:ascii="Calibri" w:hAnsi="Calibri" w:eastAsia="PMingLiU;新細明體" w:cs="Calibri"/>
          <w:b/>
          <w:b/>
          <w:bCs/>
          <w:i/>
          <w:i/>
          <w:iCs/>
        </w:rPr>
      </w:pPr>
      <w:r>
        <w:rPr>
          <w:rFonts w:eastAsia="PMingLiU;新細明體" w:cs="Calibri" w:ascii="Calibri" w:hAnsi="Calibri"/>
          <w:b/>
          <w:bCs/>
          <w:i/>
          <w:iCs/>
        </w:rPr>
      </w:r>
    </w:p>
    <w:p>
      <w:pPr>
        <w:pStyle w:val="Normal"/>
        <w:keepNext/>
        <w:numPr>
          <w:ilvl w:val="0"/>
          <w:numId w:val="0"/>
        </w:numPr>
        <w:pBdr>
          <w:bottom w:val="single" w:sz="4" w:space="1" w:color="000000"/>
        </w:pBdr>
        <w:jc w:val="center"/>
        <w:outlineLvl w:val="1"/>
        <w:rPr>
          <w:rFonts w:ascii="Calibri" w:hAnsi="Calibri" w:eastAsia="PMingLiU;新細明體" w:cs="Calibri"/>
          <w:b/>
          <w:b/>
          <w:bCs/>
          <w:iCs/>
        </w:rPr>
      </w:pPr>
      <w:r>
        <w:rPr>
          <w:rFonts w:eastAsia="PMingLiU;新細明體" w:cs="Calibri" w:ascii="Calibri" w:hAnsi="Calibri"/>
          <w:b/>
          <w:bCs/>
          <w:iCs/>
        </w:rPr>
        <w:t xml:space="preserve">Les salariés de la société </w:t>
      </w:r>
    </w:p>
    <w:p>
      <w:pPr>
        <w:pStyle w:val="Normal"/>
        <w:rPr>
          <w:rFonts w:ascii="Calibri" w:hAnsi="Calibri" w:eastAsia="Calibri" w:cs="Calibri"/>
          <w:b/>
          <w:b/>
          <w:bCs/>
          <w:iCs/>
        </w:rPr>
      </w:pPr>
      <w:r>
        <w:rPr>
          <w:rFonts w:eastAsia="Calibri" w:cs="Calibri" w:ascii="Calibri" w:hAnsi="Calibri"/>
          <w:b/>
          <w:bCs/>
          <w:iCs/>
        </w:rPr>
      </w:r>
    </w:p>
    <w:p>
      <w:pPr>
        <w:pStyle w:val="ElAppclear"/>
        <w:rPr>
          <w:rFonts w:ascii="Calibri" w:hAnsi="Calibri" w:eastAsia="Arial" w:cs="Arial"/>
          <w:b/>
          <w:b/>
          <w:lang w:val="en-GB" w:eastAsia="en-GB" w:bidi="en-GB"/>
        </w:rPr>
      </w:pPr>
      <w:r>
        <w:rPr>
          <w:rFonts w:eastAsia="Arial" w:cs="Arial" w:ascii="Calibri" w:hAnsi="Calibri"/>
          <w:b/>
          <w:lang w:val="en-GB" w:eastAsia="en-GB" w:bidi="en-GB"/>
        </w:rPr>
      </w:r>
    </w:p>
    <w:p>
      <w:pPr>
        <w:pStyle w:val="ElAppclear"/>
        <w:rPr>
          <w:rFonts w:ascii="Calibri" w:hAnsi="Calibri" w:eastAsia="Arial" w:cs="Arial"/>
          <w:b/>
          <w:b/>
          <w:lang w:val="en-GB" w:eastAsia="en-GB" w:bidi="en-GB"/>
        </w:rPr>
      </w:pPr>
      <w:r>
        <w:rPr>
          <w:rFonts w:eastAsia="Arial" w:cs="Arial" w:ascii="Calibri" w:hAnsi="Calibri"/>
          <w:b/>
          <w:lang w:val="en-GB" w:eastAsia="en-GB" w:bidi="en-GB"/>
        </w:rPr>
      </w:r>
    </w:p>
    <w:p>
      <w:pPr>
        <w:pStyle w:val="CopyRight"/>
        <w:jc w:val="both"/>
        <w:rPr>
          <w:rFonts w:ascii="Calibri" w:hAnsi="Calibri" w:eastAsia="Arial" w:cs="Calibri"/>
          <w:b/>
          <w:b/>
          <w:lang w:val="en-GB" w:eastAsia="en-GB" w:bidi="en-GB"/>
        </w:rPr>
      </w:pPr>
      <w:r>
        <w:rPr>
          <w:rFonts w:eastAsia="Arial" w:cs="Calibri" w:ascii="Calibri" w:hAnsi="Calibri"/>
          <w:b/>
          <w:lang w:val="en-GB" w:eastAsia="en-GB" w:bidi="en-GB"/>
        </w:rPr>
      </w:r>
    </w:p>
    <w:sectPr>
      <w:footerReference w:type="default" r:id="rId2"/>
      <w:type w:val="nextPage"/>
      <w:pgSz w:w="12240" w:h="15840"/>
      <w:pgMar w:left="1417" w:right="1417" w:header="0" w:top="1417" w:footer="720"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ingdings">
    <w:charset w:val="02"/>
    <w:family w:val="auto"/>
    <w:pitch w:val="variable"/>
  </w:font>
  <w:font w:name="Courier New">
    <w:charset w:val="00"/>
    <w:family w:val="modern"/>
    <w:pitch w:val="default"/>
  </w:font>
  <w:font w:name="Symbol">
    <w:charset w:val="01"/>
    <w:family w:val="roman"/>
    <w:pitch w:val="variable"/>
  </w:font>
  <w:font w:name="Calibri">
    <w:charset w:val="00"/>
    <w:family w:val="swiss"/>
    <w:pitch w:val="variable"/>
  </w:font>
  <w:font w:name="Segoe UI">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rFonts w:ascii="Calibri" w:hAnsi="Calibri" w:cs="Calibri"/>
        <w:sz w:val="20"/>
        <w:szCs w:val="20"/>
      </w:rPr>
    </w:pPr>
    <w:r>
      <w:rPr>
        <w:rFonts w:cs="Calibri" w:ascii="Calibri" w:hAnsi="Calibri"/>
        <w:sz w:val="20"/>
        <w:szCs w:val="20"/>
      </w:rPr>
      <w:t xml:space="preserve">Accord d’entreprise Page </w:t>
    </w:r>
    <w:r>
      <w:rPr>
        <w:rFonts w:cs="Calibri" w:ascii="Calibri" w:hAnsi="Calibri"/>
        <w:bCs/>
        <w:sz w:val="20"/>
        <w:szCs w:val="20"/>
      </w:rPr>
      <w:fldChar w:fldCharType="begin"/>
    </w:r>
    <w:r>
      <w:instrText> PAGE </w:instrText>
    </w:r>
    <w:r>
      <w:fldChar w:fldCharType="separate"/>
    </w:r>
    <w:r>
      <w:t>5</w:t>
    </w:r>
    <w:r>
      <w:fldChar w:fldCharType="end"/>
    </w:r>
    <w:r>
      <w:rPr>
        <w:rFonts w:cs="Calibri" w:ascii="Calibri" w:hAnsi="Calibri"/>
        <w:sz w:val="20"/>
        <w:szCs w:val="20"/>
      </w:rPr>
      <w:t xml:space="preserve"> sur </w:t>
    </w:r>
    <w:r>
      <w:rPr>
        <w:rFonts w:cs="Calibri" w:ascii="Calibri" w:hAnsi="Calibri"/>
        <w:bCs/>
        <w:sz w:val="20"/>
        <w:szCs w:val="20"/>
      </w:rPr>
      <w:fldChar w:fldCharType="begin"/>
    </w:r>
    <w:r>
      <w:instrText> NUMPAGES \* ARABIC </w:instrText>
    </w:r>
    <w:r>
      <w:fldChar w:fldCharType="separate"/>
    </w:r>
    <w:r>
      <w:t>5</w:t>
    </w:r>
    <w:r>
      <w:fldChar w:fldCharType="end"/>
    </w:r>
  </w:p>
  <w:p>
    <w:pPr>
      <w:pStyle w:val="Footer"/>
      <w:rPr>
        <w:rFonts w:ascii="Calibri" w:hAnsi="Calibri" w:cs="Calibri"/>
        <w:sz w:val="20"/>
        <w:szCs w:val="20"/>
      </w:rPr>
    </w:pPr>
    <w:r>
      <w:rPr>
        <w:rFonts w:cs="Calibri" w:ascii="Calibri" w:hAnsi="Calibri"/>
        <w:sz w:val="20"/>
        <w:szCs w:val="20"/>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lvl w:ilvl="0">
      <w:numFmt w:val="bullet"/>
      <w:lvlText w:val="-"/>
      <w:lvlJc w:val="left"/>
      <w:pPr>
        <w:ind w:left="375" w:hanging="360"/>
      </w:pPr>
      <w:rPr>
        <w:rFonts w:ascii="Calibri" w:hAnsi="Calibri" w:cs="Calibri" w:hint="default"/>
        <w:rFonts w:cs="Calibri"/>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Cs w:val="24"/>
        <w:lang w:val="en-GB" w:eastAsia="zh-CN" w:bidi="hi-IN"/>
      </w:rPr>
    </w:rPrDefault>
    <w:pPrDefault>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fr-FR" w:bidi="ar-SA" w:eastAsia="zh-CN"/>
    </w:rPr>
  </w:style>
  <w:style w:type="paragraph" w:styleId="Heading1">
    <w:name w:val="Heading 1"/>
    <w:basedOn w:val="Normal"/>
    <w:next w:val="Normal"/>
    <w:qFormat/>
    <w:pPr>
      <w:keepNext/>
      <w:numPr>
        <w:ilvl w:val="0"/>
        <w:numId w:val="1"/>
      </w:numPr>
      <w:spacing w:before="240" w:after="60"/>
      <w:outlineLvl w:val="0"/>
      <w:outlineLvl w:val="0"/>
    </w:pPr>
    <w:rPr>
      <w:rFonts w:ascii="Times New Roman" w:hAnsi="Times New Roman" w:eastAsia="Times New Roman" w:cs="Times New Roman"/>
      <w:b/>
      <w:bCs/>
      <w:i w:val="false"/>
      <w:sz w:val="48"/>
      <w:szCs w:val="48"/>
    </w:rPr>
  </w:style>
  <w:style w:type="paragraph" w:styleId="Heading2">
    <w:name w:val="Heading 2"/>
    <w:basedOn w:val="Normal"/>
    <w:next w:val="Normal"/>
    <w:qFormat/>
    <w:pPr>
      <w:keepNext/>
      <w:numPr>
        <w:ilvl w:val="1"/>
        <w:numId w:val="1"/>
      </w:numPr>
      <w:spacing w:before="240" w:after="60"/>
      <w:outlineLvl w:val="1"/>
      <w:outlineLvl w:val="1"/>
    </w:pPr>
    <w:rPr>
      <w:rFonts w:ascii="Times New Roman" w:hAnsi="Times New Roman" w:eastAsia="Times New Roman" w:cs="Times New Roman"/>
      <w:b/>
      <w:bCs/>
      <w:i w:val="false"/>
      <w:iCs/>
      <w:sz w:val="36"/>
      <w:szCs w:val="36"/>
    </w:rPr>
  </w:style>
  <w:style w:type="paragraph" w:styleId="Heading3">
    <w:name w:val="Heading 3"/>
    <w:basedOn w:val="Normal"/>
    <w:next w:val="Normal"/>
    <w:qFormat/>
    <w:pPr>
      <w:keepNext/>
      <w:numPr>
        <w:ilvl w:val="2"/>
        <w:numId w:val="1"/>
      </w:numPr>
      <w:spacing w:before="240" w:after="60"/>
      <w:outlineLvl w:val="2"/>
      <w:outlineLvl w:val="2"/>
    </w:pPr>
    <w:rPr>
      <w:rFonts w:ascii="Times New Roman" w:hAnsi="Times New Roman" w:eastAsia="Times New Roman" w:cs="Times New Roman"/>
      <w:b/>
      <w:bCs/>
      <w:i w:val="false"/>
      <w:sz w:val="28"/>
      <w:szCs w:val="28"/>
    </w:rPr>
  </w:style>
  <w:style w:type="paragraph" w:styleId="Heading4">
    <w:name w:val="Heading 4"/>
    <w:basedOn w:val="Normal"/>
    <w:next w:val="Normal"/>
    <w:qFormat/>
    <w:pPr>
      <w:keepNext/>
      <w:numPr>
        <w:ilvl w:val="3"/>
        <w:numId w:val="1"/>
      </w:numPr>
      <w:spacing w:before="240" w:after="60"/>
      <w:outlineLvl w:val="3"/>
      <w:outlineLvl w:val="3"/>
    </w:pPr>
    <w:rPr>
      <w:rFonts w:ascii="Times New Roman" w:hAnsi="Times New Roman" w:eastAsia="Times New Roman" w:cs="Times New Roman"/>
      <w:b/>
      <w:bCs/>
      <w:i w:val="false"/>
      <w:sz w:val="24"/>
      <w:szCs w:val="24"/>
    </w:rPr>
  </w:style>
  <w:style w:type="paragraph" w:styleId="Heading5">
    <w:name w:val="Heading 5"/>
    <w:basedOn w:val="Normal"/>
    <w:next w:val="Normal"/>
    <w:qFormat/>
    <w:pPr>
      <w:numPr>
        <w:ilvl w:val="4"/>
        <w:numId w:val="1"/>
      </w:numPr>
      <w:spacing w:before="240" w:after="60"/>
      <w:outlineLvl w:val="4"/>
      <w:outlineLvl w:val="4"/>
    </w:pPr>
    <w:rPr>
      <w:rFonts w:ascii="Times New Roman" w:hAnsi="Times New Roman" w:eastAsia="Times New Roman" w:cs="Times New Roman"/>
      <w:b/>
      <w:bCs/>
      <w:i w:val="false"/>
      <w:iCs/>
      <w:sz w:val="20"/>
      <w:szCs w:val="20"/>
    </w:rPr>
  </w:style>
  <w:style w:type="paragraph" w:styleId="Heading6">
    <w:name w:val="Heading 6"/>
    <w:basedOn w:val="Normal"/>
    <w:next w:val="Normal"/>
    <w:qFormat/>
    <w:pPr>
      <w:numPr>
        <w:ilvl w:val="5"/>
        <w:numId w:val="1"/>
      </w:numPr>
      <w:spacing w:before="240" w:after="60"/>
      <w:outlineLvl w:val="5"/>
      <w:outlineLvl w:val="5"/>
    </w:pPr>
    <w:rPr>
      <w:rFonts w:ascii="Times New Roman" w:hAnsi="Times New Roman" w:eastAsia="Times New Roman" w:cs="Times New Roman"/>
      <w:b/>
      <w:bCs/>
      <w:i w:val="false"/>
      <w:sz w:val="16"/>
      <w:szCs w:val="16"/>
    </w:rPr>
  </w:style>
  <w:style w:type="character" w:styleId="WW8Num1z0">
    <w:name w:val="WW8Num1z0"/>
    <w:qFormat/>
    <w:rPr>
      <w:rFonts w:ascii="Wingdings" w:hAnsi="Wingdings" w:cs="Wingdings"/>
    </w:rPr>
  </w:style>
  <w:style w:type="character" w:styleId="WW8Num1z1">
    <w:name w:val="WW8Num1z1"/>
    <w:qFormat/>
    <w:rPr>
      <w:rFonts w:ascii="Courier New" w:hAnsi="Courier New" w:cs="Courier New"/>
    </w:rPr>
  </w:style>
  <w:style w:type="character" w:styleId="WW8Num1z3">
    <w:name w:val="WW8Num1z3"/>
    <w:qFormat/>
    <w:rPr>
      <w:rFonts w:ascii="Symbol" w:hAnsi="Symbol" w:cs="Symbol"/>
    </w:rPr>
  </w:style>
  <w:style w:type="character" w:styleId="WW8Num2z0">
    <w:name w:val="WW8Num2z0"/>
    <w:qFormat/>
    <w:rPr>
      <w:rFonts w:ascii="Calibri" w:hAnsi="Calibri" w:eastAsia="Arial" w:cs="Aria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Calibri" w:hAnsi="Calibri" w:eastAsia="Arial" w:cs="Calibri"/>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Calibri" w:hAnsi="Calibri" w:eastAsia="Arial" w:cs="Aria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Policepardfaut">
    <w:name w:val="Police par défaut"/>
    <w:qFormat/>
    <w:rPr/>
  </w:style>
  <w:style w:type="character" w:styleId="ElAppxlargeandbold">
    <w:name w:val="ElApp_xlargeandbold"/>
    <w:qFormat/>
    <w:rPr>
      <w:b/>
      <w:bCs/>
      <w:sz w:val="29"/>
      <w:szCs w:val="29"/>
    </w:rPr>
  </w:style>
  <w:style w:type="character" w:styleId="ElApptexteDP02">
    <w:name w:val="ElApp_texteDP02"/>
    <w:qFormat/>
    <w:rPr>
      <w:color w:val="ED171F"/>
    </w:rPr>
  </w:style>
  <w:style w:type="character" w:styleId="ElApplarge">
    <w:name w:val="ElApp_large"/>
    <w:qFormat/>
    <w:rPr>
      <w:sz w:val="26"/>
      <w:szCs w:val="26"/>
    </w:rPr>
  </w:style>
  <w:style w:type="character" w:styleId="ElAppatextegrasRDP02link">
    <w:name w:val="ElApp_a_textegrasRDP02_link"/>
    <w:qFormat/>
    <w:rPr>
      <w:color w:val="ED171F"/>
    </w:rPr>
  </w:style>
  <w:style w:type="character" w:styleId="ElApptiartf">
    <w:name w:val="ElApp_tiartf"/>
    <w:qFormat/>
    <w:rPr>
      <w:b/>
      <w:bCs/>
      <w:sz w:val="15"/>
      <w:szCs w:val="15"/>
    </w:rPr>
  </w:style>
  <w:style w:type="character" w:styleId="ElApptiartf2">
    <w:name w:val="ElApp_tiartf2"/>
    <w:qFormat/>
    <w:rPr>
      <w:b/>
      <w:bCs/>
      <w:sz w:val="17"/>
      <w:szCs w:val="17"/>
    </w:rPr>
  </w:style>
  <w:style w:type="character" w:styleId="EntteCar">
    <w:name w:val="En-tête Car"/>
    <w:qFormat/>
    <w:rPr>
      <w:sz w:val="24"/>
      <w:szCs w:val="24"/>
    </w:rPr>
  </w:style>
  <w:style w:type="character" w:styleId="PieddepageCar">
    <w:name w:val="Pied de page Car"/>
    <w:qFormat/>
    <w:rPr>
      <w:sz w:val="24"/>
      <w:szCs w:val="24"/>
    </w:rPr>
  </w:style>
  <w:style w:type="character" w:styleId="TextedebullesCar">
    <w:name w:val="Texte de bulles Car"/>
    <w:qFormat/>
    <w:rPr>
      <w:rFonts w:ascii="Segoe UI" w:hAnsi="Segoe UI" w:cs="Segoe UI"/>
      <w:sz w:val="18"/>
      <w:szCs w:val="18"/>
    </w:rPr>
  </w:style>
  <w:style w:type="paragraph" w:styleId="Heading">
    <w:name w:val="Heading"/>
    <w:basedOn w:val="Normal"/>
    <w:next w:val="TextBody"/>
    <w:qFormat/>
    <w:pPr>
      <w:keepNext/>
      <w:spacing w:before="240" w:after="120"/>
    </w:pPr>
    <w:rPr>
      <w:rFonts w:ascii="Liberation Sans" w:hAnsi="Liberation Sans" w:eastAsia="DejaVu Sans" w:cs="DejaVu Sans"/>
      <w:sz w:val="28"/>
      <w:szCs w:val="28"/>
    </w:rPr>
  </w:style>
  <w:style w:type="paragraph" w:styleId="TextBody">
    <w:name w:val="Text Body"/>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ElApp">
    <w:name w:val="ElApp"/>
    <w:basedOn w:val="Normal"/>
    <w:qFormat/>
    <w:pPr/>
    <w:rPr>
      <w:rFonts w:ascii="Arial" w:hAnsi="Arial" w:eastAsia="Arial" w:cs="Arial"/>
      <w:sz w:val="17"/>
      <w:szCs w:val="17"/>
    </w:rPr>
  </w:style>
  <w:style w:type="paragraph" w:styleId="ElAppcouleurDeFondDP02">
    <w:name w:val="ElApp_couleurDeFondDP02"/>
    <w:basedOn w:val="Normal"/>
    <w:qFormat/>
    <w:pPr>
      <w:shd w:fill="ED171F" w:val="clear"/>
    </w:pPr>
    <w:rPr>
      <w:shd w:fill="ED171F" w:val="clear"/>
    </w:rPr>
  </w:style>
  <w:style w:type="paragraph" w:styleId="ElAppenteteForm2Left">
    <w:name w:val="ElApp_enteteForm2Left"/>
    <w:basedOn w:val="Normal"/>
    <w:qFormat/>
    <w:pPr>
      <w:shd w:fill="9C9A9C" w:val="clear"/>
    </w:pPr>
    <w:rPr>
      <w:shd w:fill="9C9A9C" w:val="clear"/>
    </w:rPr>
  </w:style>
  <w:style w:type="paragraph" w:styleId="ElAppclear">
    <w:name w:val="ElApp_clear"/>
    <w:basedOn w:val="Normal"/>
    <w:qFormat/>
    <w:pPr/>
    <w:rPr/>
  </w:style>
  <w:style w:type="paragraph" w:styleId="ElAppobs">
    <w:name w:val="ElApp_obs"/>
    <w:basedOn w:val="Normal"/>
    <w:qFormat/>
    <w:pPr>
      <w:shd w:fill="EEEEEE" w:val="clear"/>
    </w:pPr>
    <w:rPr>
      <w:shd w:fill="EEEEEE" w:val="clear"/>
    </w:rPr>
  </w:style>
  <w:style w:type="paragraph" w:styleId="ElAppp">
    <w:name w:val="ElApp_p"/>
    <w:basedOn w:val="Normal"/>
    <w:qFormat/>
    <w:pPr/>
    <w:rPr>
      <w:rFonts w:ascii="Arial" w:hAnsi="Arial" w:eastAsia="Arial" w:cs="Arial"/>
      <w:sz w:val="17"/>
      <w:szCs w:val="17"/>
    </w:rPr>
  </w:style>
  <w:style w:type="paragraph" w:styleId="ElAppchoix">
    <w:name w:val="ElApp_choix"/>
    <w:basedOn w:val="Normal"/>
    <w:qFormat/>
    <w:pPr>
      <w:pBdr/>
      <w:jc w:val="left"/>
    </w:pPr>
    <w:rPr/>
  </w:style>
  <w:style w:type="paragraph" w:styleId="ElApptidtifaligncenter">
    <w:name w:val="ElApp_tidtifaligncenter"/>
    <w:basedOn w:val="Normal"/>
    <w:qFormat/>
    <w:pPr>
      <w:jc w:val="center"/>
    </w:pPr>
    <w:rPr>
      <w:color w:val="666699"/>
      <w:sz w:val="23"/>
      <w:szCs w:val="23"/>
    </w:rPr>
  </w:style>
  <w:style w:type="paragraph" w:styleId="ElAppajout">
    <w:name w:val="ElApp_ajout"/>
    <w:basedOn w:val="Normal"/>
    <w:qFormat/>
    <w:pPr>
      <w:pBdr/>
    </w:pPr>
    <w:rPr/>
  </w:style>
  <w:style w:type="paragraph" w:styleId="ElAppleftleft">
    <w:name w:val="ElApp_leftleft"/>
    <w:basedOn w:val="Normal"/>
    <w:qFormat/>
    <w:pPr>
      <w:jc w:val="left"/>
    </w:pPr>
    <w:rPr/>
  </w:style>
  <w:style w:type="paragraph" w:styleId="ElAppright">
    <w:name w:val="ElApp_right"/>
    <w:basedOn w:val="Normal"/>
    <w:qFormat/>
    <w:pPr>
      <w:jc w:val="left"/>
    </w:pPr>
    <w:rPr/>
  </w:style>
  <w:style w:type="paragraph" w:styleId="CopyRight">
    <w:name w:val="copyRight"/>
    <w:basedOn w:val="Normal"/>
    <w:qFormat/>
    <w:pPr/>
    <w:rPr/>
  </w:style>
  <w:style w:type="paragraph" w:styleId="Header">
    <w:name w:val="Header"/>
    <w:basedOn w:val="Normal"/>
    <w:pPr>
      <w:tabs>
        <w:tab w:val="center" w:pos="4536" w:leader="none"/>
        <w:tab w:val="right" w:pos="9072" w:leader="none"/>
      </w:tabs>
    </w:pPr>
    <w:rPr/>
  </w:style>
  <w:style w:type="paragraph" w:styleId="Footer">
    <w:name w:val="Footer"/>
    <w:basedOn w:val="Normal"/>
    <w:pPr>
      <w:tabs>
        <w:tab w:val="center" w:pos="4536" w:leader="none"/>
        <w:tab w:val="right" w:pos="9072" w:leader="none"/>
      </w:tabs>
    </w:pPr>
    <w:rPr/>
  </w:style>
  <w:style w:type="paragraph" w:styleId="Textedebulles">
    <w:name w:val="Texte de bulles"/>
    <w:basedOn w:val="Normal"/>
    <w:qFormat/>
    <w:pPr/>
    <w:rPr>
      <w:rFonts w:ascii="Segoe UI" w:hAnsi="Segoe UI" w:cs="Segoe UI"/>
      <w:sz w:val="18"/>
      <w:szCs w:val="18"/>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2</TotalTime>
  <Application>LibreOffice/5.0.6.2$Linux_X86_64 LibreOffice_project/00$Build-2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2019-07-17T12:06:00Z</dcterms:created>
  <dc:language>en-GB</dc:language>
  <cp:lastPrinted>2019-06-20T09:58:00Z</cp:lastPrinted>
  <dcterms:modified xsi:type="dcterms:W3CDTF">2019-07-17T12:08:00Z</dcterms:modified>
  <cp:revision>3</cp:revision>
</cp:coreProperties>
</file>