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Calibri" w:hAnsi="Calibri" w:cs="Calibri"/>
          <w:b/>
          <w:b/>
          <w:sz w:val="22"/>
          <w:szCs w:val="22"/>
        </w:rPr>
      </w:pPr>
      <w:r>
        <w:rPr>
          <w:rFonts w:cs="Calibri" w:ascii="Calibri" w:hAnsi="Calibri"/>
          <w:b/>
          <w:sz w:val="22"/>
          <w:szCs w:val="22"/>
        </w:rPr>
      </w:r>
    </w:p>
    <w:p>
      <w:pPr>
        <w:pStyle w:val="Normal"/>
        <w:jc w:val="center"/>
        <w:rPr/>
      </w:pPr>
      <w:r>
        <w:rPr>
          <w:rFonts w:cs="Calibri" w:ascii="Calibri" w:hAnsi="Calibri"/>
          <w:b/>
          <w:sz w:val="22"/>
          <w:szCs w:val="22"/>
        </w:rPr>
        <w:t>PROCES VERBAL REUNION NEGOCIATION ANNUELLE</w:t>
      </w:r>
    </w:p>
    <w:p>
      <w:pPr>
        <w:pStyle w:val="Normal"/>
        <w:jc w:val="center"/>
        <w:rPr>
          <w:rFonts w:ascii="Calibri" w:hAnsi="Calibri" w:cs="Calibri"/>
          <w:b/>
          <w:b/>
          <w:sz w:val="22"/>
          <w:szCs w:val="22"/>
        </w:rPr>
      </w:pPr>
      <w:r>
        <w:rPr>
          <w:rFonts w:cs="Calibri" w:ascii="Calibri" w:hAnsi="Calibri"/>
          <w:b/>
          <w:sz w:val="22"/>
          <w:szCs w:val="22"/>
        </w:rPr>
        <w:t>AROME 2022</w:t>
      </w:r>
    </w:p>
    <w:p>
      <w:pPr>
        <w:pStyle w:val="Normal"/>
        <w:jc w:val="both"/>
        <w:rPr>
          <w:rFonts w:ascii="Calibri" w:hAnsi="Calibri" w:cs="Calibri"/>
          <w:b/>
          <w:b/>
          <w:sz w:val="22"/>
          <w:szCs w:val="22"/>
        </w:rPr>
      </w:pPr>
      <w:r>
        <w:rPr>
          <w:rFonts w:cs="Calibri" w:ascii="Calibri" w:hAnsi="Calibri"/>
          <w:b/>
          <w:sz w:val="22"/>
          <w:szCs w:val="22"/>
        </w:rPr>
      </w:r>
    </w:p>
    <w:p>
      <w:pPr>
        <w:pStyle w:val="Normal"/>
        <w:jc w:val="both"/>
        <w:rPr>
          <w:rFonts w:ascii="Arial" w:hAnsi="Arial" w:cs="Arial"/>
          <w:b/>
          <w:b/>
          <w:sz w:val="20"/>
          <w:u w:val="single"/>
        </w:rPr>
      </w:pPr>
      <w:r>
        <w:rPr>
          <w:rFonts w:cs="Arial" w:ascii="Arial" w:hAnsi="Arial"/>
          <w:b/>
          <w:sz w:val="20"/>
          <w:u w:val="single"/>
        </w:rPr>
        <w:t>PREAMBULE</w:t>
      </w:r>
    </w:p>
    <w:p>
      <w:pPr>
        <w:pStyle w:val="Normal"/>
        <w:jc w:val="both"/>
        <w:rPr>
          <w:rFonts w:ascii="Arial" w:hAnsi="Arial" w:cs="Arial"/>
          <w:b/>
          <w:b/>
          <w:sz w:val="20"/>
          <w:u w:val="single"/>
        </w:rPr>
      </w:pPr>
      <w:r>
        <w:rPr>
          <w:rFonts w:cs="Arial" w:ascii="Arial" w:hAnsi="Arial"/>
          <w:b/>
          <w:sz w:val="20"/>
          <w:u w:val="single"/>
        </w:rPr>
      </w:r>
    </w:p>
    <w:p>
      <w:pPr>
        <w:pStyle w:val="Normal"/>
        <w:jc w:val="both"/>
        <w:rPr/>
      </w:pPr>
      <w:r>
        <w:rPr>
          <w:rFonts w:cs="Arial" w:ascii="Arial" w:hAnsi="Arial"/>
          <w:sz w:val="20"/>
        </w:rPr>
        <w:t>Faisant suite à la rencontre du 13 octobre 2021 et du 10 novembre 2021 entre les organisations syndicales et la Direction et dont chacune a fait l’objet d’un compte rendu, il a été négocié ce qui suit.</w:t>
      </w:r>
    </w:p>
    <w:p>
      <w:pPr>
        <w:pStyle w:val="Normal"/>
        <w:jc w:val="both"/>
        <w:rPr>
          <w:rFonts w:ascii="Arial" w:hAnsi="Arial" w:cs="Arial"/>
          <w:sz w:val="20"/>
        </w:rPr>
      </w:pPr>
      <w:r>
        <w:rPr>
          <w:rFonts w:cs="Arial" w:ascii="Arial" w:hAnsi="Arial"/>
          <w:sz w:val="20"/>
        </w:rPr>
        <w:t>Toutes les dispositions à suivre sont valables à compter du 1er janvier 2022 (sauf précision contraire) sous réserve de l’approbation de la présente et dans son ensemble par la majorité des représentants syndicaux.</w:t>
      </w:r>
    </w:p>
    <w:p>
      <w:pPr>
        <w:pStyle w:val="Normal"/>
        <w:jc w:val="both"/>
        <w:rPr>
          <w:rFonts w:ascii="Arial" w:hAnsi="Arial" w:cs="Arial"/>
          <w:b/>
          <w:b/>
          <w:sz w:val="20"/>
          <w:u w:val="single"/>
        </w:rPr>
      </w:pPr>
      <w:r>
        <w:rPr>
          <w:rFonts w:cs="Arial" w:ascii="Arial" w:hAnsi="Arial"/>
          <w:b/>
          <w:sz w:val="20"/>
          <w:u w:val="single"/>
        </w:rPr>
      </w:r>
    </w:p>
    <w:p>
      <w:pPr>
        <w:pStyle w:val="Normal"/>
        <w:numPr>
          <w:ilvl w:val="0"/>
          <w:numId w:val="2"/>
        </w:numPr>
        <w:rPr>
          <w:rFonts w:ascii="Arial" w:hAnsi="Arial" w:cs="Arial"/>
          <w:b/>
          <w:b/>
          <w:sz w:val="20"/>
          <w:u w:val="single"/>
        </w:rPr>
      </w:pPr>
      <w:r>
        <w:rPr>
          <w:rFonts w:cs="Arial" w:ascii="Arial" w:hAnsi="Arial"/>
          <w:b/>
          <w:sz w:val="20"/>
          <w:u w:val="single"/>
        </w:rPr>
        <w:t>Demandes des Délégués Syndicaux : Augmentation de la prime dimanche à 50€ brut :</w:t>
      </w:r>
    </w:p>
    <w:p>
      <w:pPr>
        <w:pStyle w:val="Normal"/>
        <w:ind w:left="720" w:hanging="0"/>
        <w:rPr>
          <w:rFonts w:ascii="Arial" w:hAnsi="Arial" w:cs="Arial"/>
          <w:b/>
          <w:b/>
          <w:sz w:val="20"/>
          <w:u w:val="single"/>
        </w:rPr>
      </w:pPr>
      <w:r>
        <w:rPr>
          <w:rFonts w:cs="Arial" w:ascii="Arial" w:hAnsi="Arial"/>
          <w:b/>
          <w:sz w:val="20"/>
          <w:u w:val="single"/>
        </w:rPr>
      </w:r>
    </w:p>
    <w:p>
      <w:pPr>
        <w:pStyle w:val="Normal"/>
        <w:rPr/>
      </w:pPr>
      <w:r>
        <w:rPr>
          <w:rFonts w:cs="Arial" w:ascii="Arial" w:hAnsi="Arial"/>
          <w:sz w:val="20"/>
          <w:u w:val="single"/>
        </w:rPr>
        <w:t>Réponse de la Direction :</w:t>
      </w:r>
      <w:r>
        <w:rPr>
          <w:rFonts w:cs="Arial" w:ascii="Arial" w:hAnsi="Arial"/>
          <w:sz w:val="20"/>
        </w:rPr>
        <w:t xml:space="preserve"> La prime dimanche ne sera pas revalorisée pour l’année 2022.</w:t>
      </w:r>
    </w:p>
    <w:p>
      <w:pPr>
        <w:pStyle w:val="Normal"/>
        <w:ind w:left="720" w:hanging="0"/>
        <w:rPr>
          <w:rFonts w:ascii="Arial" w:hAnsi="Arial" w:cs="Arial"/>
          <w:sz w:val="20"/>
        </w:rPr>
      </w:pPr>
      <w:r>
        <w:rPr>
          <w:rFonts w:eastAsia="Arial" w:cs="Arial" w:ascii="Arial" w:hAnsi="Arial"/>
          <w:sz w:val="20"/>
        </w:rPr>
        <w:t xml:space="preserve"> </w:t>
      </w:r>
    </w:p>
    <w:p>
      <w:pPr>
        <w:pStyle w:val="Normal"/>
        <w:numPr>
          <w:ilvl w:val="0"/>
          <w:numId w:val="2"/>
        </w:numPr>
        <w:rPr>
          <w:rFonts w:ascii="Arial" w:hAnsi="Arial" w:cs="Arial"/>
          <w:b/>
          <w:b/>
          <w:sz w:val="20"/>
          <w:u w:val="single"/>
        </w:rPr>
      </w:pPr>
      <w:r>
        <w:rPr>
          <w:rFonts w:cs="Arial" w:ascii="Arial" w:hAnsi="Arial"/>
          <w:b/>
          <w:sz w:val="20"/>
          <w:u w:val="single"/>
        </w:rPr>
        <w:t xml:space="preserve">Demandes des Délégués Syndicaux : 13ÈME mois au prorata en cas de départ avec au moins 1 an d'ancienneté : </w:t>
      </w:r>
    </w:p>
    <w:p>
      <w:pPr>
        <w:pStyle w:val="Normal"/>
        <w:rPr>
          <w:rFonts w:ascii="Arial" w:hAnsi="Arial" w:cs="Arial"/>
          <w:b/>
          <w:b/>
          <w:sz w:val="20"/>
          <w:u w:val="single"/>
        </w:rPr>
      </w:pPr>
      <w:r>
        <w:rPr>
          <w:rFonts w:cs="Arial" w:ascii="Arial" w:hAnsi="Arial"/>
          <w:b/>
          <w:sz w:val="20"/>
          <w:u w:val="single"/>
        </w:rPr>
      </w:r>
    </w:p>
    <w:p>
      <w:pPr>
        <w:pStyle w:val="Normal"/>
        <w:rPr/>
      </w:pPr>
      <w:r>
        <w:rPr>
          <w:rFonts w:cs="Arial" w:ascii="Arial" w:hAnsi="Arial"/>
          <w:sz w:val="20"/>
          <w:u w:val="single"/>
        </w:rPr>
        <w:t xml:space="preserve">Réponse de la Direction : </w:t>
      </w:r>
    </w:p>
    <w:p>
      <w:pPr>
        <w:pStyle w:val="Normal"/>
        <w:rPr/>
      </w:pPr>
      <w:r>
        <w:rPr>
          <w:rFonts w:cs="Arial" w:ascii="Arial" w:hAnsi="Arial"/>
          <w:sz w:val="20"/>
        </w:rPr>
        <w:t>La règle de la prime de 13eme mois reste inchangée pour 2022 :</w:t>
      </w:r>
    </w:p>
    <w:p>
      <w:pPr>
        <w:pStyle w:val="Normal"/>
        <w:rPr>
          <w:rFonts w:ascii="Arial" w:hAnsi="Arial" w:cs="Arial"/>
          <w:sz w:val="20"/>
        </w:rPr>
      </w:pPr>
      <w:r>
        <w:rPr>
          <w:rFonts w:cs="Arial" w:ascii="Arial" w:hAnsi="Arial"/>
          <w:sz w:val="20"/>
        </w:rPr>
      </w:r>
    </w:p>
    <w:p>
      <w:pPr>
        <w:pStyle w:val="Normal"/>
        <w:jc w:val="both"/>
        <w:rPr/>
      </w:pPr>
      <w:r>
        <w:rPr>
          <w:rFonts w:cs="Arial" w:ascii="Arial" w:hAnsi="Arial"/>
          <w:sz w:val="20"/>
        </w:rPr>
        <w:t>Son montant est égal au taux horaire du mois de novembre par le nombre d'heures mensuelles contractuel.</w:t>
      </w:r>
    </w:p>
    <w:p>
      <w:pPr>
        <w:pStyle w:val="Normal"/>
        <w:jc w:val="both"/>
        <w:rPr>
          <w:rFonts w:ascii="Arial" w:hAnsi="Arial" w:cs="Arial"/>
          <w:sz w:val="20"/>
        </w:rPr>
      </w:pPr>
      <w:r>
        <w:rPr>
          <w:rFonts w:cs="Arial" w:ascii="Arial" w:hAnsi="Arial"/>
          <w:sz w:val="20"/>
        </w:rPr>
        <w:t>Elle est calculée au prorata temporis pour les salariés entrés en cours d’année.</w:t>
      </w:r>
    </w:p>
    <w:p>
      <w:pPr>
        <w:pStyle w:val="Normal"/>
        <w:jc w:val="both"/>
        <w:rPr>
          <w:rFonts w:ascii="Arial" w:hAnsi="Arial" w:cs="Arial"/>
          <w:sz w:val="20"/>
        </w:rPr>
      </w:pPr>
      <w:r>
        <w:rPr>
          <w:rFonts w:cs="Arial" w:ascii="Arial" w:hAnsi="Arial"/>
          <w:sz w:val="20"/>
        </w:rPr>
        <w:t>Elle est conditionnée à la présence du salarié au 30 novembre de chaque année. Ainsi, en cas de rupture du contrat, pour quelque cause que ce soit, avant le 30 novembre, la prime de 13ème mois ne sera pas due (hors départ en retraite et licenciement économique).</w:t>
      </w:r>
    </w:p>
    <w:p>
      <w:pPr>
        <w:pStyle w:val="Normal"/>
        <w:rPr>
          <w:rFonts w:ascii="Arial" w:hAnsi="Arial" w:cs="Arial"/>
          <w:sz w:val="20"/>
        </w:rPr>
      </w:pPr>
      <w:r>
        <w:rPr>
          <w:rFonts w:cs="Arial" w:ascii="Arial" w:hAnsi="Arial"/>
          <w:sz w:val="20"/>
        </w:rPr>
        <w:t>En cas d’absences (maladie, congé parental, congé sans solde, absence non rémunéré, mi-temps thérapeutique, etc…), le 13eme mois sera proratisé. Une carence de 14 jours calendaires est appliquée (correspondant à 2 semaines ouvrées). En cas de maternité/paternité et d’arrêt de moins ou égal à 12 mois en accident du travail le 13eme mois n’est pas proratisé.</w:t>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t>D’autre part concernant 2021 le 13eme mois ne sera pas impacté par l’activité partielle.</w:t>
      </w:r>
    </w:p>
    <w:p>
      <w:pPr>
        <w:pStyle w:val="Normal"/>
        <w:rPr>
          <w:rFonts w:ascii="Arial" w:hAnsi="Arial" w:cs="Arial"/>
          <w:b/>
          <w:b/>
          <w:sz w:val="20"/>
          <w:u w:val="single"/>
        </w:rPr>
      </w:pPr>
      <w:r>
        <w:rPr>
          <w:rFonts w:cs="Arial" w:ascii="Arial" w:hAnsi="Arial"/>
          <w:b/>
          <w:sz w:val="20"/>
          <w:u w:val="single"/>
        </w:rPr>
      </w:r>
    </w:p>
    <w:p>
      <w:pPr>
        <w:pStyle w:val="Normal"/>
        <w:numPr>
          <w:ilvl w:val="0"/>
          <w:numId w:val="2"/>
        </w:numPr>
        <w:rPr/>
      </w:pPr>
      <w:r>
        <w:rPr>
          <w:rFonts w:cs="Arial" w:ascii="Arial" w:hAnsi="Arial"/>
          <w:b/>
          <w:sz w:val="20"/>
          <w:u w:val="single"/>
        </w:rPr>
        <w:t>Demandes des délégués Syndicaux : Augmentation du taux horaire de 5%</w:t>
      </w:r>
    </w:p>
    <w:p>
      <w:pPr>
        <w:pStyle w:val="Normal"/>
        <w:ind w:left="360" w:hanging="0"/>
        <w:rPr>
          <w:rFonts w:ascii="Arial" w:hAnsi="Arial" w:cs="Arial"/>
          <w:b/>
          <w:b/>
          <w:sz w:val="20"/>
          <w:u w:val="single"/>
        </w:rPr>
      </w:pPr>
      <w:r>
        <w:rPr>
          <w:rFonts w:cs="Arial" w:ascii="Arial" w:hAnsi="Arial"/>
          <w:b/>
          <w:sz w:val="20"/>
          <w:u w:val="single"/>
        </w:rPr>
      </w:r>
    </w:p>
    <w:p>
      <w:pPr>
        <w:pStyle w:val="Normal"/>
        <w:rPr>
          <w:rFonts w:ascii="Arial" w:hAnsi="Arial" w:cs="Arial"/>
          <w:sz w:val="20"/>
        </w:rPr>
      </w:pPr>
      <w:r>
        <w:rPr>
          <w:rFonts w:cs="Arial" w:ascii="Arial" w:hAnsi="Arial"/>
          <w:sz w:val="20"/>
          <w:u w:val="single"/>
        </w:rPr>
        <w:t>Réponse de la Direction :</w:t>
      </w:r>
      <w:r>
        <w:rPr>
          <w:rFonts w:cs="Arial" w:ascii="Arial" w:hAnsi="Arial"/>
          <w:sz w:val="20"/>
        </w:rPr>
        <w:t xml:space="preserve"> A compter du 01 janvier 2022 est prévu une augmentation de la grille horaire de 4% pour les Ouvriers et employés (hors agent de maitrise et cadre) de la grille Arôme.</w:t>
      </w:r>
    </w:p>
    <w:p>
      <w:pPr>
        <w:pStyle w:val="Normal"/>
        <w:rPr>
          <w:rFonts w:ascii="Arial" w:hAnsi="Arial" w:cs="Arial"/>
          <w:sz w:val="20"/>
        </w:rPr>
      </w:pPr>
      <w:r>
        <w:rPr>
          <w:rFonts w:cs="Arial" w:ascii="Arial" w:hAnsi="Arial"/>
          <w:sz w:val="20"/>
        </w:rPr>
        <w:t>Est attribué 2.5% d’augmentation sur la grille anciens Gineys et anciens Fayard.</w:t>
      </w:r>
    </w:p>
    <w:p>
      <w:pPr>
        <w:pStyle w:val="Normal"/>
        <w:rPr>
          <w:rFonts w:ascii="Arial" w:hAnsi="Arial" w:cs="Arial"/>
          <w:sz w:val="20"/>
        </w:rPr>
      </w:pPr>
      <w:r>
        <w:rPr>
          <w:rFonts w:cs="Arial" w:ascii="Arial" w:hAnsi="Arial"/>
          <w:sz w:val="20"/>
        </w:rPr>
        <w:t>Les salariés qui ont un taux horaire supérieur à la grille n’auront pas d’augmentation.</w:t>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t>NB : Si la convention collective venait à être plus favorable, la grille Arome devra être actualisée.</w:t>
      </w:r>
    </w:p>
    <w:p>
      <w:pPr>
        <w:pStyle w:val="Normal"/>
        <w:rPr>
          <w:rFonts w:ascii="Arial" w:hAnsi="Arial" w:cs="Arial"/>
          <w:sz w:val="20"/>
        </w:rPr>
      </w:pPr>
      <w:r>
        <w:rPr>
          <w:rFonts w:cs="Arial" w:ascii="Arial" w:hAnsi="Arial"/>
          <w:sz w:val="20"/>
        </w:rPr>
        <w:t>Les agents de maitrise et cadres ne sont pas concernés par cette augmentation.</w:t>
      </w:r>
    </w:p>
    <w:p>
      <w:pPr>
        <w:pStyle w:val="Normal"/>
        <w:rPr>
          <w:rFonts w:ascii="Arial" w:hAnsi="Arial" w:cs="Arial"/>
          <w:sz w:val="20"/>
        </w:rPr>
      </w:pPr>
      <w:r>
        <w:rPr>
          <w:rFonts w:cs="Arial" w:ascii="Arial" w:hAnsi="Arial"/>
          <w:sz w:val="20"/>
        </w:rPr>
      </w:r>
    </w:p>
    <w:p>
      <w:pPr>
        <w:pStyle w:val="Normal"/>
        <w:numPr>
          <w:ilvl w:val="0"/>
          <w:numId w:val="2"/>
        </w:numPr>
        <w:jc w:val="both"/>
        <w:rPr/>
      </w:pPr>
      <w:r>
        <w:rPr>
          <w:rFonts w:cs="Arial" w:ascii="Arial" w:hAnsi="Arial"/>
          <w:b/>
          <w:sz w:val="20"/>
          <w:u w:val="single"/>
        </w:rPr>
        <w:t>Demande du délégué syndicale : Modification de la règle sur la prime inopinée :</w:t>
      </w:r>
    </w:p>
    <w:p>
      <w:pPr>
        <w:pStyle w:val="Normal"/>
        <w:ind w:left="720" w:hanging="0"/>
        <w:jc w:val="both"/>
        <w:rPr>
          <w:rFonts w:ascii="Arial" w:hAnsi="Arial" w:cs="Arial"/>
          <w:b/>
          <w:b/>
          <w:sz w:val="20"/>
          <w:u w:val="single"/>
        </w:rPr>
      </w:pPr>
      <w:r>
        <w:rPr>
          <w:rFonts w:cs="Arial" w:ascii="Arial" w:hAnsi="Arial"/>
          <w:b/>
          <w:sz w:val="20"/>
          <w:u w:val="single"/>
        </w:rPr>
      </w:r>
    </w:p>
    <w:p>
      <w:pPr>
        <w:pStyle w:val="Normal"/>
        <w:jc w:val="both"/>
        <w:rPr>
          <w:rFonts w:ascii="Arial" w:hAnsi="Arial" w:cs="Arial"/>
          <w:sz w:val="20"/>
        </w:rPr>
      </w:pPr>
      <w:r>
        <w:rPr>
          <w:rFonts w:cs="Arial" w:ascii="Arial" w:hAnsi="Arial"/>
          <w:sz w:val="20"/>
          <w:u w:val="single"/>
        </w:rPr>
        <w:t>Réponse de la Direction :</w:t>
      </w:r>
      <w:r>
        <w:rPr>
          <w:rFonts w:cs="Arial" w:ascii="Arial" w:hAnsi="Arial"/>
          <w:sz w:val="20"/>
        </w:rPr>
        <w:t xml:space="preserve"> nous nous engageons à trouver une solution pour modifier la règle concernant la prime inopinée.</w:t>
      </w:r>
    </w:p>
    <w:p>
      <w:pPr>
        <w:pStyle w:val="Normal"/>
        <w:rPr>
          <w:rFonts w:ascii="Arial" w:hAnsi="Arial" w:cs="Arial"/>
          <w:sz w:val="20"/>
        </w:rPr>
      </w:pPr>
      <w:r>
        <w:rPr>
          <w:rFonts w:cs="Arial" w:ascii="Arial" w:hAnsi="Arial"/>
          <w:sz w:val="20"/>
        </w:rPr>
      </w:r>
    </w:p>
    <w:p>
      <w:pPr>
        <w:pStyle w:val="Normal"/>
        <w:numPr>
          <w:ilvl w:val="0"/>
          <w:numId w:val="2"/>
        </w:numPr>
        <w:rPr>
          <w:rFonts w:ascii="Arial" w:hAnsi="Arial" w:cs="Arial"/>
          <w:b/>
          <w:b/>
          <w:sz w:val="20"/>
          <w:u w:val="single"/>
        </w:rPr>
      </w:pPr>
      <w:r>
        <w:rPr>
          <w:rFonts w:cs="Arial" w:ascii="Arial" w:hAnsi="Arial"/>
          <w:b/>
          <w:sz w:val="20"/>
          <w:u w:val="single"/>
        </w:rPr>
        <w:t>Demande de la Direction : Modification de l’annualisation</w:t>
      </w:r>
    </w:p>
    <w:p>
      <w:pPr>
        <w:pStyle w:val="Normal"/>
        <w:rPr>
          <w:rFonts w:ascii="Arial" w:hAnsi="Arial" w:cs="Arial"/>
          <w:b/>
          <w:b/>
          <w:sz w:val="20"/>
          <w:u w:val="single"/>
        </w:rPr>
      </w:pPr>
      <w:r>
        <w:rPr>
          <w:rFonts w:cs="Arial" w:ascii="Arial" w:hAnsi="Arial"/>
          <w:b/>
          <w:sz w:val="20"/>
          <w:u w:val="single"/>
        </w:rPr>
      </w:r>
    </w:p>
    <w:p>
      <w:pPr>
        <w:pStyle w:val="Normal"/>
        <w:rPr>
          <w:rFonts w:ascii="Arial" w:hAnsi="Arial" w:cs="Arial"/>
          <w:sz w:val="20"/>
        </w:rPr>
      </w:pPr>
      <w:r>
        <w:rPr>
          <w:rFonts w:cs="Arial" w:ascii="Arial" w:hAnsi="Arial"/>
          <w:sz w:val="20"/>
        </w:rPr>
        <w:t>La direction a proposé la chose suivante :</w:t>
      </w:r>
    </w:p>
    <w:p>
      <w:pPr>
        <w:pStyle w:val="Normal"/>
        <w:rPr>
          <w:rFonts w:ascii="Arial" w:hAnsi="Arial" w:cs="Arial"/>
          <w:sz w:val="20"/>
        </w:rPr>
      </w:pPr>
      <w:r>
        <w:rPr>
          <w:rFonts w:cs="Arial" w:ascii="Arial" w:hAnsi="Arial"/>
          <w:sz w:val="20"/>
        </w:rPr>
        <w:t>A compter du 01 janvier 2022 les heures supplémentaires (des temps complets) seront rémunérées au mois le mois. Pour les temps partiels il est prévu de payer 50% des heures complémentaires.</w:t>
      </w:r>
    </w:p>
    <w:p>
      <w:pPr>
        <w:pStyle w:val="Normal"/>
        <w:rPr>
          <w:rFonts w:ascii="Arial" w:hAnsi="Arial" w:cs="Arial"/>
          <w:sz w:val="20"/>
        </w:rPr>
      </w:pPr>
      <w:r>
        <w:rPr>
          <w:rFonts w:cs="Arial" w:ascii="Arial" w:hAnsi="Arial"/>
          <w:sz w:val="20"/>
        </w:rPr>
        <w:t>Ce système est mis en place pour une durée de un an, et pourra être reconduit.</w:t>
      </w:r>
    </w:p>
    <w:p>
      <w:pPr>
        <w:sectPr>
          <w:headerReference w:type="default" r:id="rId2"/>
          <w:footerReference w:type="default" r:id="rId3"/>
          <w:type w:val="nextPage"/>
          <w:pgSz w:w="11906" w:h="16838"/>
          <w:pgMar w:left="1417" w:right="1417" w:header="708" w:top="1258" w:footer="708" w:bottom="2269" w:gutter="0"/>
          <w:pgNumType w:fmt="decimal"/>
          <w:formProt w:val="false"/>
          <w:textDirection w:val="lrTb"/>
          <w:docGrid w:type="default" w:linePitch="360" w:charSpace="0"/>
        </w:sectPr>
        <w:pStyle w:val="Normal"/>
        <w:rPr/>
      </w:pPr>
      <w:r>
        <w:rPr/>
        <w:t>Ci-dessous un tableau récapitulatif des modalités des temps partiels et complets :</w:t>
      </w:r>
    </w:p>
    <w:tbl>
      <w:tblPr>
        <w:tblW w:w="16028" w:type="dxa"/>
        <w:jc w:val="left"/>
        <w:tblInd w:w="-1740"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482"/>
        <w:gridCol w:w="2368"/>
        <w:gridCol w:w="2112"/>
        <w:gridCol w:w="3260"/>
        <w:gridCol w:w="3544"/>
        <w:gridCol w:w="1701"/>
        <w:gridCol w:w="2561"/>
      </w:tblGrid>
      <w:tr>
        <w:trPr/>
        <w:tc>
          <w:tcPr>
            <w:tcW w:w="48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sz w:val="22"/>
                <w:szCs w:val="22"/>
              </w:rPr>
            </w:pPr>
            <w:r>
              <w:rPr>
                <w:sz w:val="22"/>
                <w:szCs w:val="22"/>
              </w:rPr>
            </w:r>
          </w:p>
        </w:tc>
        <w:tc>
          <w:tcPr>
            <w:tcW w:w="236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sz w:val="22"/>
                <w:szCs w:val="22"/>
              </w:rPr>
            </w:pPr>
            <w:r>
              <w:rPr>
                <w:sz w:val="22"/>
                <w:szCs w:val="22"/>
              </w:rPr>
            </w:r>
          </w:p>
        </w:tc>
        <w:tc>
          <w:tcPr>
            <w:tcW w:w="211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MAJORATIONS</w:t>
            </w:r>
          </w:p>
          <w:p>
            <w:pPr>
              <w:pStyle w:val="Normal"/>
              <w:jc w:val="center"/>
              <w:rPr>
                <w:sz w:val="22"/>
                <w:szCs w:val="22"/>
              </w:rPr>
            </w:pPr>
            <w:r>
              <w:rPr>
                <w:sz w:val="22"/>
                <w:szCs w:val="22"/>
              </w:rPr>
              <w:t>HEURES</w:t>
            </w:r>
          </w:p>
        </w:tc>
        <w:tc>
          <w:tcPr>
            <w:tcW w:w="3260"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ABSENCES CONSIDEREES (TRAVAIL EFFECTIF)</w:t>
            </w:r>
          </w:p>
        </w:tc>
        <w:tc>
          <w:tcPr>
            <w:tcW w:w="3544"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ABSENCES NON CONSIDEREES</w:t>
            </w:r>
          </w:p>
          <w:p>
            <w:pPr>
              <w:pStyle w:val="Normal"/>
              <w:jc w:val="center"/>
              <w:rPr>
                <w:sz w:val="22"/>
                <w:szCs w:val="22"/>
              </w:rPr>
            </w:pPr>
            <w:r>
              <w:rPr>
                <w:sz w:val="22"/>
                <w:szCs w:val="22"/>
              </w:rPr>
              <w:t>(TRAVAIL EFFECTIF)</w:t>
            </w:r>
          </w:p>
        </w:tc>
        <w:tc>
          <w:tcPr>
            <w:tcW w:w="1701"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AMPLITUDES</w:t>
            </w:r>
          </w:p>
        </w:tc>
        <w:tc>
          <w:tcPr>
            <w:tcW w:w="25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center"/>
              <w:rPr>
                <w:sz w:val="22"/>
                <w:szCs w:val="22"/>
              </w:rPr>
            </w:pPr>
            <w:r>
              <w:rPr>
                <w:sz w:val="22"/>
                <w:szCs w:val="22"/>
              </w:rPr>
              <w:t>COUPURES</w:t>
            </w:r>
          </w:p>
        </w:tc>
      </w:tr>
      <w:tr>
        <w:trPr>
          <w:trHeight w:val="2335" w:hRule="atLeast"/>
          <w:cantSplit w:val="true"/>
        </w:trPr>
        <w:tc>
          <w:tcPr>
            <w:tcW w:w="482" w:type="dxa"/>
            <w:tcBorders>
              <w:top w:val="single" w:sz="4" w:space="0" w:color="000000"/>
              <w:left w:val="single" w:sz="4" w:space="0" w:color="000000"/>
              <w:bottom w:val="single" w:sz="4" w:space="0" w:color="000000"/>
              <w:insideH w:val="single" w:sz="4" w:space="0" w:color="000000"/>
            </w:tcBorders>
            <w:shd w:fill="auto" w:val="clear"/>
            <w:tcMar>
              <w:left w:w="103" w:type="dxa"/>
            </w:tcMar>
            <w:textDirection w:val="btLr"/>
          </w:tcPr>
          <w:p>
            <w:pPr>
              <w:pStyle w:val="Normal"/>
              <w:ind w:left="113" w:right="113" w:hanging="0"/>
              <w:jc w:val="center"/>
              <w:rPr>
                <w:sz w:val="22"/>
                <w:szCs w:val="22"/>
              </w:rPr>
            </w:pPr>
            <w:r>
              <w:rPr>
                <w:sz w:val="22"/>
                <w:szCs w:val="22"/>
              </w:rPr>
              <w:t>TEMPS PARTIEL</w:t>
            </w:r>
          </w:p>
        </w:tc>
        <w:tc>
          <w:tcPr>
            <w:tcW w:w="236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sz w:val="22"/>
                <w:szCs w:val="22"/>
              </w:rPr>
            </w:pPr>
            <w:r>
              <w:rPr>
                <w:sz w:val="22"/>
                <w:szCs w:val="22"/>
              </w:rPr>
            </w:r>
          </w:p>
          <w:p>
            <w:pPr>
              <w:pStyle w:val="Normal"/>
              <w:jc w:val="center"/>
              <w:rPr>
                <w:sz w:val="22"/>
                <w:szCs w:val="22"/>
              </w:rPr>
            </w:pPr>
            <w:r>
              <w:rPr>
                <w:sz w:val="22"/>
                <w:szCs w:val="22"/>
              </w:rPr>
            </w:r>
          </w:p>
          <w:p>
            <w:pPr>
              <w:pStyle w:val="Normal"/>
              <w:jc w:val="center"/>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jc w:val="center"/>
              <w:rPr>
                <w:sz w:val="22"/>
                <w:szCs w:val="22"/>
              </w:rPr>
            </w:pPr>
            <w:r>
              <w:rPr>
                <w:sz w:val="22"/>
                <w:szCs w:val="22"/>
              </w:rPr>
              <w:t>HEURES</w:t>
            </w:r>
          </w:p>
          <w:p>
            <w:pPr>
              <w:pStyle w:val="Normal"/>
              <w:jc w:val="center"/>
              <w:rPr>
                <w:sz w:val="22"/>
                <w:szCs w:val="22"/>
              </w:rPr>
            </w:pPr>
            <w:r>
              <w:rPr>
                <w:sz w:val="22"/>
                <w:szCs w:val="22"/>
              </w:rPr>
              <w:t>COMPLEMENTAIRES</w:t>
            </w:r>
          </w:p>
        </w:tc>
        <w:tc>
          <w:tcPr>
            <w:tcW w:w="211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both"/>
              <w:rPr>
                <w:sz w:val="22"/>
                <w:szCs w:val="22"/>
              </w:rPr>
            </w:pPr>
            <w:r>
              <w:rPr>
                <w:sz w:val="22"/>
                <w:szCs w:val="22"/>
              </w:rPr>
            </w:r>
          </w:p>
          <w:p>
            <w:pPr>
              <w:pStyle w:val="Normal"/>
              <w:jc w:val="both"/>
              <w:rPr>
                <w:sz w:val="22"/>
                <w:szCs w:val="22"/>
              </w:rPr>
            </w:pPr>
            <w:r>
              <w:rPr>
                <w:sz w:val="22"/>
                <w:szCs w:val="22"/>
              </w:rPr>
              <w:t>Paiement de 50% des heures complémentaires au mois le mois.</w:t>
            </w:r>
          </w:p>
          <w:p>
            <w:pPr>
              <w:pStyle w:val="Normal"/>
              <w:jc w:val="both"/>
              <w:rPr>
                <w:sz w:val="22"/>
                <w:szCs w:val="22"/>
              </w:rPr>
            </w:pPr>
            <w:r>
              <w:rPr>
                <w:sz w:val="22"/>
                <w:szCs w:val="22"/>
              </w:rPr>
            </w:r>
          </w:p>
        </w:tc>
        <w:tc>
          <w:tcPr>
            <w:tcW w:w="3260" w:type="dxa"/>
            <w:vMerge w:val="restart"/>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both"/>
              <w:rPr>
                <w:sz w:val="22"/>
                <w:szCs w:val="22"/>
              </w:rPr>
            </w:pPr>
            <w:r>
              <w:rPr>
                <w:sz w:val="22"/>
                <w:szCs w:val="22"/>
              </w:rPr>
            </w:r>
          </w:p>
          <w:p>
            <w:pPr>
              <w:pStyle w:val="Normal"/>
              <w:jc w:val="both"/>
              <w:rPr>
                <w:sz w:val="22"/>
                <w:szCs w:val="22"/>
              </w:rPr>
            </w:pPr>
            <w:r>
              <w:rPr>
                <w:sz w:val="22"/>
                <w:szCs w:val="22"/>
              </w:rPr>
              <w:t>*Congés payés</w:t>
            </w:r>
          </w:p>
          <w:p>
            <w:pPr>
              <w:pStyle w:val="Normal"/>
              <w:jc w:val="both"/>
              <w:rPr>
                <w:sz w:val="22"/>
                <w:szCs w:val="22"/>
              </w:rPr>
            </w:pPr>
            <w:r>
              <w:rPr>
                <w:sz w:val="22"/>
                <w:szCs w:val="22"/>
              </w:rPr>
              <w:t>*Congés maternité, paternité, accueil de l’enfant et adoption</w:t>
            </w:r>
          </w:p>
          <w:p>
            <w:pPr>
              <w:pStyle w:val="Normal"/>
              <w:jc w:val="both"/>
              <w:rPr>
                <w:sz w:val="22"/>
                <w:szCs w:val="22"/>
              </w:rPr>
            </w:pPr>
            <w:r>
              <w:rPr>
                <w:sz w:val="22"/>
                <w:szCs w:val="22"/>
              </w:rPr>
              <w:t>*Congés évènements familiaux (mariage, pacs, naissance, décès d’un membre de la famille)</w:t>
            </w:r>
          </w:p>
          <w:p>
            <w:pPr>
              <w:pStyle w:val="Normal"/>
              <w:jc w:val="both"/>
              <w:rPr>
                <w:sz w:val="22"/>
                <w:szCs w:val="22"/>
              </w:rPr>
            </w:pPr>
            <w:r>
              <w:rPr>
                <w:sz w:val="22"/>
                <w:szCs w:val="22"/>
              </w:rPr>
              <w:t>*Arrêt Accident du Travail, de Trajet ou Maladie Professionnelle (dans la limite d’un an)</w:t>
            </w:r>
          </w:p>
          <w:p>
            <w:pPr>
              <w:pStyle w:val="Normal"/>
              <w:jc w:val="both"/>
              <w:rPr>
                <w:sz w:val="22"/>
                <w:szCs w:val="22"/>
              </w:rPr>
            </w:pPr>
            <w:r>
              <w:rPr>
                <w:sz w:val="22"/>
                <w:szCs w:val="22"/>
              </w:rPr>
              <w:t>*Congés de formation (bilan de compétences, projet de transition professionnelle (PTP) ex-CIF, congé formation économique, sociale et syndicale)</w:t>
            </w:r>
          </w:p>
          <w:p>
            <w:pPr>
              <w:pStyle w:val="Normal"/>
              <w:jc w:val="both"/>
              <w:rPr>
                <w:sz w:val="22"/>
                <w:szCs w:val="22"/>
              </w:rPr>
            </w:pPr>
            <w:r>
              <w:rPr>
                <w:sz w:val="22"/>
                <w:szCs w:val="22"/>
              </w:rPr>
              <w:t>*Rappel ou maintien au service national (quel qu’en soit le motif)</w:t>
            </w:r>
          </w:p>
          <w:p>
            <w:pPr>
              <w:pStyle w:val="Normal"/>
              <w:jc w:val="both"/>
              <w:rPr>
                <w:sz w:val="22"/>
                <w:szCs w:val="22"/>
              </w:rPr>
            </w:pPr>
            <w:r>
              <w:rPr>
                <w:sz w:val="22"/>
                <w:szCs w:val="22"/>
              </w:rPr>
              <w:t>*Délégation</w:t>
            </w:r>
          </w:p>
          <w:p>
            <w:pPr>
              <w:pStyle w:val="Normal"/>
              <w:jc w:val="both"/>
              <w:rPr>
                <w:sz w:val="22"/>
                <w:szCs w:val="22"/>
              </w:rPr>
            </w:pPr>
            <w:r>
              <w:rPr>
                <w:sz w:val="22"/>
                <w:szCs w:val="22"/>
              </w:rPr>
            </w:r>
          </w:p>
        </w:tc>
        <w:tc>
          <w:tcPr>
            <w:tcW w:w="3544" w:type="dxa"/>
            <w:vMerge w:val="restart"/>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both"/>
              <w:rPr>
                <w:sz w:val="22"/>
                <w:szCs w:val="22"/>
              </w:rPr>
            </w:pPr>
            <w:r>
              <w:rPr>
                <w:sz w:val="22"/>
                <w:szCs w:val="22"/>
              </w:rPr>
            </w:r>
          </w:p>
          <w:p>
            <w:pPr>
              <w:pStyle w:val="Normal"/>
              <w:jc w:val="both"/>
              <w:rPr>
                <w:sz w:val="22"/>
                <w:szCs w:val="22"/>
              </w:rPr>
            </w:pPr>
            <w:r>
              <w:rPr>
                <w:sz w:val="22"/>
                <w:szCs w:val="22"/>
              </w:rPr>
              <w:t>*Arrêt de travail Maladie</w:t>
            </w:r>
          </w:p>
          <w:p>
            <w:pPr>
              <w:pStyle w:val="Normal"/>
              <w:jc w:val="both"/>
              <w:rPr>
                <w:sz w:val="22"/>
                <w:szCs w:val="22"/>
              </w:rPr>
            </w:pPr>
            <w:r>
              <w:rPr>
                <w:sz w:val="22"/>
                <w:szCs w:val="22"/>
              </w:rPr>
              <w:t>*Grève</w:t>
            </w:r>
          </w:p>
          <w:p>
            <w:pPr>
              <w:pStyle w:val="Normal"/>
              <w:jc w:val="both"/>
              <w:rPr>
                <w:sz w:val="22"/>
                <w:szCs w:val="22"/>
              </w:rPr>
            </w:pPr>
            <w:r>
              <w:rPr>
                <w:sz w:val="22"/>
                <w:szCs w:val="22"/>
              </w:rPr>
              <w:t>*Congé parentale à temps plein</w:t>
            </w:r>
          </w:p>
          <w:p>
            <w:pPr>
              <w:pStyle w:val="Normal"/>
              <w:jc w:val="both"/>
              <w:rPr>
                <w:sz w:val="22"/>
                <w:szCs w:val="22"/>
              </w:rPr>
            </w:pPr>
            <w:r>
              <w:rPr>
                <w:sz w:val="22"/>
                <w:szCs w:val="22"/>
              </w:rPr>
              <w:t>*Congé de présence parentale</w:t>
            </w:r>
          </w:p>
          <w:p>
            <w:pPr>
              <w:pStyle w:val="Normal"/>
              <w:jc w:val="both"/>
              <w:rPr>
                <w:sz w:val="22"/>
                <w:szCs w:val="22"/>
              </w:rPr>
            </w:pPr>
            <w:r>
              <w:rPr>
                <w:sz w:val="22"/>
                <w:szCs w:val="22"/>
              </w:rPr>
              <w:t>*Congé de solidarité familiale</w:t>
            </w:r>
          </w:p>
          <w:p>
            <w:pPr>
              <w:pStyle w:val="Normal"/>
              <w:jc w:val="both"/>
              <w:rPr>
                <w:sz w:val="22"/>
                <w:szCs w:val="22"/>
              </w:rPr>
            </w:pPr>
            <w:r>
              <w:rPr>
                <w:sz w:val="22"/>
                <w:szCs w:val="22"/>
              </w:rPr>
              <w:t>*Absences non rémunérées (congé sans solde)</w:t>
            </w:r>
          </w:p>
          <w:p>
            <w:pPr>
              <w:pStyle w:val="Normal"/>
              <w:jc w:val="both"/>
              <w:rPr>
                <w:sz w:val="22"/>
                <w:szCs w:val="22"/>
              </w:rPr>
            </w:pPr>
            <w:r>
              <w:rPr>
                <w:sz w:val="22"/>
                <w:szCs w:val="22"/>
              </w:rPr>
              <w:t>*Mise à pied</w:t>
            </w:r>
          </w:p>
        </w:tc>
        <w:tc>
          <w:tcPr>
            <w:tcW w:w="1701"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both"/>
              <w:rPr>
                <w:sz w:val="22"/>
                <w:szCs w:val="22"/>
              </w:rPr>
            </w:pPr>
            <w:r>
              <w:rPr>
                <w:sz w:val="22"/>
                <w:szCs w:val="22"/>
              </w:rPr>
            </w:r>
          </w:p>
          <w:p>
            <w:pPr>
              <w:pStyle w:val="Normal"/>
              <w:jc w:val="both"/>
              <w:rPr/>
            </w:pPr>
            <w:r>
              <w:rPr>
                <w:sz w:val="22"/>
                <w:szCs w:val="22"/>
              </w:rPr>
              <w:t>Rien ne change, toujours payées au mois le mois.</w:t>
            </w:r>
          </w:p>
        </w:tc>
        <w:tc>
          <w:tcPr>
            <w:tcW w:w="25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napToGrid w:val="false"/>
              <w:jc w:val="both"/>
              <w:rPr>
                <w:sz w:val="22"/>
                <w:szCs w:val="22"/>
              </w:rPr>
            </w:pPr>
            <w:r>
              <w:rPr>
                <w:sz w:val="22"/>
                <w:szCs w:val="22"/>
              </w:rPr>
            </w:r>
          </w:p>
          <w:p>
            <w:pPr>
              <w:pStyle w:val="Normal"/>
              <w:jc w:val="both"/>
              <w:rPr>
                <w:sz w:val="22"/>
                <w:szCs w:val="22"/>
              </w:rPr>
            </w:pPr>
            <w:r>
              <w:rPr>
                <w:sz w:val="22"/>
                <w:szCs w:val="22"/>
              </w:rPr>
              <w:t>Rien ne change, toujours payer au mois le mois.</w:t>
            </w:r>
          </w:p>
        </w:tc>
      </w:tr>
      <w:tr>
        <w:trPr>
          <w:trHeight w:val="1134" w:hRule="atLeast"/>
          <w:cantSplit w:val="true"/>
        </w:trPr>
        <w:tc>
          <w:tcPr>
            <w:tcW w:w="482" w:type="dxa"/>
            <w:tcBorders>
              <w:top w:val="single" w:sz="4" w:space="0" w:color="000000"/>
              <w:left w:val="single" w:sz="4" w:space="0" w:color="000000"/>
              <w:bottom w:val="single" w:sz="4" w:space="0" w:color="000000"/>
              <w:insideH w:val="single" w:sz="4" w:space="0" w:color="000000"/>
            </w:tcBorders>
            <w:shd w:fill="auto" w:val="clear"/>
            <w:tcMar>
              <w:left w:w="103" w:type="dxa"/>
            </w:tcMar>
            <w:textDirection w:val="btLr"/>
          </w:tcPr>
          <w:p>
            <w:pPr>
              <w:pStyle w:val="Normal"/>
              <w:ind w:left="113" w:right="113" w:hanging="0"/>
              <w:jc w:val="center"/>
              <w:rPr>
                <w:sz w:val="22"/>
                <w:szCs w:val="22"/>
              </w:rPr>
            </w:pPr>
            <w:r>
              <w:rPr>
                <w:sz w:val="22"/>
                <w:szCs w:val="22"/>
              </w:rPr>
              <w:t>TEMPS COMPLET</w:t>
            </w:r>
          </w:p>
        </w:tc>
        <w:tc>
          <w:tcPr>
            <w:tcW w:w="236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sz w:val="22"/>
                <w:szCs w:val="22"/>
              </w:rPr>
            </w:pPr>
            <w:r>
              <w:rPr>
                <w:sz w:val="22"/>
                <w:szCs w:val="22"/>
              </w:rPr>
            </w:r>
          </w:p>
          <w:p>
            <w:pPr>
              <w:pStyle w:val="Normal"/>
              <w:jc w:val="center"/>
              <w:rPr>
                <w:sz w:val="22"/>
                <w:szCs w:val="22"/>
              </w:rPr>
            </w:pPr>
            <w:r>
              <w:rPr>
                <w:sz w:val="22"/>
                <w:szCs w:val="22"/>
              </w:rPr>
            </w:r>
          </w:p>
          <w:p>
            <w:pPr>
              <w:pStyle w:val="Normal"/>
              <w:jc w:val="center"/>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jc w:val="center"/>
              <w:rPr>
                <w:sz w:val="22"/>
                <w:szCs w:val="22"/>
              </w:rPr>
            </w:pPr>
            <w:r>
              <w:rPr>
                <w:sz w:val="22"/>
                <w:szCs w:val="22"/>
              </w:rPr>
              <w:t>HEURES</w:t>
            </w:r>
          </w:p>
          <w:p>
            <w:pPr>
              <w:pStyle w:val="Normal"/>
              <w:jc w:val="center"/>
              <w:rPr>
                <w:sz w:val="22"/>
                <w:szCs w:val="22"/>
              </w:rPr>
            </w:pPr>
            <w:r>
              <w:rPr>
                <w:sz w:val="22"/>
                <w:szCs w:val="22"/>
              </w:rPr>
              <w:t>SUPPLEMENTAIRES</w:t>
            </w:r>
          </w:p>
          <w:p>
            <w:pPr>
              <w:pStyle w:val="Normal"/>
              <w:jc w:val="center"/>
              <w:rPr>
                <w:sz w:val="22"/>
                <w:szCs w:val="22"/>
              </w:rPr>
            </w:pPr>
            <w:r>
              <w:rPr>
                <w:sz w:val="22"/>
                <w:szCs w:val="22"/>
              </w:rPr>
            </w:r>
          </w:p>
          <w:p>
            <w:pPr>
              <w:pStyle w:val="Normal"/>
              <w:jc w:val="center"/>
              <w:rPr>
                <w:sz w:val="22"/>
                <w:szCs w:val="22"/>
              </w:rPr>
            </w:pPr>
            <w:r>
              <w:rPr>
                <w:sz w:val="22"/>
                <w:szCs w:val="22"/>
              </w:rPr>
            </w:r>
          </w:p>
          <w:p>
            <w:pPr>
              <w:pStyle w:val="Normal"/>
              <w:jc w:val="center"/>
              <w:rPr>
                <w:sz w:val="22"/>
                <w:szCs w:val="22"/>
              </w:rPr>
            </w:pPr>
            <w:r>
              <w:rPr>
                <w:sz w:val="22"/>
                <w:szCs w:val="22"/>
              </w:rPr>
            </w:r>
          </w:p>
          <w:p>
            <w:pPr>
              <w:pStyle w:val="Normal"/>
              <w:jc w:val="center"/>
              <w:rPr>
                <w:sz w:val="22"/>
                <w:szCs w:val="22"/>
              </w:rPr>
            </w:pPr>
            <w:r>
              <w:rPr>
                <w:sz w:val="22"/>
                <w:szCs w:val="22"/>
              </w:rPr>
            </w:r>
          </w:p>
          <w:p>
            <w:pPr>
              <w:pStyle w:val="Normal"/>
              <w:jc w:val="center"/>
              <w:rPr>
                <w:sz w:val="22"/>
                <w:szCs w:val="22"/>
              </w:rPr>
            </w:pPr>
            <w:r>
              <w:rPr>
                <w:sz w:val="22"/>
                <w:szCs w:val="22"/>
              </w:rPr>
            </w:r>
          </w:p>
        </w:tc>
        <w:tc>
          <w:tcPr>
            <w:tcW w:w="2112"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both"/>
              <w:rPr>
                <w:sz w:val="22"/>
                <w:szCs w:val="22"/>
              </w:rPr>
            </w:pPr>
            <w:r>
              <w:rPr>
                <w:sz w:val="22"/>
                <w:szCs w:val="22"/>
              </w:rPr>
            </w:r>
          </w:p>
          <w:p>
            <w:pPr>
              <w:pStyle w:val="Normal"/>
              <w:jc w:val="both"/>
              <w:rPr>
                <w:sz w:val="22"/>
                <w:szCs w:val="22"/>
              </w:rPr>
            </w:pPr>
            <w:r>
              <w:rPr>
                <w:sz w:val="22"/>
                <w:szCs w:val="22"/>
              </w:rPr>
              <w:t>25% = toutes heures faites au-delà des 151.67H</w:t>
            </w:r>
          </w:p>
        </w:tc>
        <w:tc>
          <w:tcPr>
            <w:tcW w:w="3260" w:type="dxa"/>
            <w:vMerge w:val="continue"/>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both"/>
              <w:rPr>
                <w:sz w:val="22"/>
                <w:szCs w:val="22"/>
              </w:rPr>
            </w:pPr>
            <w:r>
              <w:rPr>
                <w:sz w:val="22"/>
                <w:szCs w:val="22"/>
              </w:rPr>
            </w:r>
          </w:p>
        </w:tc>
        <w:tc>
          <w:tcPr>
            <w:tcW w:w="3544" w:type="dxa"/>
            <w:vMerge w:val="continue"/>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both"/>
              <w:rPr>
                <w:sz w:val="22"/>
                <w:szCs w:val="22"/>
              </w:rPr>
            </w:pPr>
            <w:r>
              <w:rPr>
                <w:sz w:val="22"/>
                <w:szCs w:val="22"/>
              </w:rPr>
            </w:r>
          </w:p>
        </w:tc>
        <w:tc>
          <w:tcPr>
            <w:tcW w:w="1701"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both"/>
              <w:rPr>
                <w:sz w:val="22"/>
                <w:szCs w:val="22"/>
              </w:rPr>
            </w:pPr>
            <w:r>
              <w:rPr>
                <w:sz w:val="22"/>
                <w:szCs w:val="22"/>
              </w:rPr>
            </w:r>
          </w:p>
          <w:p>
            <w:pPr>
              <w:pStyle w:val="Normal"/>
              <w:jc w:val="both"/>
              <w:rPr>
                <w:sz w:val="22"/>
                <w:szCs w:val="22"/>
              </w:rPr>
            </w:pPr>
            <w:r>
              <w:rPr>
                <w:sz w:val="22"/>
                <w:szCs w:val="22"/>
              </w:rPr>
              <w:t>7H stockées/mois = dans la limite de 70heures.</w:t>
            </w:r>
          </w:p>
          <w:p>
            <w:pPr>
              <w:pStyle w:val="Normal"/>
              <w:jc w:val="both"/>
              <w:rPr>
                <w:sz w:val="22"/>
                <w:szCs w:val="22"/>
              </w:rPr>
            </w:pPr>
            <w:r>
              <w:rPr>
                <w:sz w:val="22"/>
                <w:szCs w:val="22"/>
              </w:rPr>
            </w:r>
          </w:p>
          <w:p>
            <w:pPr>
              <w:pStyle w:val="Normal"/>
              <w:jc w:val="both"/>
              <w:rPr>
                <w:sz w:val="22"/>
                <w:szCs w:val="22"/>
              </w:rPr>
            </w:pPr>
            <w:r>
              <w:rPr>
                <w:sz w:val="22"/>
                <w:szCs w:val="22"/>
              </w:rPr>
              <w:t>Les heures stockées serviront à combler l’insuffisance en fin d’année ou d’être rémunérées sur le bulletin de salaires du mois de Janvier N+1 (paiement 07/02).</w:t>
            </w:r>
          </w:p>
          <w:p>
            <w:pPr>
              <w:pStyle w:val="Normal"/>
              <w:jc w:val="both"/>
              <w:rPr>
                <w:sz w:val="22"/>
                <w:szCs w:val="22"/>
              </w:rPr>
            </w:pPr>
            <w:r>
              <w:rPr>
                <w:sz w:val="22"/>
                <w:szCs w:val="22"/>
              </w:rPr>
            </w:r>
          </w:p>
        </w:tc>
        <w:tc>
          <w:tcPr>
            <w:tcW w:w="25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snapToGrid w:val="false"/>
              <w:jc w:val="both"/>
              <w:rPr>
                <w:sz w:val="22"/>
                <w:szCs w:val="22"/>
              </w:rPr>
            </w:pPr>
            <w:r>
              <w:rPr>
                <w:sz w:val="22"/>
                <w:szCs w:val="22"/>
              </w:rPr>
            </w:r>
          </w:p>
          <w:p>
            <w:pPr>
              <w:pStyle w:val="Normal"/>
              <w:jc w:val="both"/>
              <w:rPr>
                <w:sz w:val="22"/>
                <w:szCs w:val="22"/>
              </w:rPr>
            </w:pPr>
            <w:r>
              <w:rPr>
                <w:sz w:val="22"/>
                <w:szCs w:val="22"/>
              </w:rPr>
              <w:t>Rien ne change, toujours payer au mois le mois.</w:t>
            </w:r>
          </w:p>
        </w:tc>
      </w:tr>
    </w:tbl>
    <w:p>
      <w:pPr>
        <w:sectPr>
          <w:headerReference w:type="default" r:id="rId4"/>
          <w:footerReference w:type="default" r:id="rId5"/>
          <w:type w:val="nextPage"/>
          <w:pgSz w:orient="landscape" w:w="16838" w:h="11906"/>
          <w:pgMar w:left="2269" w:right="1258" w:header="708" w:top="1417" w:footer="708" w:bottom="1417" w:gutter="0"/>
          <w:pgNumType w:fmt="decimal"/>
          <w:formProt w:val="false"/>
          <w:textDirection w:val="lrTb"/>
          <w:docGrid w:type="default" w:linePitch="360" w:charSpace="0"/>
        </w:sectPr>
      </w:pPr>
    </w:p>
    <w:p>
      <w:pPr>
        <w:pStyle w:val="Normal"/>
        <w:jc w:val="both"/>
        <w:rPr>
          <w:rFonts w:ascii="Arial" w:hAnsi="Arial" w:cs="Arial"/>
          <w:sz w:val="20"/>
        </w:rPr>
      </w:pPr>
      <w:r>
        <w:rPr>
          <w:rFonts w:cs="Arial" w:ascii="Arial" w:hAnsi="Arial"/>
          <w:sz w:val="20"/>
        </w:rPr>
        <w:t>Exemples :</w:t>
      </w:r>
    </w:p>
    <w:p>
      <w:pPr>
        <w:pStyle w:val="Normal"/>
        <w:jc w:val="both"/>
        <w:rPr>
          <w:rFonts w:ascii="Arial" w:hAnsi="Arial" w:cs="Arial"/>
          <w:sz w:val="20"/>
        </w:rPr>
      </w:pPr>
      <w:r>
        <w:rPr>
          <w:rFonts w:cs="Arial" w:ascii="Arial" w:hAnsi="Arial"/>
          <w:sz w:val="20"/>
        </w:rPr>
      </w:r>
    </w:p>
    <w:p>
      <w:pPr>
        <w:pStyle w:val="Normal"/>
        <w:numPr>
          <w:ilvl w:val="0"/>
          <w:numId w:val="3"/>
        </w:numPr>
        <w:jc w:val="both"/>
        <w:rPr>
          <w:rFonts w:ascii="Arial" w:hAnsi="Arial" w:cs="Arial"/>
          <w:sz w:val="20"/>
        </w:rPr>
      </w:pPr>
      <w:r>
        <w:rPr>
          <w:rFonts w:cs="Arial" w:ascii="Arial" w:hAnsi="Arial"/>
          <w:sz w:val="20"/>
        </w:rPr>
        <w:t>Pour un temps complet :</w:t>
      </w:r>
    </w:p>
    <w:p>
      <w:pPr>
        <w:pStyle w:val="Normal"/>
        <w:jc w:val="both"/>
        <w:rPr>
          <w:rFonts w:ascii="Arial" w:hAnsi="Arial" w:cs="Arial"/>
          <w:sz w:val="20"/>
        </w:rPr>
      </w:pPr>
      <w:r>
        <w:rPr>
          <w:rFonts w:cs="Arial" w:ascii="Arial" w:hAnsi="Arial"/>
          <w:sz w:val="20"/>
        </w:rPr>
      </w:r>
    </w:p>
    <w:tbl>
      <w:tblPr>
        <w:tblW w:w="9298" w:type="dxa"/>
        <w:jc w:val="left"/>
        <w:tblInd w:w="-5"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1661"/>
        <w:gridCol w:w="2416"/>
        <w:gridCol w:w="2694"/>
        <w:gridCol w:w="2527"/>
      </w:tblGrid>
      <w:tr>
        <w:trPr/>
        <w:tc>
          <w:tcPr>
            <w:tcW w:w="1661"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JANVIER N+1</w:t>
            </w:r>
          </w:p>
        </w:tc>
        <w:tc>
          <w:tcPr>
            <w:tcW w:w="241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jc w:val="center"/>
              <w:rPr>
                <w:sz w:val="22"/>
                <w:szCs w:val="22"/>
              </w:rPr>
            </w:pPr>
            <w:r>
              <w:rPr>
                <w:sz w:val="22"/>
                <w:szCs w:val="22"/>
              </w:rPr>
              <w:t>FICHE ABC</w:t>
            </w:r>
          </w:p>
        </w:tc>
        <w:tc>
          <w:tcPr>
            <w:tcW w:w="2694"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jc w:val="center"/>
              <w:rPr>
                <w:sz w:val="22"/>
                <w:szCs w:val="22"/>
              </w:rPr>
            </w:pPr>
            <w:r>
              <w:rPr>
                <w:sz w:val="22"/>
                <w:szCs w:val="22"/>
              </w:rPr>
              <w:t>FICHE DE PAIE</w:t>
            </w:r>
          </w:p>
        </w:tc>
        <w:tc>
          <w:tcPr>
            <w:tcW w:w="252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center"/>
              <w:rPr>
                <w:sz w:val="22"/>
                <w:szCs w:val="22"/>
              </w:rPr>
            </w:pPr>
            <w:r>
              <w:rPr>
                <w:sz w:val="22"/>
                <w:szCs w:val="22"/>
              </w:rPr>
              <w:t>COMPTEURS</w:t>
            </w:r>
          </w:p>
        </w:tc>
      </w:tr>
      <w:tr>
        <w:trPr/>
        <w:tc>
          <w:tcPr>
            <w:tcW w:w="1661"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HEURES</w:t>
            </w:r>
          </w:p>
        </w:tc>
        <w:tc>
          <w:tcPr>
            <w:tcW w:w="241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jc w:val="center"/>
              <w:rPr>
                <w:sz w:val="22"/>
                <w:szCs w:val="22"/>
              </w:rPr>
            </w:pPr>
            <w:r>
              <w:rPr>
                <w:sz w:val="22"/>
                <w:szCs w:val="22"/>
              </w:rPr>
              <w:t>175 HEURES</w:t>
            </w:r>
          </w:p>
        </w:tc>
        <w:tc>
          <w:tcPr>
            <w:tcW w:w="2694"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jc w:val="center"/>
              <w:rPr>
                <w:sz w:val="22"/>
                <w:szCs w:val="22"/>
              </w:rPr>
            </w:pPr>
            <w:r>
              <w:rPr>
                <w:sz w:val="22"/>
                <w:szCs w:val="22"/>
              </w:rPr>
              <w:t>151.67 HEURES</w:t>
            </w:r>
          </w:p>
        </w:tc>
        <w:tc>
          <w:tcPr>
            <w:tcW w:w="252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FBFBF" w:val="clear"/>
            <w:tcMar>
              <w:left w:w="103" w:type="dxa"/>
            </w:tcMar>
          </w:tcPr>
          <w:p>
            <w:pPr>
              <w:pStyle w:val="Normal"/>
              <w:snapToGrid w:val="false"/>
              <w:jc w:val="center"/>
              <w:rPr>
                <w:sz w:val="22"/>
                <w:szCs w:val="22"/>
              </w:rPr>
            </w:pPr>
            <w:r>
              <w:rPr>
                <w:sz w:val="22"/>
                <w:szCs w:val="22"/>
              </w:rPr>
            </w:r>
          </w:p>
        </w:tc>
      </w:tr>
      <w:tr>
        <w:trPr/>
        <w:tc>
          <w:tcPr>
            <w:tcW w:w="1661"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HEURES SUPP</w:t>
            </w:r>
          </w:p>
        </w:tc>
        <w:tc>
          <w:tcPr>
            <w:tcW w:w="2416" w:type="dxa"/>
            <w:tcBorders>
              <w:top w:val="single" w:sz="4" w:space="0" w:color="000000"/>
              <w:left w:val="single" w:sz="4" w:space="0" w:color="000000"/>
              <w:bottom w:val="single" w:sz="4" w:space="0" w:color="000000"/>
              <w:insideH w:val="single" w:sz="4" w:space="0" w:color="000000"/>
            </w:tcBorders>
            <w:shd w:fill="BFBFBF" w:val="clear"/>
            <w:tcMar>
              <w:left w:w="103" w:type="dxa"/>
            </w:tcMar>
            <w:vAlign w:val="center"/>
          </w:tcPr>
          <w:p>
            <w:pPr>
              <w:pStyle w:val="Normal"/>
              <w:snapToGrid w:val="false"/>
              <w:jc w:val="center"/>
              <w:rPr>
                <w:sz w:val="22"/>
                <w:szCs w:val="22"/>
              </w:rPr>
            </w:pPr>
            <w:r>
              <w:rPr>
                <w:sz w:val="22"/>
                <w:szCs w:val="22"/>
              </w:rPr>
            </w:r>
          </w:p>
        </w:tc>
        <w:tc>
          <w:tcPr>
            <w:tcW w:w="2694"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jc w:val="center"/>
              <w:rPr>
                <w:sz w:val="22"/>
                <w:szCs w:val="22"/>
              </w:rPr>
            </w:pPr>
            <w:r>
              <w:rPr>
                <w:sz w:val="22"/>
                <w:szCs w:val="22"/>
              </w:rPr>
              <w:t>23.33 HEURES</w:t>
            </w:r>
          </w:p>
        </w:tc>
        <w:tc>
          <w:tcPr>
            <w:tcW w:w="252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FBFBF" w:val="clear"/>
            <w:tcMar>
              <w:left w:w="103" w:type="dxa"/>
            </w:tcMar>
          </w:tcPr>
          <w:p>
            <w:pPr>
              <w:pStyle w:val="Normal"/>
              <w:snapToGrid w:val="false"/>
              <w:jc w:val="center"/>
              <w:rPr>
                <w:sz w:val="22"/>
                <w:szCs w:val="22"/>
                <w:highlight w:val="darkGray"/>
              </w:rPr>
            </w:pPr>
            <w:r>
              <w:rPr>
                <w:sz w:val="22"/>
                <w:szCs w:val="22"/>
                <w:highlight w:val="darkGray"/>
              </w:rPr>
            </w:r>
          </w:p>
        </w:tc>
      </w:tr>
      <w:tr>
        <w:trPr/>
        <w:tc>
          <w:tcPr>
            <w:tcW w:w="1661"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COUPURE</w:t>
            </w:r>
          </w:p>
        </w:tc>
        <w:tc>
          <w:tcPr>
            <w:tcW w:w="241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jc w:val="center"/>
              <w:rPr>
                <w:sz w:val="22"/>
                <w:szCs w:val="22"/>
              </w:rPr>
            </w:pPr>
            <w:r>
              <w:rPr>
                <w:sz w:val="22"/>
                <w:szCs w:val="22"/>
              </w:rPr>
              <w:t>20 HEURES</w:t>
            </w:r>
          </w:p>
        </w:tc>
        <w:tc>
          <w:tcPr>
            <w:tcW w:w="2694"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jc w:val="center"/>
              <w:rPr/>
            </w:pPr>
            <w:r>
              <w:rPr>
                <w:sz w:val="22"/>
                <w:szCs w:val="22"/>
              </w:rPr>
              <w:t xml:space="preserve">20 HEURES </w:t>
            </w:r>
          </w:p>
        </w:tc>
        <w:tc>
          <w:tcPr>
            <w:tcW w:w="252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FBFBF" w:val="clear"/>
            <w:tcMar>
              <w:left w:w="103" w:type="dxa"/>
            </w:tcMar>
          </w:tcPr>
          <w:p>
            <w:pPr>
              <w:pStyle w:val="Normal"/>
              <w:snapToGrid w:val="false"/>
              <w:jc w:val="center"/>
              <w:rPr>
                <w:sz w:val="22"/>
                <w:szCs w:val="22"/>
                <w:highlight w:val="darkGray"/>
              </w:rPr>
            </w:pPr>
            <w:r>
              <w:rPr>
                <w:sz w:val="22"/>
                <w:szCs w:val="22"/>
                <w:highlight w:val="darkGray"/>
              </w:rPr>
            </w:r>
          </w:p>
        </w:tc>
      </w:tr>
      <w:tr>
        <w:trPr/>
        <w:tc>
          <w:tcPr>
            <w:tcW w:w="1661"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AMPLITUDE</w:t>
            </w:r>
          </w:p>
        </w:tc>
        <w:tc>
          <w:tcPr>
            <w:tcW w:w="2416"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jc w:val="center"/>
              <w:rPr>
                <w:sz w:val="22"/>
                <w:szCs w:val="22"/>
              </w:rPr>
            </w:pPr>
            <w:r>
              <w:rPr>
                <w:sz w:val="22"/>
                <w:szCs w:val="22"/>
              </w:rPr>
              <w:t>13 HEURES</w:t>
            </w:r>
          </w:p>
        </w:tc>
        <w:tc>
          <w:tcPr>
            <w:tcW w:w="2694" w:type="dxa"/>
            <w:tcBorders>
              <w:top w:val="single" w:sz="4" w:space="0" w:color="000000"/>
              <w:left w:val="single" w:sz="4" w:space="0" w:color="000000"/>
              <w:bottom w:val="single" w:sz="4" w:space="0" w:color="000000"/>
              <w:insideH w:val="single" w:sz="4" w:space="0" w:color="000000"/>
            </w:tcBorders>
            <w:shd w:fill="auto" w:val="clear"/>
            <w:tcMar>
              <w:left w:w="103" w:type="dxa"/>
            </w:tcMar>
            <w:vAlign w:val="center"/>
          </w:tcPr>
          <w:p>
            <w:pPr>
              <w:pStyle w:val="Normal"/>
              <w:jc w:val="center"/>
              <w:rPr/>
            </w:pPr>
            <w:r>
              <w:rPr>
                <w:sz w:val="22"/>
                <w:szCs w:val="22"/>
              </w:rPr>
              <w:t>6 HEURES</w:t>
            </w:r>
          </w:p>
        </w:tc>
        <w:tc>
          <w:tcPr>
            <w:tcW w:w="252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center"/>
              <w:rPr>
                <w:sz w:val="22"/>
                <w:szCs w:val="22"/>
              </w:rPr>
            </w:pPr>
            <w:r>
              <w:rPr>
                <w:sz w:val="22"/>
                <w:szCs w:val="22"/>
              </w:rPr>
              <w:t>7 HEURES</w:t>
            </w:r>
          </w:p>
        </w:tc>
      </w:tr>
    </w:tbl>
    <w:p>
      <w:pPr>
        <w:pStyle w:val="Normal"/>
        <w:jc w:val="both"/>
        <w:rPr>
          <w:rFonts w:ascii="Arial" w:hAnsi="Arial" w:cs="Arial"/>
          <w:sz w:val="20"/>
        </w:rPr>
      </w:pPr>
      <w:r>
        <w:rPr>
          <w:rFonts w:cs="Arial" w:ascii="Arial" w:hAnsi="Arial"/>
          <w:sz w:val="20"/>
        </w:rPr>
      </w:r>
    </w:p>
    <w:tbl>
      <w:tblPr>
        <w:tblW w:w="9222" w:type="dxa"/>
        <w:jc w:val="left"/>
        <w:tblInd w:w="-5"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1668"/>
        <w:gridCol w:w="2409"/>
        <w:gridCol w:w="2694"/>
        <w:gridCol w:w="2451"/>
      </w:tblGrid>
      <w:tr>
        <w:trPr/>
        <w:tc>
          <w:tcPr>
            <w:tcW w:w="166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FEVRIER N+1</w:t>
            </w:r>
          </w:p>
        </w:tc>
        <w:tc>
          <w:tcPr>
            <w:tcW w:w="2409"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FICHE ABC</w:t>
            </w:r>
          </w:p>
        </w:tc>
        <w:tc>
          <w:tcPr>
            <w:tcW w:w="2694"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FICHE DE PAIE</w:t>
            </w:r>
          </w:p>
        </w:tc>
        <w:tc>
          <w:tcPr>
            <w:tcW w:w="245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center"/>
              <w:rPr>
                <w:sz w:val="22"/>
                <w:szCs w:val="22"/>
              </w:rPr>
            </w:pPr>
            <w:r>
              <w:rPr>
                <w:sz w:val="22"/>
                <w:szCs w:val="22"/>
              </w:rPr>
              <w:t>COMPTEURS</w:t>
            </w:r>
          </w:p>
        </w:tc>
      </w:tr>
      <w:tr>
        <w:trPr/>
        <w:tc>
          <w:tcPr>
            <w:tcW w:w="166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HEURES</w:t>
            </w:r>
          </w:p>
        </w:tc>
        <w:tc>
          <w:tcPr>
            <w:tcW w:w="2409"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120 HEURES</w:t>
            </w:r>
          </w:p>
        </w:tc>
        <w:tc>
          <w:tcPr>
            <w:tcW w:w="2694"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151.67 HEURES</w:t>
            </w:r>
          </w:p>
        </w:tc>
        <w:tc>
          <w:tcPr>
            <w:tcW w:w="245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FBFBF" w:val="clear"/>
            <w:tcMar>
              <w:left w:w="103" w:type="dxa"/>
            </w:tcMar>
          </w:tcPr>
          <w:p>
            <w:pPr>
              <w:pStyle w:val="Normal"/>
              <w:snapToGrid w:val="false"/>
              <w:jc w:val="center"/>
              <w:rPr>
                <w:sz w:val="22"/>
                <w:szCs w:val="22"/>
              </w:rPr>
            </w:pPr>
            <w:r>
              <w:rPr>
                <w:sz w:val="22"/>
                <w:szCs w:val="22"/>
              </w:rPr>
            </w:r>
          </w:p>
        </w:tc>
      </w:tr>
      <w:tr>
        <w:trPr/>
        <w:tc>
          <w:tcPr>
            <w:tcW w:w="166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HEURES SUPP</w:t>
            </w:r>
          </w:p>
        </w:tc>
        <w:tc>
          <w:tcPr>
            <w:tcW w:w="2409" w:type="dxa"/>
            <w:tcBorders>
              <w:top w:val="single" w:sz="4" w:space="0" w:color="000000"/>
              <w:left w:val="single" w:sz="4" w:space="0" w:color="000000"/>
              <w:bottom w:val="single" w:sz="4" w:space="0" w:color="000000"/>
              <w:insideH w:val="single" w:sz="4" w:space="0" w:color="000000"/>
            </w:tcBorders>
            <w:shd w:fill="BFBFBF" w:val="clear"/>
            <w:tcMar>
              <w:left w:w="103" w:type="dxa"/>
            </w:tcMar>
          </w:tcPr>
          <w:p>
            <w:pPr>
              <w:pStyle w:val="Normal"/>
              <w:snapToGrid w:val="false"/>
              <w:jc w:val="center"/>
              <w:rPr>
                <w:sz w:val="22"/>
                <w:szCs w:val="22"/>
              </w:rPr>
            </w:pPr>
            <w:r>
              <w:rPr>
                <w:sz w:val="22"/>
                <w:szCs w:val="22"/>
              </w:rPr>
            </w:r>
          </w:p>
        </w:tc>
        <w:tc>
          <w:tcPr>
            <w:tcW w:w="2694" w:type="dxa"/>
            <w:tcBorders>
              <w:top w:val="single" w:sz="4" w:space="0" w:color="000000"/>
              <w:left w:val="single" w:sz="4" w:space="0" w:color="000000"/>
              <w:bottom w:val="single" w:sz="4" w:space="0" w:color="000000"/>
              <w:insideH w:val="single" w:sz="4" w:space="0" w:color="000000"/>
            </w:tcBorders>
            <w:shd w:fill="BFBFBF" w:val="clear"/>
            <w:tcMar>
              <w:left w:w="103" w:type="dxa"/>
            </w:tcMar>
          </w:tcPr>
          <w:p>
            <w:pPr>
              <w:pStyle w:val="Normal"/>
              <w:snapToGrid w:val="false"/>
              <w:jc w:val="center"/>
              <w:rPr>
                <w:sz w:val="22"/>
                <w:szCs w:val="22"/>
              </w:rPr>
            </w:pPr>
            <w:r>
              <w:rPr>
                <w:sz w:val="22"/>
                <w:szCs w:val="22"/>
              </w:rPr>
            </w:r>
          </w:p>
        </w:tc>
        <w:tc>
          <w:tcPr>
            <w:tcW w:w="245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FBFBF" w:val="clear"/>
            <w:tcMar>
              <w:left w:w="103" w:type="dxa"/>
            </w:tcMar>
          </w:tcPr>
          <w:p>
            <w:pPr>
              <w:pStyle w:val="Normal"/>
              <w:snapToGrid w:val="false"/>
              <w:jc w:val="center"/>
              <w:rPr>
                <w:sz w:val="22"/>
                <w:szCs w:val="22"/>
              </w:rPr>
            </w:pPr>
            <w:r>
              <w:rPr>
                <w:sz w:val="22"/>
                <w:szCs w:val="22"/>
              </w:rPr>
            </w:r>
          </w:p>
        </w:tc>
      </w:tr>
      <w:tr>
        <w:trPr>
          <w:trHeight w:val="122" w:hRule="atLeast"/>
        </w:trPr>
        <w:tc>
          <w:tcPr>
            <w:tcW w:w="166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COUPURE</w:t>
            </w:r>
          </w:p>
        </w:tc>
        <w:tc>
          <w:tcPr>
            <w:tcW w:w="2409"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6 HEURES</w:t>
            </w:r>
          </w:p>
        </w:tc>
        <w:tc>
          <w:tcPr>
            <w:tcW w:w="2694"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6 HEURES</w:t>
            </w:r>
          </w:p>
        </w:tc>
        <w:tc>
          <w:tcPr>
            <w:tcW w:w="245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FBFBF" w:val="clear"/>
            <w:tcMar>
              <w:left w:w="103" w:type="dxa"/>
            </w:tcMar>
          </w:tcPr>
          <w:p>
            <w:pPr>
              <w:pStyle w:val="Normal"/>
              <w:snapToGrid w:val="false"/>
              <w:jc w:val="center"/>
              <w:rPr>
                <w:sz w:val="22"/>
                <w:szCs w:val="22"/>
              </w:rPr>
            </w:pPr>
            <w:r>
              <w:rPr>
                <w:sz w:val="22"/>
                <w:szCs w:val="22"/>
              </w:rPr>
            </w:r>
          </w:p>
        </w:tc>
      </w:tr>
      <w:tr>
        <w:trPr/>
        <w:tc>
          <w:tcPr>
            <w:tcW w:w="166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AMPLITUDE</w:t>
            </w:r>
          </w:p>
        </w:tc>
        <w:tc>
          <w:tcPr>
            <w:tcW w:w="2409"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5 HEURES</w:t>
            </w:r>
          </w:p>
        </w:tc>
        <w:tc>
          <w:tcPr>
            <w:tcW w:w="2694" w:type="dxa"/>
            <w:tcBorders>
              <w:top w:val="single" w:sz="4" w:space="0" w:color="000000"/>
              <w:left w:val="single" w:sz="4" w:space="0" w:color="000000"/>
              <w:bottom w:val="single" w:sz="4" w:space="0" w:color="000000"/>
              <w:insideH w:val="single" w:sz="4" w:space="0" w:color="000000"/>
            </w:tcBorders>
            <w:shd w:fill="BFBFBF" w:val="clear"/>
            <w:tcMar>
              <w:left w:w="103" w:type="dxa"/>
            </w:tcMar>
          </w:tcPr>
          <w:p>
            <w:pPr>
              <w:pStyle w:val="Normal"/>
              <w:snapToGrid w:val="false"/>
              <w:rPr>
                <w:sz w:val="22"/>
                <w:szCs w:val="22"/>
              </w:rPr>
            </w:pPr>
            <w:r>
              <w:rPr>
                <w:sz w:val="22"/>
                <w:szCs w:val="22"/>
              </w:rPr>
            </w:r>
          </w:p>
        </w:tc>
        <w:tc>
          <w:tcPr>
            <w:tcW w:w="245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tcMar>
              <w:left w:w="103" w:type="dxa"/>
            </w:tcMar>
          </w:tcPr>
          <w:p>
            <w:pPr>
              <w:pStyle w:val="Normal"/>
              <w:jc w:val="center"/>
              <w:rPr>
                <w:sz w:val="22"/>
                <w:szCs w:val="22"/>
              </w:rPr>
            </w:pPr>
            <w:r>
              <w:rPr>
                <w:sz w:val="22"/>
                <w:szCs w:val="22"/>
              </w:rPr>
              <w:t>5 HEURES</w:t>
            </w:r>
          </w:p>
        </w:tc>
      </w:tr>
    </w:tbl>
    <w:p>
      <w:pPr>
        <w:pStyle w:val="Normal"/>
        <w:jc w:val="both"/>
        <w:rPr>
          <w:rFonts w:ascii="Arial" w:hAnsi="Arial" w:cs="Arial"/>
          <w:sz w:val="20"/>
        </w:rPr>
      </w:pPr>
      <w:r>
        <w:rPr>
          <w:rFonts w:cs="Arial" w:ascii="Arial" w:hAnsi="Arial"/>
          <w:sz w:val="20"/>
        </w:rPr>
      </w:r>
    </w:p>
    <w:p>
      <w:pPr>
        <w:pStyle w:val="Normal"/>
        <w:jc w:val="both"/>
        <w:rPr>
          <w:rFonts w:ascii="Arial" w:hAnsi="Arial" w:cs="Arial"/>
          <w:sz w:val="20"/>
        </w:rPr>
      </w:pPr>
      <w:r>
        <w:rPr>
          <w:rFonts w:cs="Arial" w:ascii="Arial" w:hAnsi="Arial"/>
          <w:sz w:val="20"/>
        </w:rPr>
      </w:r>
    </w:p>
    <w:p>
      <w:pPr>
        <w:pStyle w:val="Normal"/>
        <w:numPr>
          <w:ilvl w:val="0"/>
          <w:numId w:val="3"/>
        </w:numPr>
        <w:jc w:val="both"/>
        <w:rPr>
          <w:rFonts w:ascii="Arial" w:hAnsi="Arial" w:cs="Arial"/>
          <w:sz w:val="20"/>
        </w:rPr>
      </w:pPr>
      <w:r>
        <w:rPr>
          <w:rFonts w:cs="Arial" w:ascii="Arial" w:hAnsi="Arial"/>
          <w:sz w:val="20"/>
        </w:rPr>
        <w:t>Pour un temps partiel : Heures contrat : 120heures</w:t>
      </w:r>
    </w:p>
    <w:p>
      <w:pPr>
        <w:pStyle w:val="Normal"/>
        <w:jc w:val="both"/>
        <w:rPr>
          <w:rFonts w:ascii="Arial" w:hAnsi="Arial" w:cs="Arial"/>
          <w:sz w:val="20"/>
        </w:rPr>
      </w:pPr>
      <w:r>
        <w:rPr>
          <w:rFonts w:cs="Arial" w:ascii="Arial" w:hAnsi="Arial"/>
          <w:sz w:val="20"/>
        </w:rPr>
      </w:r>
    </w:p>
    <w:tbl>
      <w:tblPr>
        <w:tblW w:w="9222" w:type="dxa"/>
        <w:jc w:val="left"/>
        <w:tblInd w:w="-5"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2518"/>
        <w:gridCol w:w="2410"/>
        <w:gridCol w:w="2268"/>
        <w:gridCol w:w="2026"/>
      </w:tblGrid>
      <w:tr>
        <w:trPr/>
        <w:tc>
          <w:tcPr>
            <w:tcW w:w="251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JANVIER N+1</w:t>
            </w:r>
          </w:p>
        </w:tc>
        <w:tc>
          <w:tcPr>
            <w:tcW w:w="2410"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FICHE ABC</w:t>
            </w:r>
          </w:p>
        </w:tc>
        <w:tc>
          <w:tcPr>
            <w:tcW w:w="226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FICHE DE PAIE</w:t>
            </w:r>
          </w:p>
        </w:tc>
        <w:tc>
          <w:tcPr>
            <w:tcW w:w="202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center"/>
              <w:rPr>
                <w:sz w:val="22"/>
                <w:szCs w:val="22"/>
              </w:rPr>
            </w:pPr>
            <w:r>
              <w:rPr>
                <w:sz w:val="22"/>
                <w:szCs w:val="22"/>
              </w:rPr>
              <w:t>COMPTEURS</w:t>
            </w:r>
          </w:p>
        </w:tc>
      </w:tr>
      <w:tr>
        <w:trPr/>
        <w:tc>
          <w:tcPr>
            <w:tcW w:w="251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HEURES</w:t>
            </w:r>
          </w:p>
        </w:tc>
        <w:tc>
          <w:tcPr>
            <w:tcW w:w="2410"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140 HEURES</w:t>
            </w:r>
          </w:p>
        </w:tc>
        <w:tc>
          <w:tcPr>
            <w:tcW w:w="226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120 HEURES</w:t>
            </w:r>
          </w:p>
        </w:tc>
        <w:tc>
          <w:tcPr>
            <w:tcW w:w="202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FBFBF" w:val="clear"/>
            <w:tcMar>
              <w:left w:w="103" w:type="dxa"/>
            </w:tcMar>
          </w:tcPr>
          <w:p>
            <w:pPr>
              <w:pStyle w:val="Normal"/>
              <w:snapToGrid w:val="false"/>
              <w:jc w:val="center"/>
              <w:rPr>
                <w:sz w:val="22"/>
                <w:szCs w:val="22"/>
              </w:rPr>
            </w:pPr>
            <w:r>
              <w:rPr>
                <w:sz w:val="22"/>
                <w:szCs w:val="22"/>
              </w:rPr>
            </w:r>
          </w:p>
        </w:tc>
      </w:tr>
      <w:tr>
        <w:trPr/>
        <w:tc>
          <w:tcPr>
            <w:tcW w:w="251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HEURES COMPL 10%</w:t>
            </w:r>
          </w:p>
        </w:tc>
        <w:tc>
          <w:tcPr>
            <w:tcW w:w="2410" w:type="dxa"/>
            <w:tcBorders>
              <w:top w:val="single" w:sz="4" w:space="0" w:color="000000"/>
              <w:left w:val="single" w:sz="4" w:space="0" w:color="000000"/>
              <w:bottom w:val="single" w:sz="4" w:space="0" w:color="000000"/>
              <w:insideH w:val="single" w:sz="4" w:space="0" w:color="000000"/>
            </w:tcBorders>
            <w:shd w:fill="BFBFBF" w:val="clear"/>
            <w:tcMar>
              <w:left w:w="103" w:type="dxa"/>
            </w:tcMar>
          </w:tcPr>
          <w:p>
            <w:pPr>
              <w:pStyle w:val="Normal"/>
              <w:snapToGrid w:val="false"/>
              <w:jc w:val="center"/>
              <w:rPr>
                <w:sz w:val="22"/>
                <w:szCs w:val="22"/>
              </w:rPr>
            </w:pPr>
            <w:r>
              <w:rPr>
                <w:sz w:val="22"/>
                <w:szCs w:val="22"/>
              </w:rPr>
            </w:r>
          </w:p>
        </w:tc>
        <w:tc>
          <w:tcPr>
            <w:tcW w:w="226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pPr>
            <w:r>
              <w:rPr>
                <w:sz w:val="22"/>
                <w:szCs w:val="22"/>
              </w:rPr>
              <w:t>10 HEURES</w:t>
            </w:r>
          </w:p>
        </w:tc>
        <w:tc>
          <w:tcPr>
            <w:tcW w:w="202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tcMar>
              <w:left w:w="103" w:type="dxa"/>
            </w:tcMar>
          </w:tcPr>
          <w:p>
            <w:pPr>
              <w:pStyle w:val="Normal"/>
              <w:jc w:val="center"/>
              <w:rPr>
                <w:sz w:val="22"/>
                <w:szCs w:val="22"/>
              </w:rPr>
            </w:pPr>
            <w:r>
              <w:rPr>
                <w:sz w:val="22"/>
                <w:szCs w:val="22"/>
              </w:rPr>
              <w:t>10 HEURES</w:t>
            </w:r>
          </w:p>
        </w:tc>
      </w:tr>
      <w:tr>
        <w:trPr/>
        <w:tc>
          <w:tcPr>
            <w:tcW w:w="251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COUPURE</w:t>
            </w:r>
          </w:p>
        </w:tc>
        <w:tc>
          <w:tcPr>
            <w:tcW w:w="2410"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10 HEURES</w:t>
            </w:r>
          </w:p>
        </w:tc>
        <w:tc>
          <w:tcPr>
            <w:tcW w:w="226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pPr>
            <w:r>
              <w:rPr>
                <w:sz w:val="22"/>
                <w:szCs w:val="22"/>
              </w:rPr>
              <w:t>10 HEURES</w:t>
            </w:r>
          </w:p>
        </w:tc>
        <w:tc>
          <w:tcPr>
            <w:tcW w:w="202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FBFBF" w:val="clear"/>
            <w:tcMar>
              <w:left w:w="103" w:type="dxa"/>
            </w:tcMar>
          </w:tcPr>
          <w:p>
            <w:pPr>
              <w:pStyle w:val="Normal"/>
              <w:snapToGrid w:val="false"/>
              <w:jc w:val="center"/>
              <w:rPr>
                <w:sz w:val="22"/>
                <w:szCs w:val="22"/>
              </w:rPr>
            </w:pPr>
            <w:r>
              <w:rPr>
                <w:sz w:val="22"/>
                <w:szCs w:val="22"/>
              </w:rPr>
            </w:r>
          </w:p>
        </w:tc>
      </w:tr>
      <w:tr>
        <w:trPr/>
        <w:tc>
          <w:tcPr>
            <w:tcW w:w="251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AMPLITUDE</w:t>
            </w:r>
          </w:p>
        </w:tc>
        <w:tc>
          <w:tcPr>
            <w:tcW w:w="2410"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13 HEURES</w:t>
            </w:r>
          </w:p>
        </w:tc>
        <w:tc>
          <w:tcPr>
            <w:tcW w:w="226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13 HEURES</w:t>
            </w:r>
          </w:p>
        </w:tc>
        <w:tc>
          <w:tcPr>
            <w:tcW w:w="202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FBFBF" w:val="clear"/>
            <w:tcMar>
              <w:left w:w="103" w:type="dxa"/>
            </w:tcMar>
          </w:tcPr>
          <w:p>
            <w:pPr>
              <w:pStyle w:val="Normal"/>
              <w:snapToGrid w:val="false"/>
              <w:jc w:val="center"/>
              <w:rPr>
                <w:sz w:val="22"/>
                <w:szCs w:val="22"/>
              </w:rPr>
            </w:pPr>
            <w:r>
              <w:rPr>
                <w:sz w:val="22"/>
                <w:szCs w:val="22"/>
              </w:rPr>
            </w:r>
          </w:p>
        </w:tc>
      </w:tr>
      <w:tr>
        <w:trPr/>
        <w:tc>
          <w:tcPr>
            <w:tcW w:w="251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both"/>
              <w:rPr>
                <w:sz w:val="22"/>
                <w:szCs w:val="22"/>
              </w:rPr>
            </w:pPr>
            <w:r>
              <w:rPr>
                <w:sz w:val="22"/>
                <w:szCs w:val="22"/>
              </w:rPr>
            </w:r>
          </w:p>
        </w:tc>
        <w:tc>
          <w:tcPr>
            <w:tcW w:w="2410"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sz w:val="22"/>
                <w:szCs w:val="22"/>
              </w:rPr>
            </w:pPr>
            <w:r>
              <w:rPr>
                <w:sz w:val="22"/>
                <w:szCs w:val="22"/>
              </w:rPr>
            </w:r>
          </w:p>
        </w:tc>
        <w:tc>
          <w:tcPr>
            <w:tcW w:w="226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snapToGrid w:val="false"/>
              <w:jc w:val="center"/>
              <w:rPr>
                <w:sz w:val="22"/>
                <w:szCs w:val="22"/>
              </w:rPr>
            </w:pPr>
            <w:r>
              <w:rPr>
                <w:sz w:val="22"/>
                <w:szCs w:val="22"/>
              </w:rPr>
            </w:r>
          </w:p>
        </w:tc>
        <w:tc>
          <w:tcPr>
            <w:tcW w:w="202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FBFBF" w:val="clear"/>
            <w:tcMar>
              <w:left w:w="103" w:type="dxa"/>
            </w:tcMar>
          </w:tcPr>
          <w:p>
            <w:pPr>
              <w:pStyle w:val="Normal"/>
              <w:snapToGrid w:val="false"/>
              <w:jc w:val="center"/>
              <w:rPr>
                <w:sz w:val="22"/>
                <w:szCs w:val="22"/>
              </w:rPr>
            </w:pPr>
            <w:r>
              <w:rPr>
                <w:sz w:val="22"/>
                <w:szCs w:val="22"/>
              </w:rPr>
            </w:r>
          </w:p>
        </w:tc>
      </w:tr>
    </w:tbl>
    <w:p>
      <w:pPr>
        <w:pStyle w:val="Normal"/>
        <w:jc w:val="both"/>
        <w:rPr>
          <w:rFonts w:ascii="Arial" w:hAnsi="Arial" w:cs="Arial"/>
          <w:sz w:val="20"/>
        </w:rPr>
      </w:pPr>
      <w:r>
        <w:rPr>
          <w:rFonts w:cs="Arial" w:ascii="Arial" w:hAnsi="Arial"/>
          <w:sz w:val="20"/>
        </w:rPr>
      </w:r>
    </w:p>
    <w:tbl>
      <w:tblPr>
        <w:tblW w:w="9222" w:type="dxa"/>
        <w:jc w:val="left"/>
        <w:tblInd w:w="-5"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2518"/>
        <w:gridCol w:w="2410"/>
        <w:gridCol w:w="2268"/>
        <w:gridCol w:w="2026"/>
      </w:tblGrid>
      <w:tr>
        <w:trPr/>
        <w:tc>
          <w:tcPr>
            <w:tcW w:w="251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FEVRIER N+1</w:t>
            </w:r>
          </w:p>
        </w:tc>
        <w:tc>
          <w:tcPr>
            <w:tcW w:w="2410"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FICHE ABC</w:t>
            </w:r>
          </w:p>
        </w:tc>
        <w:tc>
          <w:tcPr>
            <w:tcW w:w="226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FICHE DE PAIE</w:t>
            </w:r>
          </w:p>
        </w:tc>
        <w:tc>
          <w:tcPr>
            <w:tcW w:w="202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103" w:type="dxa"/>
            </w:tcMar>
          </w:tcPr>
          <w:p>
            <w:pPr>
              <w:pStyle w:val="Normal"/>
              <w:jc w:val="center"/>
              <w:rPr>
                <w:sz w:val="22"/>
                <w:szCs w:val="22"/>
              </w:rPr>
            </w:pPr>
            <w:r>
              <w:rPr>
                <w:sz w:val="22"/>
                <w:szCs w:val="22"/>
              </w:rPr>
              <w:t>COMPTEURS</w:t>
            </w:r>
          </w:p>
        </w:tc>
      </w:tr>
      <w:tr>
        <w:trPr/>
        <w:tc>
          <w:tcPr>
            <w:tcW w:w="251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HEURES</w:t>
            </w:r>
          </w:p>
        </w:tc>
        <w:tc>
          <w:tcPr>
            <w:tcW w:w="2410"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100 HEURES</w:t>
            </w:r>
          </w:p>
        </w:tc>
        <w:tc>
          <w:tcPr>
            <w:tcW w:w="226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120 HEURES</w:t>
            </w:r>
          </w:p>
        </w:tc>
        <w:tc>
          <w:tcPr>
            <w:tcW w:w="202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FBFBF" w:val="clear"/>
            <w:tcMar>
              <w:left w:w="103" w:type="dxa"/>
            </w:tcMar>
          </w:tcPr>
          <w:p>
            <w:pPr>
              <w:pStyle w:val="Normal"/>
              <w:snapToGrid w:val="false"/>
              <w:jc w:val="center"/>
              <w:rPr>
                <w:sz w:val="22"/>
                <w:szCs w:val="22"/>
              </w:rPr>
            </w:pPr>
            <w:r>
              <w:rPr>
                <w:sz w:val="22"/>
                <w:szCs w:val="22"/>
              </w:rPr>
            </w:r>
          </w:p>
        </w:tc>
      </w:tr>
      <w:tr>
        <w:trPr/>
        <w:tc>
          <w:tcPr>
            <w:tcW w:w="251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HEURES COMPL 10%</w:t>
            </w:r>
          </w:p>
        </w:tc>
        <w:tc>
          <w:tcPr>
            <w:tcW w:w="2410" w:type="dxa"/>
            <w:tcBorders>
              <w:top w:val="single" w:sz="4" w:space="0" w:color="000000"/>
              <w:left w:val="single" w:sz="4" w:space="0" w:color="000000"/>
              <w:bottom w:val="single" w:sz="4" w:space="0" w:color="000000"/>
              <w:insideH w:val="single" w:sz="4" w:space="0" w:color="000000"/>
            </w:tcBorders>
            <w:shd w:fill="BFBFBF" w:val="clear"/>
            <w:tcMar>
              <w:left w:w="103" w:type="dxa"/>
            </w:tcMar>
          </w:tcPr>
          <w:p>
            <w:pPr>
              <w:pStyle w:val="Normal"/>
              <w:snapToGrid w:val="false"/>
              <w:jc w:val="center"/>
              <w:rPr>
                <w:sz w:val="22"/>
                <w:szCs w:val="22"/>
              </w:rPr>
            </w:pPr>
            <w:r>
              <w:rPr>
                <w:sz w:val="22"/>
                <w:szCs w:val="22"/>
              </w:rPr>
            </w:r>
          </w:p>
        </w:tc>
        <w:tc>
          <w:tcPr>
            <w:tcW w:w="2268" w:type="dxa"/>
            <w:tcBorders>
              <w:top w:val="single" w:sz="4" w:space="0" w:color="000000"/>
              <w:left w:val="single" w:sz="4" w:space="0" w:color="000000"/>
              <w:bottom w:val="single" w:sz="4" w:space="0" w:color="000000"/>
              <w:insideH w:val="single" w:sz="4" w:space="0" w:color="000000"/>
            </w:tcBorders>
            <w:shd w:fill="BFBFBF" w:val="clear"/>
            <w:tcMar>
              <w:left w:w="103" w:type="dxa"/>
            </w:tcMar>
          </w:tcPr>
          <w:p>
            <w:pPr>
              <w:pStyle w:val="Normal"/>
              <w:snapToGrid w:val="false"/>
              <w:jc w:val="center"/>
              <w:rPr>
                <w:sz w:val="22"/>
                <w:szCs w:val="22"/>
              </w:rPr>
            </w:pPr>
            <w:r>
              <w:rPr>
                <w:sz w:val="22"/>
                <w:szCs w:val="22"/>
              </w:rPr>
            </w:r>
          </w:p>
        </w:tc>
        <w:tc>
          <w:tcPr>
            <w:tcW w:w="202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FBFBF" w:val="clear"/>
            <w:tcMar>
              <w:left w:w="103" w:type="dxa"/>
            </w:tcMar>
          </w:tcPr>
          <w:p>
            <w:pPr>
              <w:pStyle w:val="Normal"/>
              <w:snapToGrid w:val="false"/>
              <w:jc w:val="center"/>
              <w:rPr>
                <w:sz w:val="22"/>
                <w:szCs w:val="22"/>
              </w:rPr>
            </w:pPr>
            <w:r>
              <w:rPr>
                <w:sz w:val="22"/>
                <w:szCs w:val="22"/>
              </w:rPr>
            </w:r>
          </w:p>
        </w:tc>
      </w:tr>
      <w:tr>
        <w:trPr/>
        <w:tc>
          <w:tcPr>
            <w:tcW w:w="251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HEURES COMPL 25%</w:t>
            </w:r>
          </w:p>
        </w:tc>
        <w:tc>
          <w:tcPr>
            <w:tcW w:w="2410" w:type="dxa"/>
            <w:tcBorders>
              <w:top w:val="single" w:sz="4" w:space="0" w:color="000000"/>
              <w:left w:val="single" w:sz="4" w:space="0" w:color="000000"/>
              <w:bottom w:val="single" w:sz="4" w:space="0" w:color="000000"/>
              <w:insideH w:val="single" w:sz="4" w:space="0" w:color="000000"/>
            </w:tcBorders>
            <w:shd w:fill="BFBFBF" w:val="clear"/>
            <w:tcMar>
              <w:left w:w="103" w:type="dxa"/>
            </w:tcMar>
          </w:tcPr>
          <w:p>
            <w:pPr>
              <w:pStyle w:val="Normal"/>
              <w:snapToGrid w:val="false"/>
              <w:jc w:val="center"/>
              <w:rPr>
                <w:sz w:val="22"/>
                <w:szCs w:val="22"/>
              </w:rPr>
            </w:pPr>
            <w:r>
              <w:rPr>
                <w:sz w:val="22"/>
                <w:szCs w:val="22"/>
              </w:rPr>
            </w:r>
          </w:p>
        </w:tc>
        <w:tc>
          <w:tcPr>
            <w:tcW w:w="2268" w:type="dxa"/>
            <w:tcBorders>
              <w:top w:val="single" w:sz="4" w:space="0" w:color="000000"/>
              <w:left w:val="single" w:sz="4" w:space="0" w:color="000000"/>
              <w:bottom w:val="single" w:sz="4" w:space="0" w:color="000000"/>
              <w:insideH w:val="single" w:sz="4" w:space="0" w:color="000000"/>
            </w:tcBorders>
            <w:shd w:fill="BFBFBF" w:val="clear"/>
            <w:tcMar>
              <w:left w:w="103" w:type="dxa"/>
            </w:tcMar>
          </w:tcPr>
          <w:p>
            <w:pPr>
              <w:pStyle w:val="Normal"/>
              <w:snapToGrid w:val="false"/>
              <w:jc w:val="center"/>
              <w:rPr>
                <w:sz w:val="22"/>
                <w:szCs w:val="22"/>
              </w:rPr>
            </w:pPr>
            <w:r>
              <w:rPr>
                <w:sz w:val="22"/>
                <w:szCs w:val="22"/>
              </w:rPr>
            </w:r>
          </w:p>
        </w:tc>
        <w:tc>
          <w:tcPr>
            <w:tcW w:w="202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FBFBF" w:val="clear"/>
            <w:tcMar>
              <w:left w:w="103" w:type="dxa"/>
            </w:tcMar>
          </w:tcPr>
          <w:p>
            <w:pPr>
              <w:pStyle w:val="Normal"/>
              <w:snapToGrid w:val="false"/>
              <w:jc w:val="center"/>
              <w:rPr>
                <w:sz w:val="22"/>
                <w:szCs w:val="22"/>
              </w:rPr>
            </w:pPr>
            <w:r>
              <w:rPr>
                <w:sz w:val="22"/>
                <w:szCs w:val="22"/>
              </w:rPr>
            </w:r>
          </w:p>
        </w:tc>
      </w:tr>
      <w:tr>
        <w:trPr/>
        <w:tc>
          <w:tcPr>
            <w:tcW w:w="251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COUPURE</w:t>
            </w:r>
          </w:p>
        </w:tc>
        <w:tc>
          <w:tcPr>
            <w:tcW w:w="2410"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center"/>
              <w:rPr>
                <w:sz w:val="22"/>
                <w:szCs w:val="22"/>
              </w:rPr>
            </w:pPr>
            <w:r>
              <w:rPr>
                <w:sz w:val="22"/>
                <w:szCs w:val="22"/>
              </w:rPr>
              <w:t>0 HEURES</w:t>
            </w:r>
          </w:p>
        </w:tc>
        <w:tc>
          <w:tcPr>
            <w:tcW w:w="2268" w:type="dxa"/>
            <w:tcBorders>
              <w:top w:val="single" w:sz="4" w:space="0" w:color="000000"/>
              <w:left w:val="single" w:sz="4" w:space="0" w:color="000000"/>
              <w:bottom w:val="single" w:sz="4" w:space="0" w:color="000000"/>
              <w:insideH w:val="single" w:sz="4" w:space="0" w:color="000000"/>
            </w:tcBorders>
            <w:shd w:fill="BFBFBF" w:val="clear"/>
            <w:tcMar>
              <w:left w:w="103" w:type="dxa"/>
            </w:tcMar>
          </w:tcPr>
          <w:p>
            <w:pPr>
              <w:pStyle w:val="Normal"/>
              <w:snapToGrid w:val="false"/>
              <w:jc w:val="center"/>
              <w:rPr>
                <w:sz w:val="22"/>
                <w:szCs w:val="22"/>
              </w:rPr>
            </w:pPr>
            <w:r>
              <w:rPr>
                <w:sz w:val="22"/>
                <w:szCs w:val="22"/>
              </w:rPr>
            </w:r>
          </w:p>
        </w:tc>
        <w:tc>
          <w:tcPr>
            <w:tcW w:w="202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FBFBF" w:val="clear"/>
            <w:tcMar>
              <w:left w:w="103" w:type="dxa"/>
            </w:tcMar>
          </w:tcPr>
          <w:p>
            <w:pPr>
              <w:pStyle w:val="Normal"/>
              <w:snapToGrid w:val="false"/>
              <w:jc w:val="center"/>
              <w:rPr>
                <w:sz w:val="22"/>
                <w:szCs w:val="22"/>
              </w:rPr>
            </w:pPr>
            <w:r>
              <w:rPr>
                <w:sz w:val="22"/>
                <w:szCs w:val="22"/>
              </w:rPr>
            </w:r>
          </w:p>
        </w:tc>
      </w:tr>
      <w:tr>
        <w:trPr/>
        <w:tc>
          <w:tcPr>
            <w:tcW w:w="251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jc w:val="both"/>
              <w:rPr>
                <w:sz w:val="22"/>
                <w:szCs w:val="22"/>
              </w:rPr>
            </w:pPr>
            <w:r>
              <w:rPr>
                <w:sz w:val="22"/>
                <w:szCs w:val="22"/>
              </w:rPr>
              <w:t>AMPLITUDE</w:t>
            </w:r>
          </w:p>
        </w:tc>
        <w:tc>
          <w:tcPr>
            <w:tcW w:w="2410"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numPr>
                <w:ilvl w:val="0"/>
                <w:numId w:val="1"/>
              </w:numPr>
              <w:jc w:val="center"/>
              <w:rPr>
                <w:sz w:val="22"/>
                <w:szCs w:val="22"/>
              </w:rPr>
            </w:pPr>
            <w:r>
              <w:rPr>
                <w:sz w:val="22"/>
                <w:szCs w:val="22"/>
              </w:rPr>
              <w:t>HEURES</w:t>
            </w:r>
          </w:p>
        </w:tc>
        <w:tc>
          <w:tcPr>
            <w:tcW w:w="2268" w:type="dxa"/>
            <w:tcBorders>
              <w:top w:val="single" w:sz="4" w:space="0" w:color="000000"/>
              <w:left w:val="single" w:sz="4" w:space="0" w:color="000000"/>
              <w:bottom w:val="single" w:sz="4" w:space="0" w:color="000000"/>
              <w:insideH w:val="single" w:sz="4" w:space="0" w:color="000000"/>
            </w:tcBorders>
            <w:shd w:fill="auto" w:val="clear"/>
            <w:tcMar>
              <w:left w:w="103" w:type="dxa"/>
            </w:tcMar>
          </w:tcPr>
          <w:p>
            <w:pPr>
              <w:pStyle w:val="Normal"/>
              <w:ind w:left="360" w:hanging="0"/>
              <w:jc w:val="center"/>
              <w:rPr/>
            </w:pPr>
            <w:r>
              <w:rPr>
                <w:sz w:val="22"/>
                <w:szCs w:val="22"/>
              </w:rPr>
              <w:t>6 HEURES</w:t>
            </w:r>
          </w:p>
        </w:tc>
        <w:tc>
          <w:tcPr>
            <w:tcW w:w="202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BFBFBF" w:val="clear"/>
            <w:tcMar>
              <w:left w:w="103" w:type="dxa"/>
            </w:tcMar>
          </w:tcPr>
          <w:p>
            <w:pPr>
              <w:pStyle w:val="Normal"/>
              <w:snapToGrid w:val="false"/>
              <w:jc w:val="center"/>
              <w:rPr>
                <w:sz w:val="22"/>
                <w:szCs w:val="22"/>
              </w:rPr>
            </w:pPr>
            <w:r>
              <w:rPr>
                <w:sz w:val="22"/>
                <w:szCs w:val="22"/>
              </w:rPr>
            </w:r>
          </w:p>
        </w:tc>
      </w:tr>
    </w:tbl>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numPr>
          <w:ilvl w:val="0"/>
          <w:numId w:val="2"/>
        </w:numPr>
        <w:rPr>
          <w:b/>
          <w:b/>
          <w:sz w:val="22"/>
          <w:szCs w:val="22"/>
          <w:u w:val="single"/>
        </w:rPr>
      </w:pPr>
      <w:bookmarkStart w:id="0" w:name="_Hlk85621209"/>
      <w:bookmarkEnd w:id="0"/>
      <w:r>
        <w:rPr>
          <w:rFonts w:cs="Arial" w:ascii="Arial" w:hAnsi="Arial"/>
          <w:b/>
          <w:sz w:val="20"/>
          <w:u w:val="single"/>
        </w:rPr>
        <w:t>Demande de la Direction : Invitation au comité de groupe :</w:t>
      </w:r>
      <w:r>
        <w:rPr>
          <w:b/>
          <w:sz w:val="22"/>
          <w:szCs w:val="22"/>
          <w:u w:val="single"/>
        </w:rPr>
        <w:t xml:space="preserve"> </w:t>
      </w:r>
    </w:p>
    <w:p>
      <w:pPr>
        <w:pStyle w:val="Normal"/>
        <w:jc w:val="both"/>
        <w:rPr>
          <w:b/>
          <w:b/>
          <w:sz w:val="22"/>
          <w:szCs w:val="22"/>
          <w:u w:val="single"/>
        </w:rPr>
      </w:pPr>
      <w:bookmarkStart w:id="1" w:name="_Hlk85621209"/>
      <w:bookmarkStart w:id="2" w:name="_Hlk85621209"/>
      <w:bookmarkEnd w:id="2"/>
      <w:r>
        <w:rPr>
          <w:b/>
          <w:sz w:val="22"/>
          <w:szCs w:val="22"/>
          <w:u w:val="single"/>
        </w:rPr>
      </w:r>
    </w:p>
    <w:p>
      <w:pPr>
        <w:pStyle w:val="Normal"/>
        <w:jc w:val="both"/>
        <w:rPr>
          <w:rFonts w:ascii="Arial" w:hAnsi="Arial" w:cs="Arial"/>
          <w:sz w:val="20"/>
        </w:rPr>
      </w:pPr>
      <w:r>
        <w:rPr>
          <w:rFonts w:cs="Arial" w:ascii="Arial" w:hAnsi="Arial"/>
          <w:sz w:val="20"/>
          <w:u w:val="single"/>
        </w:rPr>
        <w:t>Réponse de la Direction :</w:t>
      </w:r>
      <w:r>
        <w:rPr>
          <w:rFonts w:cs="Arial" w:ascii="Arial" w:hAnsi="Arial"/>
          <w:sz w:val="20"/>
        </w:rPr>
        <w:t xml:space="preserve"> Ce Comité de Groupe permettra d’effectuer des groupes de travail sur différentes thématiques. Le premier étant sur le thème « Comment amener une flexibilité au métier de conducteur ? ».</w:t>
      </w:r>
    </w:p>
    <w:p>
      <w:pPr>
        <w:pStyle w:val="Normal"/>
        <w:rPr>
          <w:rFonts w:ascii="Arial" w:hAnsi="Arial" w:cs="Arial"/>
          <w:sz w:val="20"/>
        </w:rPr>
      </w:pPr>
      <w:r>
        <w:rPr>
          <w:rFonts w:cs="Arial" w:ascii="Arial" w:hAnsi="Arial"/>
          <w:sz w:val="20"/>
        </w:rPr>
      </w:r>
    </w:p>
    <w:p>
      <w:pPr>
        <w:pStyle w:val="Normal"/>
        <w:jc w:val="both"/>
        <w:rPr>
          <w:rFonts w:ascii="Arial" w:hAnsi="Arial" w:cs="Arial"/>
          <w:sz w:val="20"/>
        </w:rPr>
      </w:pPr>
      <w:r>
        <w:rPr>
          <w:rFonts w:cs="Arial" w:ascii="Arial" w:hAnsi="Arial"/>
          <w:sz w:val="20"/>
        </w:rPr>
      </w:r>
    </w:p>
    <w:p>
      <w:pPr>
        <w:pStyle w:val="Normal"/>
        <w:jc w:val="both"/>
        <w:rPr>
          <w:rFonts w:ascii="Arial" w:hAnsi="Arial" w:cs="Arial"/>
          <w:sz w:val="20"/>
        </w:rPr>
      </w:pPr>
      <w:r>
        <w:rPr>
          <w:rFonts w:cs="Arial" w:ascii="Arial" w:hAnsi="Arial"/>
          <w:sz w:val="20"/>
        </w:rPr>
        <w:t>Fait à Montélimar, le 24 novembre 2021</w:t>
      </w:r>
    </w:p>
    <w:p>
      <w:pPr>
        <w:pStyle w:val="Normal"/>
        <w:jc w:val="both"/>
        <w:rPr>
          <w:rFonts w:ascii="Arial" w:hAnsi="Arial" w:cs="Arial"/>
          <w:sz w:val="20"/>
        </w:rPr>
      </w:pPr>
      <w:r>
        <w:rPr>
          <w:rFonts w:cs="Arial" w:ascii="Arial" w:hAnsi="Arial"/>
          <w:sz w:val="20"/>
        </w:rPr>
        <w:t>En 2 exemplaires originaux</w:t>
      </w:r>
    </w:p>
    <w:p>
      <w:pPr>
        <w:pStyle w:val="Normal"/>
        <w:jc w:val="both"/>
        <w:rPr>
          <w:rFonts w:ascii="Arial" w:hAnsi="Arial" w:cs="Arial"/>
          <w:sz w:val="20"/>
        </w:rPr>
      </w:pPr>
      <w:r>
        <w:rPr>
          <w:rFonts w:cs="Arial" w:ascii="Arial" w:hAnsi="Arial"/>
          <w:sz w:val="20"/>
        </w:rPr>
      </w:r>
    </w:p>
    <w:p>
      <w:pPr>
        <w:pStyle w:val="Normal"/>
        <w:jc w:val="both"/>
        <w:rPr>
          <w:rFonts w:ascii="Arial" w:hAnsi="Arial" w:cs="Arial"/>
          <w:b/>
          <w:b/>
          <w:sz w:val="20"/>
        </w:rPr>
      </w:pPr>
      <w:r>
        <w:rPr>
          <w:rFonts w:cs="Arial" w:ascii="Arial" w:hAnsi="Arial"/>
          <w:b/>
          <w:sz w:val="20"/>
        </w:rPr>
        <w:t>Pour l’entreprise</w:t>
        <w:tab/>
        <w:tab/>
        <w:tab/>
        <w:tab/>
        <w:tab/>
        <w:tab/>
        <w:t>Pour le syndicat</w:t>
      </w:r>
    </w:p>
    <w:p>
      <w:pPr>
        <w:pStyle w:val="Normal"/>
        <w:jc w:val="both"/>
        <w:rPr>
          <w:rFonts w:ascii="Arial" w:hAnsi="Arial" w:cs="Arial"/>
          <w:sz w:val="20"/>
        </w:rPr>
      </w:pPr>
      <w:r>
        <w:rPr>
          <w:rFonts w:cs="Arial" w:ascii="Arial" w:hAnsi="Arial"/>
          <w:b/>
          <w:sz w:val="20"/>
        </w:rPr>
        <w:t>Arome</w:t>
        <w:tab/>
        <w:tab/>
      </w:r>
      <w:r>
        <w:rPr>
          <w:rFonts w:cs="Arial" w:ascii="Arial" w:hAnsi="Arial"/>
          <w:sz w:val="20"/>
        </w:rPr>
        <w:tab/>
        <w:tab/>
        <w:tab/>
        <w:tab/>
        <w:tab/>
        <w:tab/>
      </w:r>
    </w:p>
    <w:p>
      <w:pPr>
        <w:pStyle w:val="Normal"/>
        <w:jc w:val="both"/>
        <w:rPr>
          <w:rFonts w:ascii="Arial" w:hAnsi="Arial" w:cs="Arial"/>
          <w:sz w:val="20"/>
        </w:rPr>
      </w:pPr>
      <w:r>
        <w:rPr>
          <w:rFonts w:cs="Arial" w:ascii="Arial" w:hAnsi="Arial"/>
          <w:sz w:val="20"/>
        </w:rPr>
      </w:r>
    </w:p>
    <w:sectPr>
      <w:headerReference w:type="default" r:id="rId6"/>
      <w:footerReference w:type="default" r:id="rId7"/>
      <w:type w:val="nextPage"/>
      <w:pgSz w:w="11906" w:h="16838"/>
      <w:pgMar w:left="1417" w:right="1417" w:header="708" w:top="1258" w:footer="708" w:bottom="2269"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Trebuchet MS">
    <w:charset w:val="00"/>
    <w:family w:val="swiss"/>
    <w:pitch w:val="variable"/>
  </w:font>
  <w:font w:name="Candara">
    <w:charset w:val="00"/>
    <w:family w:val="swiss"/>
    <w:pitch w:val="variable"/>
  </w:font>
  <w:font w:name="Liberation Sans">
    <w:altName w:val="Arial"/>
    <w:charset w:val="01"/>
    <w:family w:val="swiss"/>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tab/>
      <w:t xml:space="preserve">- </w:t>
    </w:r>
    <w:r>
      <w:rPr/>
      <w:fldChar w:fldCharType="begin"/>
    </w:r>
    <w:r>
      <w:instrText> PAGE </w:instrText>
    </w:r>
    <w:r>
      <w:fldChar w:fldCharType="separate"/>
    </w:r>
    <w:r>
      <w:t>2</w:t>
    </w:r>
    <w:r>
      <w:fldChar w:fldCharType="end"/>
    </w:r>
    <w:r>
      <w:rPr/>
      <w:t>/</w:t>
    </w:r>
    <w:r>
      <w:rPr>
        <w:rStyle w:val="PageNumber"/>
      </w:rPr>
      <w:fldChar w:fldCharType="begin"/>
    </w:r>
    <w:r>
      <w:instrText> NUMPAGES \* ARABIC </w:instrText>
    </w:r>
    <w:r>
      <w:fldChar w:fldCharType="separate"/>
    </w:r>
    <w:r>
      <w:t>4</w:t>
    </w:r>
    <w:r>
      <w:fldChar w:fldCharType="end"/>
    </w:r>
    <w:r>
      <w:rPr>
        <w:rStyle w:val="PageNumber"/>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tab/>
      <w:t xml:space="preserve">- </w:t>
    </w:r>
    <w:r>
      <w:rPr/>
      <w:fldChar w:fldCharType="begin"/>
    </w:r>
    <w:r>
      <w:instrText> PAGE </w:instrText>
    </w:r>
    <w:r>
      <w:fldChar w:fldCharType="separate"/>
    </w:r>
    <w:r>
      <w:t>3</w:t>
    </w:r>
    <w:r>
      <w:fldChar w:fldCharType="end"/>
    </w:r>
    <w:r>
      <w:rPr/>
      <w:t>/</w:t>
    </w:r>
    <w:r>
      <w:rPr>
        <w:rStyle w:val="PageNumber"/>
      </w:rPr>
      <w:fldChar w:fldCharType="begin"/>
    </w:r>
    <w:r>
      <w:instrText> NUMPAGES \* ARABIC </w:instrText>
    </w:r>
    <w:r>
      <w:fldChar w:fldCharType="separate"/>
    </w:r>
    <w:r>
      <w:t>4</w:t>
    </w:r>
    <w:r>
      <w:fldChar w:fldCharType="end"/>
    </w:r>
    <w:r>
      <w:rPr>
        <w:rStyle w:val="PageNumbe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tab/>
      <w:t xml:space="preserve">- </w:t>
    </w:r>
    <w:r>
      <w:rPr/>
      <w:fldChar w:fldCharType="begin"/>
    </w:r>
    <w:r>
      <w:instrText> PAGE </w:instrText>
    </w:r>
    <w:r>
      <w:fldChar w:fldCharType="separate"/>
    </w:r>
    <w:r>
      <w:t>4</w:t>
    </w:r>
    <w:r>
      <w:fldChar w:fldCharType="end"/>
    </w:r>
    <w:r>
      <w:rPr/>
      <w:t>/</w:t>
    </w:r>
    <w:r>
      <w:rPr>
        <w:rStyle w:val="PageNumber"/>
      </w:rPr>
      <w:fldChar w:fldCharType="begin"/>
    </w:r>
    <w:r>
      <w:instrText> NUMPAGES \* ARABIC </w:instrText>
    </w:r>
    <w:r>
      <w:fldChar w:fldCharType="separate"/>
    </w:r>
    <w:r>
      <w:t>4</w:t>
    </w:r>
    <w:r>
      <w:fldChar w:fldCharType="end"/>
    </w:r>
    <w:r>
      <w:rPr>
        <w:rStyle w:val="PageNumber"/>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ind w:right="360" w:hanging="0"/>
      <w:rPr/>
    </w:pPr>
    <w:r>
      <w:rPr/>
    </w:r>
  </w:p>
  <w:p>
    <w:pPr>
      <w:pStyle w:val="Header"/>
      <w:ind w:right="360" w:hanging="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ind w:right="360" w:hanging="0"/>
      <w:rPr/>
    </w:pPr>
    <w:r>
      <w:rPr/>
    </w:r>
  </w:p>
  <w:p>
    <w:pPr>
      <w:pStyle w:val="Header"/>
      <w:ind w:right="360" w:hanging="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ind w:right="360" w:hanging="0"/>
      <w:rPr/>
    </w:pPr>
    <w:r>
      <w:rPr/>
    </w:r>
  </w:p>
  <w:p>
    <w:pPr>
      <w:pStyle w:val="Header"/>
      <w:ind w:right="360"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6"/>
      <w:numFmt w:val="decimal"/>
      <w:lvlText w:val="%1"/>
      <w:lvlJc w:val="left"/>
      <w:pPr>
        <w:ind w:left="720" w:hanging="360"/>
      </w:pPr>
      <w:rPr/>
    </w:lvl>
  </w:abstractNum>
  <w:abstractNum w:abstractNumId="2">
    <w:lvl w:ilvl="0">
      <w:start w:val="1"/>
      <w:numFmt w:val="decimal"/>
      <w:lvlText w:val="%1."/>
      <w:lvlJc w:val="left"/>
      <w:pPr>
        <w:ind w:left="720" w:hanging="360"/>
      </w:pPr>
      <w:rPr>
        <w:sz w:val="20"/>
        <w:b/>
        <w:szCs w:val="22"/>
        <w:rFonts w:ascii="Arial" w:hAnsi="Arial" w:cs="Arial"/>
      </w:rPr>
    </w:lvl>
  </w:abstractNum>
  <w:abstractNum w:abstractNumId="3">
    <w:lvl w:ilvl="0">
      <w:start w:val="1"/>
      <w:numFmt w:val="decimal"/>
      <w:lvlText w:val="%1)"/>
      <w:lvlJc w:val="left"/>
      <w:pPr>
        <w:ind w:left="720" w:hanging="360"/>
      </w:pPr>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character" w:styleId="WW8Num1z0">
    <w:name w:val="WW8Num1z0"/>
    <w:qFormat/>
    <w:rPr>
      <w:rFonts w:ascii="Calibri" w:hAnsi="Calibri"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rFonts w:ascii="Calibri" w:hAnsi="Calibri" w:eastAsia="Calibri" w:cs="Calibri"/>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9z0">
    <w:name w:val="WW8Num9z0"/>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0">
    <w:name w:val="WW8Num10z0"/>
    <w:qFormat/>
    <w:rPr/>
  </w:style>
  <w:style w:type="character" w:styleId="WW8Num10z1">
    <w:name w:val="WW8Num10z1"/>
    <w:qFormat/>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Calibri" w:hAnsi="Calibri"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rFonts w:ascii="Calibri" w:hAnsi="Calibri" w:eastAsia="Calibri"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sz w:val="20"/>
    </w:rPr>
  </w:style>
  <w:style w:type="character" w:styleId="WW8Num19z1">
    <w:name w:val="WW8Num19z1"/>
    <w:qFormat/>
    <w:rPr>
      <w:rFonts w:ascii="Courier New" w:hAnsi="Courier New" w:cs="Courier New"/>
      <w:sz w:val="20"/>
    </w:rPr>
  </w:style>
  <w:style w:type="character" w:styleId="WW8Num19z2">
    <w:name w:val="WW8Num19z2"/>
    <w:qFormat/>
    <w:rPr>
      <w:rFonts w:ascii="Wingdings" w:hAnsi="Wingdings" w:cs="Wingdings"/>
      <w:sz w:val="20"/>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Calibri" w:hAnsi="Calibri" w:eastAsia="Calibri"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Calibri" w:hAnsi="Calibri" w:eastAsia="Calibri" w:cs="Times New Roman"/>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0">
    <w:name w:val="WW8Num24z0"/>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0">
    <w:name w:val="WW8Num25z0"/>
    <w:qFormat/>
    <w:rPr/>
  </w:style>
  <w:style w:type="character" w:styleId="WW8Num26z0">
    <w:name w:val="WW8Num26z0"/>
    <w:qFormat/>
    <w:rPr>
      <w:rFonts w:ascii="Times New Roman" w:hAnsi="Times New Roman" w:eastAsia="Times New Roman" w:cs="Times New Roman"/>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rFonts w:ascii="Trebuchet MS" w:hAnsi="Trebuchet MS" w:eastAsia="Calibri" w:cs="Times New Roman"/>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rFonts w:ascii="Candara" w:hAnsi="Candara" w:eastAsia="Calibri"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Calibri" w:hAnsi="Calibri" w:eastAsia="Times New Roman"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style>
  <w:style w:type="character" w:styleId="WW8Num31z1">
    <w:name w:val="WW8Num31z1"/>
    <w:qFormat/>
    <w:rPr/>
  </w:style>
  <w:style w:type="character" w:styleId="WW8Num31z2">
    <w:name w:val="WW8Num31z2"/>
    <w:qFormat/>
    <w:rPr/>
  </w:style>
  <w:style w:type="character" w:styleId="WW8Num31z3">
    <w:name w:val="WW8Num31z3"/>
    <w:qFormat/>
    <w:rPr/>
  </w:style>
  <w:style w:type="character" w:styleId="WW8Num31z4">
    <w:name w:val="WW8Num31z4"/>
    <w:qFormat/>
    <w:rPr/>
  </w:style>
  <w:style w:type="character" w:styleId="WW8Num31z5">
    <w:name w:val="WW8Num31z5"/>
    <w:qFormat/>
    <w:rPr/>
  </w:style>
  <w:style w:type="character" w:styleId="WW8Num31z6">
    <w:name w:val="WW8Num31z6"/>
    <w:qFormat/>
    <w:rPr/>
  </w:style>
  <w:style w:type="character" w:styleId="WW8Num31z7">
    <w:name w:val="WW8Num31z7"/>
    <w:qFormat/>
    <w:rPr/>
  </w:style>
  <w:style w:type="character" w:styleId="WW8Num31z8">
    <w:name w:val="WW8Num31z8"/>
    <w:qFormat/>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Wingdings" w:hAnsi="Wingdings" w:cs="Wingdings"/>
    </w:rPr>
  </w:style>
  <w:style w:type="character" w:styleId="WW8Num33z1">
    <w:name w:val="WW8Num33z1"/>
    <w:qFormat/>
    <w:rPr>
      <w:rFonts w:ascii="Courier New" w:hAnsi="Courier New" w:cs="Courier New"/>
    </w:rPr>
  </w:style>
  <w:style w:type="character" w:styleId="WW8Num33z3">
    <w:name w:val="WW8Num33z3"/>
    <w:qFormat/>
    <w:rPr>
      <w:rFonts w:ascii="Symbol" w:hAnsi="Symbol" w:cs="Symbol"/>
    </w:rPr>
  </w:style>
  <w:style w:type="character" w:styleId="WW8Num34z0">
    <w:name w:val="WW8Num34z0"/>
    <w:qFormat/>
    <w:rPr>
      <w:rFonts w:ascii="Arial" w:hAnsi="Arial" w:cs="Arial"/>
      <w:b/>
      <w:sz w:val="20"/>
      <w:szCs w:val="22"/>
    </w:rPr>
  </w:style>
  <w:style w:type="character" w:styleId="WW8Num34z1">
    <w:name w:val="WW8Num34z1"/>
    <w:qFormat/>
    <w:rPr/>
  </w:style>
  <w:style w:type="character" w:styleId="WW8Num34z2">
    <w:name w:val="WW8Num34z2"/>
    <w:qFormat/>
    <w:rPr/>
  </w:style>
  <w:style w:type="character" w:styleId="WW8Num34z3">
    <w:name w:val="WW8Num34z3"/>
    <w:qFormat/>
    <w:rPr/>
  </w:style>
  <w:style w:type="character" w:styleId="WW8Num34z4">
    <w:name w:val="WW8Num34z4"/>
    <w:qFormat/>
    <w:rPr/>
  </w:style>
  <w:style w:type="character" w:styleId="WW8Num34z5">
    <w:name w:val="WW8Num34z5"/>
    <w:qFormat/>
    <w:rPr/>
  </w:style>
  <w:style w:type="character" w:styleId="WW8Num34z6">
    <w:name w:val="WW8Num34z6"/>
    <w:qFormat/>
    <w:rPr/>
  </w:style>
  <w:style w:type="character" w:styleId="WW8Num34z7">
    <w:name w:val="WW8Num34z7"/>
    <w:qFormat/>
    <w:rPr/>
  </w:style>
  <w:style w:type="character" w:styleId="WW8Num34z8">
    <w:name w:val="WW8Num34z8"/>
    <w:qFormat/>
    <w:rPr/>
  </w:style>
  <w:style w:type="character" w:styleId="WW8Num35z0">
    <w:name w:val="WW8Num35z0"/>
    <w:qFormat/>
    <w:rPr/>
  </w:style>
  <w:style w:type="character" w:styleId="WW8Num35z1">
    <w:name w:val="WW8Num35z1"/>
    <w:qFormat/>
    <w:rPr/>
  </w:style>
  <w:style w:type="character" w:styleId="WW8Num35z2">
    <w:name w:val="WW8Num35z2"/>
    <w:qFormat/>
    <w:rPr/>
  </w:style>
  <w:style w:type="character" w:styleId="WW8Num35z3">
    <w:name w:val="WW8Num35z3"/>
    <w:qFormat/>
    <w:rPr/>
  </w:style>
  <w:style w:type="character" w:styleId="WW8Num35z4">
    <w:name w:val="WW8Num35z4"/>
    <w:qFormat/>
    <w:rPr/>
  </w:style>
  <w:style w:type="character" w:styleId="WW8Num35z5">
    <w:name w:val="WW8Num35z5"/>
    <w:qFormat/>
    <w:rPr/>
  </w:style>
  <w:style w:type="character" w:styleId="WW8Num35z6">
    <w:name w:val="WW8Num35z6"/>
    <w:qFormat/>
    <w:rPr/>
  </w:style>
  <w:style w:type="character" w:styleId="WW8Num35z7">
    <w:name w:val="WW8Num35z7"/>
    <w:qFormat/>
    <w:rPr/>
  </w:style>
  <w:style w:type="character" w:styleId="WW8Num35z8">
    <w:name w:val="WW8Num35z8"/>
    <w:qFormat/>
    <w:rPr/>
  </w:style>
  <w:style w:type="character" w:styleId="WW8Num36z0">
    <w:name w:val="WW8Num36z0"/>
    <w:qFormat/>
    <w:rPr/>
  </w:style>
  <w:style w:type="character" w:styleId="WW8Num36z1">
    <w:name w:val="WW8Num36z1"/>
    <w:qFormat/>
    <w:rPr/>
  </w:style>
  <w:style w:type="character" w:styleId="WW8Num36z2">
    <w:name w:val="WW8Num36z2"/>
    <w:qFormat/>
    <w:rPr/>
  </w:style>
  <w:style w:type="character" w:styleId="WW8Num36z3">
    <w:name w:val="WW8Num36z3"/>
    <w:qFormat/>
    <w:rPr/>
  </w:style>
  <w:style w:type="character" w:styleId="WW8Num36z4">
    <w:name w:val="WW8Num36z4"/>
    <w:qFormat/>
    <w:rPr/>
  </w:style>
  <w:style w:type="character" w:styleId="WW8Num36z5">
    <w:name w:val="WW8Num36z5"/>
    <w:qFormat/>
    <w:rPr/>
  </w:style>
  <w:style w:type="character" w:styleId="WW8Num36z6">
    <w:name w:val="WW8Num36z6"/>
    <w:qFormat/>
    <w:rPr/>
  </w:style>
  <w:style w:type="character" w:styleId="WW8Num36z7">
    <w:name w:val="WW8Num36z7"/>
    <w:qFormat/>
    <w:rPr/>
  </w:style>
  <w:style w:type="character" w:styleId="WW8Num36z8">
    <w:name w:val="WW8Num36z8"/>
    <w:qFormat/>
    <w:rPr/>
  </w:style>
  <w:style w:type="character" w:styleId="WW8Num37z0">
    <w:name w:val="WW8Num37z0"/>
    <w:qFormat/>
    <w:rPr/>
  </w:style>
  <w:style w:type="character" w:styleId="WW8Num37z1">
    <w:name w:val="WW8Num37z1"/>
    <w:qFormat/>
    <w:rPr/>
  </w:style>
  <w:style w:type="character" w:styleId="WW8Num37z2">
    <w:name w:val="WW8Num37z2"/>
    <w:qFormat/>
    <w:rPr/>
  </w:style>
  <w:style w:type="character" w:styleId="WW8Num37z3">
    <w:name w:val="WW8Num37z3"/>
    <w:qFormat/>
    <w:rPr/>
  </w:style>
  <w:style w:type="character" w:styleId="WW8Num37z4">
    <w:name w:val="WW8Num37z4"/>
    <w:qFormat/>
    <w:rPr/>
  </w:style>
  <w:style w:type="character" w:styleId="WW8Num37z5">
    <w:name w:val="WW8Num37z5"/>
    <w:qFormat/>
    <w:rPr/>
  </w:style>
  <w:style w:type="character" w:styleId="WW8Num37z6">
    <w:name w:val="WW8Num37z6"/>
    <w:qFormat/>
    <w:rPr/>
  </w:style>
  <w:style w:type="character" w:styleId="WW8Num37z7">
    <w:name w:val="WW8Num37z7"/>
    <w:qFormat/>
    <w:rPr/>
  </w:style>
  <w:style w:type="character" w:styleId="WW8Num37z8">
    <w:name w:val="WW8Num37z8"/>
    <w:qFormat/>
    <w:rPr/>
  </w:style>
  <w:style w:type="character" w:styleId="WW8Num38z0">
    <w:name w:val="WW8Num38z0"/>
    <w:qFormat/>
    <w:rPr>
      <w:rFonts w:ascii="Symbol" w:hAnsi="Symbol" w:cs="Symbol"/>
      <w:sz w:val="20"/>
    </w:rPr>
  </w:style>
  <w:style w:type="character" w:styleId="WW8Num38z1">
    <w:name w:val="WW8Num38z1"/>
    <w:qFormat/>
    <w:rPr/>
  </w:style>
  <w:style w:type="character" w:styleId="WW8Num38z4">
    <w:name w:val="WW8Num38z4"/>
    <w:qFormat/>
    <w:rPr>
      <w:rFonts w:ascii="Wingdings" w:hAnsi="Wingdings" w:cs="Wingdings"/>
      <w:sz w:val="20"/>
    </w:rPr>
  </w:style>
  <w:style w:type="character" w:styleId="WW8Num39z0">
    <w:name w:val="WW8Num39z0"/>
    <w:qFormat/>
    <w:rPr/>
  </w:style>
  <w:style w:type="character" w:styleId="WW8Num39z1">
    <w:name w:val="WW8Num39z1"/>
    <w:qFormat/>
    <w:rPr/>
  </w:style>
  <w:style w:type="character" w:styleId="WW8Num39z2">
    <w:name w:val="WW8Num39z2"/>
    <w:qFormat/>
    <w:rPr/>
  </w:style>
  <w:style w:type="character" w:styleId="WW8Num39z3">
    <w:name w:val="WW8Num39z3"/>
    <w:qFormat/>
    <w:rPr/>
  </w:style>
  <w:style w:type="character" w:styleId="WW8Num39z4">
    <w:name w:val="WW8Num39z4"/>
    <w:qFormat/>
    <w:rPr/>
  </w:style>
  <w:style w:type="character" w:styleId="WW8Num39z5">
    <w:name w:val="WW8Num39z5"/>
    <w:qFormat/>
    <w:rPr/>
  </w:style>
  <w:style w:type="character" w:styleId="WW8Num39z6">
    <w:name w:val="WW8Num39z6"/>
    <w:qFormat/>
    <w:rPr/>
  </w:style>
  <w:style w:type="character" w:styleId="WW8Num39z7">
    <w:name w:val="WW8Num39z7"/>
    <w:qFormat/>
    <w:rPr/>
  </w:style>
  <w:style w:type="character" w:styleId="WW8Num39z8">
    <w:name w:val="WW8Num39z8"/>
    <w:qFormat/>
    <w:rPr/>
  </w:style>
  <w:style w:type="character" w:styleId="WW8Num40z0">
    <w:name w:val="WW8Num40z0"/>
    <w:qFormat/>
    <w:rPr/>
  </w:style>
  <w:style w:type="character" w:styleId="WW8Num40z1">
    <w:name w:val="WW8Num40z1"/>
    <w:qFormat/>
    <w:rPr/>
  </w:style>
  <w:style w:type="character" w:styleId="WW8Num40z2">
    <w:name w:val="WW8Num40z2"/>
    <w:qFormat/>
    <w:rPr/>
  </w:style>
  <w:style w:type="character" w:styleId="WW8Num40z3">
    <w:name w:val="WW8Num40z3"/>
    <w:qFormat/>
    <w:rPr/>
  </w:style>
  <w:style w:type="character" w:styleId="WW8Num40z4">
    <w:name w:val="WW8Num40z4"/>
    <w:qFormat/>
    <w:rPr/>
  </w:style>
  <w:style w:type="character" w:styleId="WW8Num40z5">
    <w:name w:val="WW8Num40z5"/>
    <w:qFormat/>
    <w:rPr/>
  </w:style>
  <w:style w:type="character" w:styleId="WW8Num40z6">
    <w:name w:val="WW8Num40z6"/>
    <w:qFormat/>
    <w:rPr/>
  </w:style>
  <w:style w:type="character" w:styleId="WW8Num40z7">
    <w:name w:val="WW8Num40z7"/>
    <w:qFormat/>
    <w:rPr/>
  </w:style>
  <w:style w:type="character" w:styleId="WW8Num40z8">
    <w:name w:val="WW8Num40z8"/>
    <w:qFormat/>
    <w:rPr/>
  </w:style>
  <w:style w:type="character" w:styleId="Policepardfaut">
    <w:name w:val="Police par défaut"/>
    <w:qFormat/>
    <w:rPr/>
  </w:style>
  <w:style w:type="character" w:styleId="PageNumber">
    <w:name w:val="Page Number"/>
    <w:basedOn w:val="Policepardfaut"/>
    <w:rPr/>
  </w:style>
  <w:style w:type="character" w:styleId="InternetLink">
    <w:name w:val="Internet Link"/>
    <w:rPr>
      <w:color w:val="0000FF"/>
      <w:u w:val="single"/>
    </w:rPr>
  </w:style>
  <w:style w:type="character" w:styleId="Tooltip">
    <w:name w:val="tool-tip"/>
    <w:qFormat/>
    <w:rPr/>
  </w:style>
  <w:style w:type="character" w:styleId="Sronly">
    <w:name w:val="sr-only"/>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jc w:val="both"/>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Textedebulles">
    <w:name w:val="Texte de bulles"/>
    <w:basedOn w:val="Normal"/>
    <w:qFormat/>
    <w:pPr/>
    <w:rPr>
      <w:rFonts w:ascii="Tahoma" w:hAnsi="Tahoma" w:cs="Tahoma"/>
      <w:sz w:val="16"/>
      <w:szCs w:val="16"/>
    </w:rPr>
  </w:style>
  <w:style w:type="paragraph" w:styleId="Paragraphedeliste">
    <w:name w:val="Paragraphe de liste"/>
    <w:basedOn w:val="Normal"/>
    <w:qFormat/>
    <w:pPr>
      <w:spacing w:lineRule="auto" w:line="276" w:before="0" w:after="200"/>
      <w:ind w:left="720" w:hanging="0"/>
      <w:contextualSpacing/>
    </w:pPr>
    <w:rPr>
      <w:rFonts w:ascii="Calibri" w:hAnsi="Calibri" w:eastAsia="Calibri" w:cs="Times New Roman"/>
      <w:sz w:val="22"/>
      <w:szCs w:val="22"/>
    </w:rPr>
  </w:style>
  <w:style w:type="paragraph" w:styleId="NormalWeb">
    <w:name w:val="Normal (Web)"/>
    <w:basedOn w:val="Normal"/>
    <w:qFormat/>
    <w:pPr>
      <w:spacing w:before="280" w:after="28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11</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2022-04-11T14:39:00Z</dcterms:created>
  <dc:creator/>
  <dc:description/>
  <dc:language>en-GB</dc:language>
  <cp:lastModifiedBy/>
  <cp:lastPrinted>2021-11-23T11:47:00Z</cp:lastPrinted>
  <dcterms:modified xsi:type="dcterms:W3CDTF">2022-04-11T14:50:00Z</dcterms:modified>
  <cp:revision>3</cp:revision>
  <dc:subject/>
  <dc:title>COMPTE RENDU REUNION NEGOCIATION ANNUELLE</dc:title>
</cp:coreProperties>
</file>