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1.jpeg" ContentType="image/jpeg"/>
  <Override PartName="/word/header1.xml" ContentType="application/vnd.openxmlformats-officedocument.wordprocessingml.header+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before="0" w:after="200"/>
        <w:jc w:val="center"/>
        <w:rPr>
          <w:rFonts w:cs="Calibri"/>
          <w:b/>
          <w:b/>
          <w:smallCaps/>
          <w:sz w:val="36"/>
          <w:szCs w:val="36"/>
        </w:rPr>
      </w:pPr>
      <w:r>
        <w:rPr>
          <w:rFonts w:cs="Calibri"/>
          <w:b/>
          <w:smallCaps/>
          <w:sz w:val="36"/>
          <w:szCs w:val="36"/>
        </w:rPr>
      </w:r>
    </w:p>
    <w:p>
      <w:pPr>
        <w:pStyle w:val="Normal"/>
        <w:spacing w:lineRule="auto" w:line="276" w:before="0" w:after="200"/>
        <w:jc w:val="center"/>
        <w:rPr>
          <w:rFonts w:cs="Calibri"/>
          <w:b/>
          <w:b/>
          <w:smallCaps/>
          <w:sz w:val="36"/>
          <w:szCs w:val="36"/>
        </w:rPr>
      </w:pPr>
      <w:r>
        <w:rPr>
          <w:rFonts w:cs="Calibri"/>
          <w:b/>
          <w:smallCaps/>
          <w:sz w:val="36"/>
          <w:szCs w:val="36"/>
        </w:rPr>
        <w:t xml:space="preserve">accord d’entreprise relatif à la durée du travail </w:t>
        <w:br/>
        <w:t xml:space="preserve">et à l’organisation des petits déplacements </w:t>
      </w:r>
    </w:p>
    <w:p>
      <w:pPr>
        <w:pStyle w:val="Normal"/>
        <w:spacing w:lineRule="auto" w:line="276" w:before="0" w:after="200"/>
        <w:jc w:val="center"/>
        <w:rPr>
          <w:rFonts w:cs="Calibri"/>
          <w:b/>
          <w:b/>
          <w:smallCaps/>
          <w:sz w:val="22"/>
          <w:szCs w:val="22"/>
        </w:rPr>
      </w:pPr>
      <w:r>
        <w:rPr>
          <w:rFonts w:cs="Calibri"/>
          <w:b/>
          <w:smallCaps/>
          <w:sz w:val="22"/>
          <w:szCs w:val="22"/>
        </w:rPr>
      </w:r>
    </w:p>
    <w:p>
      <w:pPr>
        <w:pStyle w:val="Normal"/>
        <w:spacing w:lineRule="auto" w:line="276" w:before="0" w:after="200"/>
        <w:jc w:val="both"/>
        <w:rPr/>
      </w:pPr>
      <w:r>
        <w:rPr/>
        <w:t>Entre :</w:t>
      </w:r>
    </w:p>
    <w:p>
      <w:pPr>
        <w:pStyle w:val="Normal"/>
        <w:spacing w:lineRule="auto" w:line="276" w:before="0" w:after="200"/>
        <w:jc w:val="both"/>
        <w:rPr/>
      </w:pPr>
      <w:r>
        <w:rPr/>
        <w:t xml:space="preserve">La Société MENUISERIE FERNANDEZ SARL, dont le siège social est situé à Zone Industrielle du Mas de Mèze – 12 chemin des pins 30700 UZES, immatriculée au Répertoire des Métiers sous le numéro 318 027 687 et au Registre du Commerce et des Sociétés de Nîmes sous le numéro 80B53 et représentée par Monsieur </w:t>
      </w:r>
    </w:p>
    <w:p>
      <w:pPr>
        <w:pStyle w:val="Normal"/>
        <w:spacing w:lineRule="auto" w:line="276" w:before="0" w:after="200"/>
        <w:jc w:val="both"/>
        <w:rPr/>
      </w:pPr>
      <w:r>
        <w:rPr/>
      </w:r>
    </w:p>
    <w:p>
      <w:pPr>
        <w:pStyle w:val="Normal"/>
        <w:spacing w:lineRule="auto" w:line="276" w:before="0" w:after="200"/>
        <w:jc w:val="both"/>
        <w:rPr/>
      </w:pPr>
      <w:r>
        <w:rPr/>
        <w:t xml:space="preserve">Et </w:t>
      </w:r>
    </w:p>
    <w:p>
      <w:pPr>
        <w:pStyle w:val="Normal"/>
        <w:spacing w:lineRule="auto" w:line="276" w:before="0" w:after="200"/>
        <w:jc w:val="both"/>
        <w:rPr/>
      </w:pPr>
      <w:r>
        <w:rPr/>
        <w:t xml:space="preserve">Les salariés de la société MENUISERIE FERNANDEZ SARL : </w:t>
      </w:r>
    </w:p>
    <w:tbl>
      <w:tblPr>
        <w:tblW w:w="10595" w:type="dxa"/>
        <w:jc w:val="left"/>
        <w:tblInd w:w="0" w:type="dxa"/>
        <w:tblBorders/>
        <w:tblCellMar>
          <w:top w:w="0" w:type="dxa"/>
          <w:left w:w="108" w:type="dxa"/>
          <w:bottom w:w="0" w:type="dxa"/>
          <w:right w:w="108" w:type="dxa"/>
        </w:tblCellMar>
      </w:tblPr>
      <w:tblGrid>
        <w:gridCol w:w="10595"/>
      </w:tblGrid>
      <w:tr>
        <w:trPr>
          <w:trHeight w:val="851" w:hRule="atLeast"/>
          <w:cantSplit w:val="true"/>
        </w:trPr>
        <w:tc>
          <w:tcPr>
            <w:tcW w:w="10595" w:type="dxa"/>
            <w:tcBorders/>
            <w:shd w:fill="auto" w:val="clear"/>
            <w:vAlign w:val="center"/>
          </w:tcPr>
          <w:p>
            <w:pPr>
              <w:pStyle w:val="Normal"/>
              <w:tabs>
                <w:tab w:val="left" w:pos="4820" w:leader="none"/>
              </w:tabs>
              <w:snapToGrid w:val="false"/>
              <w:rPr>
                <w:rFonts w:ascii="Arial" w:hAnsi="Arial" w:cs="Arial"/>
              </w:rPr>
            </w:pPr>
            <w:r>
              <w:rPr>
                <w:rFonts w:cs="Arial" w:ascii="Arial" w:hAnsi="Arial"/>
              </w:rPr>
            </w:r>
          </w:p>
        </w:tc>
      </w:tr>
    </w:tbl>
    <w:p>
      <w:pPr>
        <w:pStyle w:val="Normal"/>
        <w:spacing w:before="240" w:after="200"/>
        <w:jc w:val="both"/>
        <w:rPr>
          <w:rFonts w:ascii="Calibri" w:hAnsi="Calibri" w:cs="Calibri"/>
          <w:sz w:val="22"/>
          <w:szCs w:val="22"/>
          <w:lang w:eastAsia="en-US"/>
        </w:rPr>
      </w:pPr>
      <w:r>
        <w:rPr/>
        <w:t xml:space="preserve">Il est convenu ce qui suit : </w:t>
      </w:r>
    </w:p>
    <w:p>
      <w:pPr>
        <w:pStyle w:val="Normal"/>
        <w:spacing w:before="360" w:after="240"/>
        <w:jc w:val="both"/>
        <w:rPr/>
      </w:pPr>
      <w:r>
        <w:rPr>
          <w:b/>
        </w:rPr>
        <w:t>Préambule</w:t>
      </w:r>
      <w:r>
        <w:rPr/>
        <w:t xml:space="preserve"> </w:t>
      </w:r>
    </w:p>
    <w:p>
      <w:pPr>
        <w:pStyle w:val="Normal"/>
        <w:spacing w:before="0" w:after="200"/>
        <w:jc w:val="both"/>
        <w:rPr/>
      </w:pPr>
      <w:r>
        <w:rPr/>
        <w:t xml:space="preserve">Depuis le </w:t>
      </w:r>
      <w:r>
        <w:rPr>
          <w:i/>
        </w:rPr>
        <w:t>1</w:t>
      </w:r>
      <w:r>
        <w:rPr>
          <w:i/>
          <w:vertAlign w:val="superscript"/>
        </w:rPr>
        <w:t>er</w:t>
      </w:r>
      <w:r>
        <w:rPr>
          <w:i/>
        </w:rPr>
        <w:t xml:space="preserve"> juillet 2018</w:t>
      </w:r>
      <w:r>
        <w:rPr>
          <w:rStyle w:val="FootnoteAnchor"/>
          <w:vertAlign w:val="superscript"/>
        </w:rPr>
        <w:footnoteReference w:id="2"/>
      </w:r>
      <w:r>
        <w:rPr/>
        <w:t xml:space="preserve">, l’entreprise a fait évoluer certaines de ses pratiques, afin de se mettre en conformité avec la nouvelle rédaction de la Convention collective nationale des Ouvriers du 8 octobre 1990 révisée le 7 mars 2018. Toutefois, cette nouvelle rédaction vient d’être remise en cause. </w:t>
      </w:r>
    </w:p>
    <w:p>
      <w:pPr>
        <w:pStyle w:val="Normal"/>
        <w:spacing w:before="0" w:after="120"/>
        <w:jc w:val="both"/>
        <w:rPr/>
      </w:pPr>
      <w:r>
        <w:rPr/>
      </w:r>
    </w:p>
    <w:p>
      <w:pPr>
        <w:pStyle w:val="Normal"/>
        <w:spacing w:before="0" w:after="120"/>
        <w:jc w:val="both"/>
        <w:rPr/>
      </w:pPr>
      <w:r>
        <w:rPr/>
        <w:t>Partant du constat que l’activité de l’entreprise nécessite de conserver à son niveau les avancées importantes issues du texte révisé, tant pour les salariés que pour l’entreprise, et soucieuses de préserver cet équilibre global, les parties ont décidé :</w:t>
      </w:r>
    </w:p>
    <w:p>
      <w:pPr>
        <w:pStyle w:val="Normal"/>
        <w:spacing w:before="0" w:after="120"/>
        <w:jc w:val="both"/>
        <w:rPr/>
      </w:pPr>
      <w:r>
        <w:rPr/>
      </w:r>
    </w:p>
    <w:p>
      <w:pPr>
        <w:pStyle w:val="Normal"/>
        <w:spacing w:before="0" w:after="120"/>
        <w:jc w:val="both"/>
        <w:rPr/>
      </w:pPr>
      <w:r>
        <w:rPr/>
      </w:r>
    </w:p>
    <w:p>
      <w:pPr>
        <w:pStyle w:val="Normal"/>
        <w:spacing w:before="0" w:after="120"/>
        <w:ind w:left="720" w:hanging="0"/>
        <w:contextualSpacing/>
        <w:jc w:val="both"/>
        <w:rPr/>
      </w:pPr>
      <w:r>
        <w:rPr/>
      </w:r>
    </w:p>
    <w:p>
      <w:pPr>
        <w:pStyle w:val="Normal"/>
        <w:spacing w:before="0" w:after="120"/>
        <w:ind w:left="720" w:hanging="0"/>
        <w:contextualSpacing/>
        <w:jc w:val="both"/>
        <w:rPr/>
      </w:pPr>
      <w:r>
        <w:rPr/>
      </w:r>
    </w:p>
    <w:p>
      <w:pPr>
        <w:pStyle w:val="Normal"/>
        <w:spacing w:before="0" w:after="120"/>
        <w:ind w:left="720" w:hanging="0"/>
        <w:contextualSpacing/>
        <w:jc w:val="both"/>
        <w:rPr/>
      </w:pPr>
      <w:r>
        <w:rPr/>
      </w:r>
    </w:p>
    <w:p>
      <w:pPr>
        <w:pStyle w:val="Normal"/>
        <w:numPr>
          <w:ilvl w:val="0"/>
          <w:numId w:val="3"/>
        </w:numPr>
        <w:spacing w:before="0" w:after="120"/>
        <w:contextualSpacing/>
        <w:jc w:val="both"/>
        <w:rPr/>
      </w:pPr>
      <w:r>
        <w:rPr/>
        <w:t xml:space="preserve">de maintenir  le contingent d’heures supplémentaires à un niveau élevé, </w:t>
      </w:r>
    </w:p>
    <w:p>
      <w:pPr>
        <w:pStyle w:val="Normal"/>
        <w:numPr>
          <w:ilvl w:val="0"/>
          <w:numId w:val="3"/>
        </w:numPr>
        <w:spacing w:before="0" w:after="120"/>
        <w:contextualSpacing/>
        <w:jc w:val="both"/>
        <w:rPr/>
      </w:pPr>
      <w:r>
        <w:rPr/>
        <w:t>de fixer les majorations applicables en cas de travail exceptionnel de nuit, du dimanche ou d’un jour férié,</w:t>
      </w:r>
    </w:p>
    <w:p>
      <w:pPr>
        <w:pStyle w:val="Normal"/>
        <w:numPr>
          <w:ilvl w:val="0"/>
          <w:numId w:val="3"/>
        </w:numPr>
        <w:spacing w:before="0" w:after="120"/>
        <w:contextualSpacing/>
        <w:jc w:val="both"/>
        <w:rPr/>
      </w:pPr>
      <w:r>
        <w:rPr/>
        <w:t>et d’aménager le régime des petits déplacements applicable à l’entreprise.</w:t>
      </w:r>
    </w:p>
    <w:p>
      <w:pPr>
        <w:pStyle w:val="Normal"/>
        <w:numPr>
          <w:ilvl w:val="0"/>
          <w:numId w:val="3"/>
        </w:numPr>
        <w:spacing w:before="0" w:after="120"/>
        <w:contextualSpacing/>
        <w:jc w:val="both"/>
        <w:rPr/>
      </w:pPr>
      <w:r>
        <w:rPr/>
      </w:r>
    </w:p>
    <w:p>
      <w:pPr>
        <w:pStyle w:val="Normal"/>
        <w:spacing w:before="0" w:after="120"/>
        <w:jc w:val="both"/>
        <w:rPr/>
      </w:pPr>
      <w:r>
        <w:rPr/>
        <w:t xml:space="preserve">Il est convenu ce qui suit : </w:t>
      </w:r>
    </w:p>
    <w:p>
      <w:pPr>
        <w:pStyle w:val="Normal"/>
        <w:spacing w:before="0" w:after="120"/>
        <w:jc w:val="both"/>
        <w:rPr/>
      </w:pPr>
      <w:r>
        <w:rPr/>
      </w:r>
    </w:p>
    <w:p>
      <w:pPr>
        <w:pStyle w:val="Normal"/>
        <w:spacing w:before="360" w:after="240"/>
        <w:jc w:val="both"/>
        <w:rPr>
          <w:b/>
          <w:b/>
          <w:smallCaps/>
        </w:rPr>
      </w:pPr>
      <w:r>
        <w:rPr>
          <w:b/>
          <w:smallCaps/>
        </w:rPr>
        <w:t xml:space="preserve">Article 1 : Heures supplémentaires </w:t>
      </w:r>
    </w:p>
    <w:p>
      <w:pPr>
        <w:pStyle w:val="Normal"/>
        <w:spacing w:before="360" w:after="240"/>
        <w:jc w:val="both"/>
        <w:rPr>
          <w:b/>
          <w:b/>
          <w:sz w:val="22"/>
          <w:szCs w:val="22"/>
          <w:u w:val="single"/>
        </w:rPr>
      </w:pPr>
      <w:r>
        <w:rPr>
          <w:b/>
          <w:u w:val="single"/>
        </w:rPr>
        <w:t xml:space="preserve">Article 1-1  : Contingent d’heures supplémentaires </w:t>
      </w:r>
    </w:p>
    <w:p>
      <w:pPr>
        <w:pStyle w:val="Normal"/>
        <w:spacing w:lineRule="auto" w:line="276" w:before="0" w:after="200"/>
        <w:jc w:val="both"/>
        <w:rPr/>
      </w:pPr>
      <w:r>
        <w:rPr/>
        <w:t>A compter du 1</w:t>
      </w:r>
      <w:r>
        <w:rPr>
          <w:vertAlign w:val="superscript"/>
        </w:rPr>
        <w:t>er</w:t>
      </w:r>
      <w:r>
        <w:rPr/>
        <w:t xml:space="preserve"> janvier 2019, le contingent d’heures supplémentaires applicable à l’ensemble des salariés de l’entreprise (Ouvriers, Etam et Cadres),est: </w:t>
      </w:r>
    </w:p>
    <w:p>
      <w:pPr>
        <w:pStyle w:val="Normal"/>
        <w:numPr>
          <w:ilvl w:val="0"/>
          <w:numId w:val="5"/>
        </w:numPr>
        <w:spacing w:lineRule="auto" w:line="276" w:before="0" w:after="200"/>
        <w:contextualSpacing/>
        <w:jc w:val="both"/>
        <w:rPr>
          <w:b/>
          <w:b/>
          <w:i/>
          <w:i/>
          <w:u w:val="single"/>
        </w:rPr>
      </w:pPr>
      <w:r>
        <w:rPr/>
        <w:t xml:space="preserve">de 300 heures par an et par salarié. </w:t>
      </w:r>
    </w:p>
    <w:p>
      <w:pPr>
        <w:pStyle w:val="Normal"/>
        <w:spacing w:before="360" w:after="240"/>
        <w:jc w:val="both"/>
        <w:rPr>
          <w:b/>
          <w:b/>
          <w:i/>
          <w:i/>
          <w:u w:val="single"/>
        </w:rPr>
      </w:pPr>
      <w:r>
        <w:rPr>
          <w:b/>
          <w:i/>
          <w:u w:val="single"/>
        </w:rPr>
        <w:t>Article 1-2 : Majorations applicables aux heures supplémentaires</w:t>
      </w:r>
      <w:r>
        <w:rPr>
          <w:b/>
          <w:i/>
        </w:rPr>
        <w:t xml:space="preserve"> </w:t>
      </w:r>
    </w:p>
    <w:p>
      <w:pPr>
        <w:pStyle w:val="Normal"/>
        <w:spacing w:before="0" w:after="200"/>
        <w:jc w:val="both"/>
        <w:rPr/>
      </w:pPr>
      <w:r>
        <w:rPr/>
        <w:t xml:space="preserve">Conformément aux dispositions légales et conventionnelles actuellement en vigueur, les heures supplémentaires effectuées au-delà de la durée hebdomadaire de travail de 35 heures par semaine ouvrent droit à une majoration de : </w:t>
      </w:r>
    </w:p>
    <w:p>
      <w:pPr>
        <w:pStyle w:val="Normal"/>
        <w:numPr>
          <w:ilvl w:val="0"/>
          <w:numId w:val="4"/>
        </w:numPr>
        <w:spacing w:lineRule="auto" w:line="276" w:before="0" w:after="200"/>
        <w:contextualSpacing/>
        <w:jc w:val="both"/>
        <w:rPr>
          <w:u w:val="single"/>
        </w:rPr>
      </w:pPr>
      <w:r>
        <w:rPr/>
        <w:t>25% du salaire horaire effectif pour les 8 premières heures,</w:t>
      </w:r>
    </w:p>
    <w:p>
      <w:pPr>
        <w:pStyle w:val="Normal"/>
        <w:numPr>
          <w:ilvl w:val="0"/>
          <w:numId w:val="4"/>
        </w:numPr>
        <w:spacing w:lineRule="auto" w:line="276" w:before="0" w:after="200"/>
        <w:contextualSpacing/>
        <w:jc w:val="both"/>
        <w:rPr>
          <w:u w:val="single"/>
        </w:rPr>
      </w:pPr>
      <w:r>
        <w:rPr/>
        <w:t>et 50% du salaire horaire effectif au-delà de la 8</w:t>
      </w:r>
      <w:r>
        <w:rPr>
          <w:vertAlign w:val="superscript"/>
        </w:rPr>
        <w:t>ème</w:t>
      </w:r>
      <w:r>
        <w:rPr/>
        <w:t xml:space="preserve"> heure </w:t>
      </w:r>
      <w:r>
        <w:rPr>
          <w:rStyle w:val="FootnoteAnchor"/>
          <w:vertAlign w:val="superscript"/>
        </w:rPr>
        <w:footnoteReference w:id="3"/>
      </w:r>
    </w:p>
    <w:p>
      <w:pPr>
        <w:pStyle w:val="Normal"/>
        <w:spacing w:lineRule="auto" w:line="276" w:before="0" w:after="200"/>
        <w:ind w:left="720" w:hanging="0"/>
        <w:contextualSpacing/>
        <w:jc w:val="both"/>
        <w:rPr>
          <w:u w:val="single"/>
        </w:rPr>
      </w:pPr>
      <w:r>
        <w:rPr>
          <w:u w:val="single"/>
        </w:rPr>
      </w:r>
    </w:p>
    <w:p>
      <w:pPr>
        <w:pStyle w:val="Normal"/>
        <w:spacing w:before="360" w:after="240"/>
        <w:jc w:val="both"/>
        <w:rPr>
          <w:b/>
          <w:b/>
          <w:smallCaps/>
        </w:rPr>
      </w:pPr>
      <w:r>
        <w:rPr>
          <w:b/>
          <w:smallCaps/>
        </w:rPr>
        <w:t>Article 2 : Petits déplacements</w:t>
      </w:r>
    </w:p>
    <w:p>
      <w:pPr>
        <w:pStyle w:val="Normal"/>
        <w:spacing w:before="360" w:after="240"/>
        <w:jc w:val="both"/>
        <w:rPr>
          <w:b/>
          <w:b/>
          <w:sz w:val="22"/>
          <w:szCs w:val="22"/>
          <w:u w:val="single"/>
        </w:rPr>
      </w:pPr>
      <w:r>
        <w:rPr>
          <w:b/>
          <w:u w:val="single"/>
        </w:rPr>
        <w:t xml:space="preserve">Article 2-1 : Salariés concernés </w:t>
      </w:r>
    </w:p>
    <w:p>
      <w:pPr>
        <w:pStyle w:val="Normal"/>
        <w:spacing w:before="120" w:after="200"/>
        <w:jc w:val="both"/>
        <w:rPr/>
      </w:pPr>
      <w:r>
        <w:rPr/>
        <w:t>Les ouvriers non sédentaires de l’entreprise bénéficient du régime des petits déplacements dans les conditions prévues par les articles VIII-11 et suivants de la Convention collective nationale des Ouvriers du Bâtiment du 8 octobre 1990, sous réserve des précisions et adaptations apportées par le présent accord.</w:t>
      </w:r>
    </w:p>
    <w:p>
      <w:pPr>
        <w:pStyle w:val="Normal"/>
        <w:spacing w:before="120" w:after="200"/>
        <w:jc w:val="both"/>
        <w:rPr/>
      </w:pPr>
      <w:r>
        <w:rPr/>
      </w:r>
    </w:p>
    <w:p>
      <w:pPr>
        <w:pStyle w:val="Normal"/>
        <w:spacing w:before="120" w:after="200"/>
        <w:jc w:val="both"/>
        <w:rPr/>
      </w:pPr>
      <w:r>
        <w:rPr/>
      </w:r>
    </w:p>
    <w:p>
      <w:pPr>
        <w:pStyle w:val="Normal"/>
        <w:spacing w:before="120" w:after="200"/>
        <w:jc w:val="both"/>
        <w:rPr/>
      </w:pPr>
      <w:r>
        <w:rPr/>
      </w:r>
    </w:p>
    <w:p>
      <w:pPr>
        <w:pStyle w:val="Normal"/>
        <w:spacing w:before="120" w:after="200"/>
        <w:jc w:val="both"/>
        <w:rPr/>
      </w:pPr>
      <w:r>
        <w:rPr/>
      </w:r>
    </w:p>
    <w:p>
      <w:pPr>
        <w:pStyle w:val="Normal"/>
        <w:spacing w:before="120" w:after="200"/>
        <w:jc w:val="both"/>
        <w:rPr/>
      </w:pPr>
      <w:r>
        <w:rPr/>
      </w:r>
    </w:p>
    <w:p>
      <w:pPr>
        <w:pStyle w:val="Normal"/>
        <w:spacing w:before="360" w:after="240"/>
        <w:jc w:val="both"/>
        <w:rPr>
          <w:b/>
          <w:b/>
          <w:u w:val="single"/>
        </w:rPr>
      </w:pPr>
      <w:r>
        <w:rPr>
          <w:b/>
          <w:u w:val="single"/>
        </w:rPr>
        <w:t xml:space="preserve">Article 2-2 : Zones concentriques </w:t>
      </w:r>
    </w:p>
    <w:p>
      <w:pPr>
        <w:pStyle w:val="Normal"/>
        <w:spacing w:before="120" w:after="200"/>
        <w:jc w:val="both"/>
        <w:rPr>
          <w:rFonts w:eastAsia="Calibri"/>
          <w:sz w:val="18"/>
        </w:rPr>
      </w:pPr>
      <w:r>
        <w:rPr/>
        <w:t>Il est institué un système de zones concentriques dont les limites sont distantes entre elles de 10 km mesurés</w:t>
      </w:r>
      <w:r>
        <w:rPr>
          <w:rFonts w:eastAsia="Calibri"/>
          <w:sz w:val="18"/>
        </w:rPr>
        <w:t xml:space="preserve"> </w:t>
      </w:r>
      <w:r>
        <w:rPr>
          <w:rFonts w:eastAsia="Calibri" w:cs="Arial"/>
          <w:szCs w:val="20"/>
        </w:rPr>
        <w:t>au moyen d’un site internet reconnu de calcul d’itinéraire</w:t>
      </w:r>
      <w:r>
        <w:rPr>
          <w:rFonts w:eastAsia="Calibri"/>
          <w:sz w:val="18"/>
        </w:rPr>
        <w:t>.</w:t>
      </w:r>
    </w:p>
    <w:p>
      <w:pPr>
        <w:pStyle w:val="Normal"/>
        <w:spacing w:before="0" w:after="120"/>
        <w:jc w:val="both"/>
        <w:rPr>
          <w:rFonts w:eastAsia="Calibri"/>
          <w:sz w:val="22"/>
        </w:rPr>
      </w:pPr>
      <w:r>
        <w:rPr/>
        <w:t>Le nombre de zones concentriques, permettant de déterminer les indemnités dues, est de cinq. La première zone est définie par une limite de 10 km, mesurée selon les modalités prévues ci-dessus, dont le centre est le point de départ des petits déplacements.</w:t>
      </w:r>
    </w:p>
    <w:p>
      <w:pPr>
        <w:pStyle w:val="Normal"/>
        <w:spacing w:before="120" w:after="200"/>
        <w:jc w:val="both"/>
        <w:rPr>
          <w:rFonts w:eastAsia="Calibri"/>
          <w:sz w:val="22"/>
        </w:rPr>
      </w:pPr>
      <w:r>
        <w:rPr>
          <w:rFonts w:eastAsia="Calibri"/>
          <w:sz w:val="22"/>
        </w:rPr>
      </w:r>
    </w:p>
    <w:p>
      <w:pPr>
        <w:pStyle w:val="Normal"/>
        <w:spacing w:before="120" w:after="200"/>
        <w:jc w:val="both"/>
        <w:rPr/>
      </w:pPr>
      <w:r>
        <w:rPr/>
        <w:t>Les montants des indemnités de petits déplacements auxquels l’ouvrier a droit sont ceux de la zone dans laquelle se situe le chantier sur lequel il travaille. Au cas où une ou plusieurs limites de zones passent à l’intérieur du chantier, la zone prise en considération est celle où se situe le lieu de travail de l’ouvrier ou celle qui lui est la plus favorable, pour le cas où il travaille sur deux zones.</w:t>
      </w:r>
    </w:p>
    <w:p>
      <w:pPr>
        <w:pStyle w:val="Normal"/>
        <w:spacing w:before="360" w:after="240"/>
        <w:jc w:val="both"/>
        <w:rPr>
          <w:b/>
          <w:b/>
          <w:u w:val="single"/>
        </w:rPr>
      </w:pPr>
      <w:r>
        <w:rPr>
          <w:b/>
          <w:u w:val="single"/>
        </w:rPr>
        <w:t>Article 2-3 : Indemnité de trajet</w:t>
      </w:r>
    </w:p>
    <w:p>
      <w:pPr>
        <w:pStyle w:val="Normal"/>
        <w:spacing w:before="0" w:after="200"/>
        <w:jc w:val="both"/>
        <w:rPr/>
      </w:pPr>
      <w:r>
        <w:rPr/>
        <w:t xml:space="preserve">Le trajet correspond à la nécessité de se rendre quotidiennement sur le chantier, avant la journée de travail, et d’en revenir, après la journée de travail et est indemnisé par le versement d’une indemnité de trajet. </w:t>
      </w:r>
    </w:p>
    <w:p>
      <w:pPr>
        <w:pStyle w:val="Normal"/>
        <w:spacing w:before="0" w:after="200"/>
        <w:jc w:val="both"/>
        <w:rPr/>
      </w:pPr>
      <w:r>
        <w:rPr/>
        <w:t>Ainsi, en contrepartie de la mobilité du lieu de travail, inhérente à l’emploi sur chantier, l’indemnité de trajet a pour objet d’indemniser forfaitairement l’amplitude que représente pour l’ouvrier le trajet nécessaire pour se rendre quotidiennement sur le chantier avant le début de la journée de travail et d’en revenir après la journée de travail.</w:t>
      </w:r>
    </w:p>
    <w:p>
      <w:pPr>
        <w:pStyle w:val="Normal"/>
        <w:spacing w:before="0" w:after="200"/>
        <w:jc w:val="both"/>
        <w:rPr>
          <w:b/>
          <w:b/>
          <w:bCs/>
          <w:i/>
          <w:i/>
          <w:iCs/>
        </w:rPr>
      </w:pPr>
      <w:r>
        <w:rPr/>
        <w:t xml:space="preserve">L’indemnité de trajet n’est pas due lorsque l’ouvrier est logé gratuitement par l’entreprise sur le chantier ou à proximité immédiate du chantier ou lorsque </w:t>
      </w:r>
      <w:r>
        <w:rPr>
          <w:b/>
          <w:bCs/>
          <w:i/>
          <w:iCs/>
        </w:rPr>
        <w:t>le temps de trajet est rémunéré en temps de travail.</w:t>
      </w:r>
    </w:p>
    <w:p>
      <w:pPr>
        <w:pStyle w:val="Normal"/>
        <w:jc w:val="both"/>
        <w:rPr>
          <w:rFonts w:eastAsia="Calibri" w:cs="Calibri"/>
          <w:b/>
          <w:b/>
          <w:bCs/>
          <w:i/>
          <w:i/>
          <w:iCs/>
        </w:rPr>
      </w:pPr>
      <w:r>
        <w:rPr>
          <w:rFonts w:eastAsia="Calibri" w:cs="Calibri"/>
          <w:b/>
          <w:bCs/>
          <w:i/>
          <w:iCs/>
        </w:rPr>
      </w:r>
    </w:p>
    <w:p>
      <w:pPr>
        <w:pStyle w:val="Normal"/>
        <w:spacing w:before="360" w:after="240"/>
        <w:jc w:val="both"/>
        <w:rPr>
          <w:rFonts w:ascii="Calibri" w:hAnsi="Calibri" w:cs="Calibri"/>
          <w:b/>
          <w:b/>
          <w:sz w:val="22"/>
          <w:szCs w:val="22"/>
          <w:u w:val="single"/>
          <w:lang w:eastAsia="en-US"/>
        </w:rPr>
      </w:pPr>
      <w:r>
        <w:rPr>
          <w:b/>
          <w:u w:val="single"/>
        </w:rPr>
        <w:t>Article 2-5 : Indemnité de repas</w:t>
      </w:r>
    </w:p>
    <w:p>
      <w:pPr>
        <w:pStyle w:val="Normal"/>
        <w:jc w:val="both"/>
        <w:rPr/>
      </w:pPr>
      <w:r>
        <w:rPr/>
        <w:t xml:space="preserve">L’indemnité de repas a pour objet d’indemniser l’ouvrier mis, pour des raisons de service, dans l’impossibilité de regagner son domicile et qui prend son déjeuner en dehors de sa résidence habituelle, du supplément de frais ainsi occasionné. </w:t>
      </w:r>
    </w:p>
    <w:p>
      <w:pPr>
        <w:pStyle w:val="Normal"/>
        <w:spacing w:before="120" w:after="120"/>
        <w:jc w:val="both"/>
        <w:rPr/>
      </w:pPr>
      <w:r>
        <w:rPr/>
      </w:r>
    </w:p>
    <w:p>
      <w:pPr>
        <w:pStyle w:val="Normal"/>
        <w:spacing w:before="120" w:after="120"/>
        <w:jc w:val="both"/>
        <w:rPr/>
      </w:pPr>
      <w:r>
        <w:rPr/>
      </w:r>
    </w:p>
    <w:p>
      <w:pPr>
        <w:pStyle w:val="Normal"/>
        <w:spacing w:before="120" w:after="120"/>
        <w:jc w:val="both"/>
        <w:rPr/>
      </w:pPr>
      <w:r>
        <w:rPr/>
      </w:r>
    </w:p>
    <w:p>
      <w:pPr>
        <w:pStyle w:val="Normal"/>
        <w:spacing w:before="120" w:after="120"/>
        <w:jc w:val="both"/>
        <w:rPr/>
      </w:pPr>
      <w:r>
        <w:rPr/>
      </w:r>
    </w:p>
    <w:p>
      <w:pPr>
        <w:pStyle w:val="Normal"/>
        <w:spacing w:before="120" w:after="120"/>
        <w:jc w:val="both"/>
        <w:rPr/>
      </w:pPr>
      <w:r>
        <w:rPr/>
      </w:r>
    </w:p>
    <w:p>
      <w:pPr>
        <w:pStyle w:val="Normal"/>
        <w:spacing w:before="120" w:after="120"/>
        <w:jc w:val="both"/>
        <w:rPr/>
      </w:pPr>
      <w:r>
        <w:rPr/>
        <w:t xml:space="preserve">L’indemnité de repas n’est pas due par l’employeur lorsque : </w:t>
      </w:r>
    </w:p>
    <w:p>
      <w:pPr>
        <w:pStyle w:val="Normal"/>
        <w:numPr>
          <w:ilvl w:val="0"/>
          <w:numId w:val="2"/>
        </w:numPr>
        <w:spacing w:before="120" w:after="120"/>
        <w:ind w:left="714" w:hanging="357"/>
        <w:jc w:val="both"/>
        <w:rPr/>
      </w:pPr>
      <w:r>
        <w:rPr/>
        <w:t xml:space="preserve">L’ouvrier prend effectivement son repas à sa résidence habituelle ; </w:t>
      </w:r>
    </w:p>
    <w:p>
      <w:pPr>
        <w:pStyle w:val="Normal"/>
        <w:numPr>
          <w:ilvl w:val="0"/>
          <w:numId w:val="2"/>
        </w:numPr>
        <w:spacing w:before="120" w:after="120"/>
        <w:ind w:left="714" w:hanging="357"/>
        <w:jc w:val="both"/>
        <w:rPr/>
      </w:pPr>
      <w:r>
        <w:rPr/>
        <w:t xml:space="preserve">Un restaurant d’entreprise existe sur le chantier et le repas est fourni avec une participation financière de l’entreprise égale au montant de l’indemnité de repas ; </w:t>
      </w:r>
    </w:p>
    <w:p>
      <w:pPr>
        <w:pStyle w:val="Normal"/>
        <w:numPr>
          <w:ilvl w:val="0"/>
          <w:numId w:val="2"/>
        </w:numPr>
        <w:spacing w:before="120" w:after="120"/>
        <w:ind w:left="714" w:hanging="357"/>
        <w:jc w:val="both"/>
        <w:rPr/>
      </w:pPr>
      <w:r>
        <w:rPr/>
        <w:t xml:space="preserve">Le repas est fourni gratuitement ou avec une participation financière de l’entreprise égale au montant de l’indemnité de repas. </w:t>
      </w:r>
    </w:p>
    <w:p>
      <w:pPr>
        <w:pStyle w:val="Normal"/>
        <w:rPr>
          <w:b/>
          <w:b/>
          <w:smallCaps/>
        </w:rPr>
      </w:pPr>
      <w:r>
        <w:rPr>
          <w:b/>
          <w:smallCaps/>
        </w:rPr>
      </w:r>
    </w:p>
    <w:p>
      <w:pPr>
        <w:pStyle w:val="Style14"/>
        <w:rPr>
          <w:sz w:val="24"/>
          <w:szCs w:val="24"/>
          <w:u w:val="single"/>
        </w:rPr>
      </w:pPr>
      <w:r>
        <w:rPr>
          <w:sz w:val="24"/>
          <w:szCs w:val="24"/>
          <w:u w:val="single"/>
        </w:rPr>
        <w:t>Article 3 : DISPOSITIONS FINALES</w:t>
      </w:r>
    </w:p>
    <w:p>
      <w:pPr>
        <w:pStyle w:val="Style14"/>
        <w:rPr>
          <w:sz w:val="24"/>
          <w:szCs w:val="24"/>
          <w:u w:val="single"/>
        </w:rPr>
      </w:pPr>
      <w:r>
        <w:rPr>
          <w:sz w:val="24"/>
          <w:szCs w:val="24"/>
          <w:u w:val="single"/>
        </w:rPr>
      </w:r>
    </w:p>
    <w:p>
      <w:pPr>
        <w:pStyle w:val="Style14"/>
        <w:rPr>
          <w:sz w:val="22"/>
          <w:szCs w:val="22"/>
          <w:u w:val="single"/>
        </w:rPr>
      </w:pPr>
      <w:r>
        <w:rPr>
          <w:sz w:val="22"/>
          <w:szCs w:val="22"/>
          <w:u w:val="single"/>
        </w:rPr>
        <w:t>Article 3-1 Durée de l’accord</w:t>
      </w:r>
    </w:p>
    <w:p>
      <w:pPr>
        <w:pStyle w:val="Normal"/>
        <w:jc w:val="both"/>
        <w:rPr>
          <w:rFonts w:cs="Calibri"/>
          <w:sz w:val="22"/>
          <w:szCs w:val="22"/>
          <w:u w:val="single"/>
        </w:rPr>
      </w:pPr>
      <w:r>
        <w:rPr>
          <w:rFonts w:cs="Calibri"/>
          <w:sz w:val="22"/>
          <w:szCs w:val="22"/>
          <w:u w:val="single"/>
        </w:rPr>
      </w:r>
    </w:p>
    <w:p>
      <w:pPr>
        <w:pStyle w:val="Normal"/>
        <w:jc w:val="both"/>
        <w:rPr>
          <w:rFonts w:cs="Calibri"/>
        </w:rPr>
      </w:pPr>
      <w:r>
        <w:rPr>
          <w:rFonts w:cs="Calibri"/>
        </w:rPr>
        <w:t>Le présent accord est conclu pour une durée indéterminée. Il rentrera en vigueur à compter du 01 septembre 2019.</w:t>
      </w:r>
    </w:p>
    <w:p>
      <w:pPr>
        <w:pStyle w:val="Normal"/>
        <w:jc w:val="both"/>
        <w:rPr>
          <w:rFonts w:cs="Calibri"/>
        </w:rPr>
      </w:pPr>
      <w:r>
        <w:rPr>
          <w:rFonts w:cs="Calibri"/>
        </w:rPr>
      </w:r>
    </w:p>
    <w:p>
      <w:pPr>
        <w:pStyle w:val="Style14"/>
        <w:rPr>
          <w:sz w:val="22"/>
          <w:szCs w:val="22"/>
          <w:u w:val="single"/>
        </w:rPr>
      </w:pPr>
      <w:r>
        <w:rPr>
          <w:sz w:val="22"/>
          <w:szCs w:val="22"/>
          <w:u w:val="single"/>
        </w:rPr>
        <w:t>Article 3-2 : Approbation par les salaries</w:t>
      </w:r>
    </w:p>
    <w:p>
      <w:pPr>
        <w:pStyle w:val="Normal"/>
        <w:spacing w:before="0" w:after="120"/>
        <w:jc w:val="both"/>
        <w:rPr>
          <w:rFonts w:ascii="Arial" w:hAnsi="Arial" w:cs="Arial"/>
          <w:sz w:val="22"/>
          <w:szCs w:val="22"/>
          <w:u w:val="single"/>
        </w:rPr>
      </w:pPr>
      <w:r>
        <w:rPr>
          <w:rFonts w:cs="Arial" w:ascii="Arial" w:hAnsi="Arial"/>
          <w:sz w:val="22"/>
          <w:szCs w:val="22"/>
          <w:u w:val="single"/>
        </w:rPr>
      </w:r>
    </w:p>
    <w:p>
      <w:pPr>
        <w:pStyle w:val="Normal"/>
        <w:jc w:val="both"/>
        <w:rPr>
          <w:rFonts w:ascii="Calibri" w:hAnsi="Calibri" w:cs="Calibri"/>
        </w:rPr>
      </w:pPr>
      <w:r>
        <w:rPr>
          <w:rFonts w:cs="Calibri"/>
        </w:rPr>
        <w:t>La validité du présent accord est subordonnée à son approbation par les salariés dans les conditions et selon les modalités prévues aux articles L. 2232-21 et R. 2232-10 et suivants du code du travail.</w:t>
      </w:r>
    </w:p>
    <w:p>
      <w:pPr>
        <w:pStyle w:val="Normal"/>
        <w:jc w:val="both"/>
        <w:rPr>
          <w:rFonts w:ascii="Calibri" w:hAnsi="Calibri" w:cs="Calibri"/>
        </w:rPr>
      </w:pPr>
      <w:r>
        <w:rPr>
          <w:rFonts w:cs="Calibri" w:ascii="Calibri" w:hAnsi="Calibri"/>
        </w:rPr>
      </w:r>
    </w:p>
    <w:p>
      <w:pPr>
        <w:pStyle w:val="Normal"/>
        <w:jc w:val="both"/>
        <w:rPr>
          <w:rFonts w:cs="Calibri"/>
        </w:rPr>
      </w:pPr>
      <w:r>
        <w:rPr>
          <w:rFonts w:cs="Calibri"/>
        </w:rPr>
      </w:r>
    </w:p>
    <w:p>
      <w:pPr>
        <w:pStyle w:val="Style14"/>
        <w:rPr>
          <w:sz w:val="22"/>
          <w:szCs w:val="22"/>
          <w:u w:val="single"/>
        </w:rPr>
      </w:pPr>
      <w:r>
        <w:rPr>
          <w:sz w:val="22"/>
          <w:szCs w:val="22"/>
          <w:u w:val="single"/>
        </w:rPr>
        <w:t>Article 3-4 : Révision de l’accord</w:t>
      </w:r>
    </w:p>
    <w:p>
      <w:pPr>
        <w:pStyle w:val="Normal"/>
        <w:jc w:val="both"/>
        <w:rPr>
          <w:rFonts w:cs="Calibri"/>
          <w:sz w:val="22"/>
          <w:szCs w:val="22"/>
          <w:u w:val="single"/>
        </w:rPr>
      </w:pPr>
      <w:r>
        <w:rPr>
          <w:rFonts w:cs="Calibri"/>
          <w:sz w:val="22"/>
          <w:szCs w:val="22"/>
          <w:u w:val="single"/>
        </w:rPr>
      </w:r>
    </w:p>
    <w:p>
      <w:pPr>
        <w:pStyle w:val="Normal"/>
        <w:jc w:val="both"/>
        <w:rPr>
          <w:rFonts w:cs="Calibri"/>
        </w:rPr>
      </w:pPr>
      <w:r>
        <w:rPr>
          <w:rFonts w:cs="Calibri"/>
        </w:rPr>
        <w:t xml:space="preserve">La procédure de révision du présent accord ne peut être engagée que par la Direction conformément aux dispositions de l’article L.2232-22 du Code du travail. </w:t>
      </w:r>
    </w:p>
    <w:p>
      <w:pPr>
        <w:pStyle w:val="Normal"/>
        <w:jc w:val="both"/>
        <w:rPr>
          <w:rFonts w:cs="Calibri"/>
        </w:rPr>
      </w:pPr>
      <w:r>
        <w:rPr>
          <w:rFonts w:cs="Calibri"/>
        </w:rPr>
      </w:r>
    </w:p>
    <w:p>
      <w:pPr>
        <w:pStyle w:val="Normal"/>
        <w:jc w:val="both"/>
        <w:rPr>
          <w:rFonts w:cs="Calibri"/>
        </w:rPr>
      </w:pPr>
      <w:r>
        <w:rPr>
          <w:rFonts w:cs="Calibri"/>
        </w:rPr>
      </w:r>
    </w:p>
    <w:p>
      <w:pPr>
        <w:pStyle w:val="Normal"/>
        <w:jc w:val="both"/>
        <w:rPr>
          <w:rFonts w:cs="Calibri"/>
        </w:rPr>
      </w:pPr>
      <w:r>
        <w:rPr>
          <w:rFonts w:cs="Calibri"/>
        </w:rPr>
      </w:r>
    </w:p>
    <w:p>
      <w:pPr>
        <w:pStyle w:val="Style14"/>
        <w:rPr>
          <w:sz w:val="22"/>
          <w:szCs w:val="22"/>
          <w:u w:val="single"/>
        </w:rPr>
      </w:pPr>
      <w:r>
        <w:rPr>
          <w:sz w:val="22"/>
          <w:szCs w:val="22"/>
          <w:u w:val="single"/>
        </w:rPr>
        <w:t>Article 3-5 : Dénonciation de l’accord</w:t>
      </w:r>
    </w:p>
    <w:p>
      <w:pPr>
        <w:pStyle w:val="Normal"/>
        <w:jc w:val="both"/>
        <w:rPr>
          <w:rFonts w:cs="Calibri"/>
          <w:sz w:val="22"/>
          <w:szCs w:val="22"/>
          <w:u w:val="single"/>
        </w:rPr>
      </w:pPr>
      <w:r>
        <w:rPr>
          <w:rFonts w:cs="Calibri"/>
          <w:sz w:val="22"/>
          <w:szCs w:val="22"/>
          <w:u w:val="single"/>
        </w:rPr>
      </w:r>
    </w:p>
    <w:p>
      <w:pPr>
        <w:pStyle w:val="Normal"/>
        <w:jc w:val="both"/>
        <w:rPr>
          <w:rFonts w:cs="Calibri"/>
        </w:rPr>
      </w:pPr>
      <w:r>
        <w:rPr>
          <w:rFonts w:cs="Calibri"/>
        </w:rPr>
        <w:t>Le présent accord pourra être dénoncé par la Direction moyennant un préavis de 3 mois.</w:t>
      </w:r>
    </w:p>
    <w:p>
      <w:pPr>
        <w:pStyle w:val="Normal"/>
        <w:jc w:val="both"/>
        <w:rPr>
          <w:rFonts w:cs="Calibri"/>
        </w:rPr>
      </w:pPr>
      <w:r>
        <w:rPr>
          <w:rFonts w:cs="Calibri"/>
        </w:rPr>
      </w:r>
    </w:p>
    <w:p>
      <w:pPr>
        <w:pStyle w:val="Normal"/>
        <w:jc w:val="both"/>
        <w:rPr>
          <w:rFonts w:cs="Calibri"/>
        </w:rPr>
      </w:pPr>
      <w:r>
        <w:rPr>
          <w:rFonts w:cs="Calibri"/>
        </w:rPr>
      </w:r>
    </w:p>
    <w:p>
      <w:pPr>
        <w:pStyle w:val="Normal"/>
        <w:jc w:val="both"/>
        <w:rPr>
          <w:rFonts w:cs="Calibri"/>
        </w:rPr>
      </w:pPr>
      <w:r>
        <w:rPr>
          <w:rFonts w:cs="Calibri"/>
        </w:rPr>
        <w:t>Il pourra également être dénoncé par les salariés représentant les deux tiers du personnel uniquement pendant un délai d’un mois avant chaque date anniversaire de la conclusion de l’accord.</w:t>
      </w:r>
    </w:p>
    <w:p>
      <w:pPr>
        <w:pStyle w:val="Normal"/>
        <w:jc w:val="both"/>
        <w:rPr>
          <w:rFonts w:cs="Calibri"/>
        </w:rPr>
      </w:pPr>
      <w:r>
        <w:rPr>
          <w:rFonts w:cs="Calibri"/>
        </w:rPr>
      </w:r>
    </w:p>
    <w:p>
      <w:pPr>
        <w:pStyle w:val="Normal"/>
        <w:jc w:val="both"/>
        <w:rPr>
          <w:rFonts w:cs="Calibri"/>
        </w:rPr>
      </w:pPr>
      <w:r>
        <w:rPr>
          <w:rFonts w:cs="Calibri"/>
        </w:rPr>
        <w:t>La partie qui dénonce l'accord doit notifier cette décision par lettre recommandée avec accusé de réception à l'autre partie.</w:t>
      </w:r>
    </w:p>
    <w:p>
      <w:pPr>
        <w:pStyle w:val="Normal"/>
        <w:jc w:val="both"/>
        <w:rPr>
          <w:rFonts w:cs="Calibri"/>
        </w:rPr>
      </w:pPr>
      <w:r>
        <w:rPr>
          <w:rFonts w:cs="Calibri"/>
        </w:rPr>
      </w:r>
    </w:p>
    <w:p>
      <w:pPr>
        <w:pStyle w:val="Normal"/>
        <w:jc w:val="both"/>
        <w:rPr>
          <w:rFonts w:cs="Calibri"/>
        </w:rPr>
      </w:pPr>
      <w:r>
        <w:rPr>
          <w:rFonts w:cs="Calibri"/>
        </w:rPr>
      </w:r>
    </w:p>
    <w:p>
      <w:pPr>
        <w:pStyle w:val="Normal"/>
        <w:jc w:val="both"/>
        <w:rPr>
          <w:rFonts w:cs="Calibri"/>
        </w:rPr>
      </w:pPr>
      <w:r>
        <w:rPr>
          <w:rFonts w:cs="Calibri"/>
        </w:rPr>
      </w:r>
    </w:p>
    <w:p>
      <w:pPr>
        <w:pStyle w:val="Normal"/>
        <w:jc w:val="both"/>
        <w:rPr>
          <w:rFonts w:cs="Calibri"/>
        </w:rPr>
      </w:pPr>
      <w:r>
        <w:rPr>
          <w:rFonts w:cs="Calibri"/>
        </w:rPr>
      </w:r>
    </w:p>
    <w:p>
      <w:pPr>
        <w:pStyle w:val="Normal"/>
        <w:jc w:val="both"/>
        <w:rPr>
          <w:rFonts w:cs="Calibri"/>
        </w:rPr>
      </w:pPr>
      <w:r>
        <w:rPr>
          <w:rFonts w:cs="Calibri"/>
        </w:rPr>
      </w:r>
    </w:p>
    <w:p>
      <w:pPr>
        <w:pStyle w:val="Normal"/>
        <w:jc w:val="both"/>
        <w:rPr>
          <w:rFonts w:cs="Calibri"/>
        </w:rPr>
      </w:pPr>
      <w:r>
        <w:rPr>
          <w:rFonts w:cs="Calibri"/>
        </w:rPr>
        <w:t xml:space="preserve">Néanmoins, les parties signataires pourront, à l’occasion de la dénonciation et à l’unanimité, prévoir un délai de préavis différent. </w:t>
      </w:r>
    </w:p>
    <w:p>
      <w:pPr>
        <w:pStyle w:val="Normal"/>
        <w:jc w:val="both"/>
        <w:rPr>
          <w:rFonts w:cs="Calibri"/>
        </w:rPr>
      </w:pPr>
      <w:r>
        <w:rPr>
          <w:rFonts w:cs="Calibri"/>
        </w:rPr>
      </w:r>
    </w:p>
    <w:p>
      <w:pPr>
        <w:pStyle w:val="Normal"/>
        <w:jc w:val="both"/>
        <w:rPr>
          <w:rFonts w:cs="Calibri"/>
        </w:rPr>
      </w:pPr>
      <w:r>
        <w:rPr>
          <w:rFonts w:cs="Calibri"/>
        </w:rPr>
        <w:t>Les parties se réuniront pendant la durée du préavis pour discuter les possibilités d'un nouvel accord.</w:t>
      </w:r>
    </w:p>
    <w:p>
      <w:pPr>
        <w:pStyle w:val="Normal"/>
        <w:jc w:val="both"/>
        <w:rPr>
          <w:rFonts w:cs="Calibri"/>
        </w:rPr>
      </w:pPr>
      <w:r>
        <w:rPr>
          <w:rFonts w:cs="Calibri"/>
        </w:rPr>
      </w:r>
    </w:p>
    <w:p>
      <w:pPr>
        <w:pStyle w:val="Normal"/>
        <w:jc w:val="both"/>
        <w:rPr>
          <w:rFonts w:cs="Calibri"/>
        </w:rPr>
      </w:pPr>
      <w:r>
        <w:rPr>
          <w:rFonts w:cs="Calibri"/>
        </w:rPr>
      </w:r>
    </w:p>
    <w:p>
      <w:pPr>
        <w:pStyle w:val="Style14"/>
        <w:rPr>
          <w:sz w:val="22"/>
          <w:szCs w:val="22"/>
          <w:u w:val="single"/>
        </w:rPr>
      </w:pPr>
      <w:r>
        <w:rPr>
          <w:sz w:val="22"/>
          <w:szCs w:val="22"/>
          <w:u w:val="single"/>
        </w:rPr>
        <w:t xml:space="preserve">Article34-6 : Dépôt et publication de l’accord </w:t>
      </w:r>
    </w:p>
    <w:p>
      <w:pPr>
        <w:pStyle w:val="Normal"/>
        <w:jc w:val="both"/>
        <w:rPr>
          <w:rFonts w:cs="Calibri"/>
          <w:sz w:val="22"/>
          <w:szCs w:val="22"/>
          <w:u w:val="single"/>
        </w:rPr>
      </w:pPr>
      <w:r>
        <w:rPr>
          <w:rFonts w:cs="Calibri"/>
          <w:sz w:val="22"/>
          <w:szCs w:val="22"/>
          <w:u w:val="single"/>
        </w:rPr>
      </w:r>
    </w:p>
    <w:p>
      <w:pPr>
        <w:pStyle w:val="Normal"/>
        <w:jc w:val="both"/>
        <w:rPr/>
      </w:pPr>
      <w:r>
        <w:rPr>
          <w:rFonts w:cs="Calibri"/>
        </w:rPr>
        <w:t xml:space="preserve">Le présent accord sera déposé par l’entreprise, en deux exemplaires dont un anonymisé, en ligne sur le site du Ministère du Travail </w:t>
      </w:r>
      <w:r>
        <w:rPr>
          <w:rFonts w:cs="Calibri"/>
          <w:color w:val="00B0F0"/>
          <w:u w:val="single"/>
        </w:rPr>
        <w:t>(https:/www.teleaccords.travail-emploi.gouv.fr</w:t>
      </w:r>
      <w:r>
        <w:rPr>
          <w:rFonts w:cs="Calibri"/>
        </w:rPr>
        <w:t>) qui transmettra par la suite à la DIRECCTE compétente.</w:t>
      </w:r>
    </w:p>
    <w:p>
      <w:pPr>
        <w:pStyle w:val="Normal"/>
        <w:jc w:val="both"/>
        <w:rPr>
          <w:rFonts w:cs="Calibri"/>
        </w:rPr>
      </w:pPr>
      <w:r>
        <w:rPr>
          <w:rFonts w:cs="Calibri"/>
        </w:rPr>
      </w:r>
    </w:p>
    <w:p>
      <w:pPr>
        <w:pStyle w:val="Normal"/>
        <w:jc w:val="both"/>
        <w:rPr>
          <w:rFonts w:cs="Calibri"/>
        </w:rPr>
      </w:pPr>
      <w:r>
        <w:rPr>
          <w:rFonts w:cs="Calibri"/>
        </w:rPr>
        <w:t>Il sera en outre déposé au secrétariat-greffe du Conseil de prud’hommes de Nîmes et transmis à la Commission paritaire permanente de négociation et d’interprétation du Bâtiment.</w:t>
      </w:r>
    </w:p>
    <w:p>
      <w:pPr>
        <w:pStyle w:val="Normal"/>
        <w:spacing w:lineRule="auto" w:line="276" w:before="360" w:after="200"/>
        <w:jc w:val="both"/>
        <w:rPr/>
      </w:pPr>
      <w:r>
        <w:rPr/>
        <w:t>Fait le 24 juin 2019 à Uzès en 16 exemplaires</w:t>
      </w:r>
      <w:r>
        <w:rPr>
          <w:rStyle w:val="FootnoteAnchor"/>
          <w:vertAlign w:val="superscript"/>
        </w:rPr>
        <w:footnoteReference w:id="4"/>
      </w:r>
      <w:r>
        <w:rPr/>
        <w:t>.</w:t>
      </w:r>
    </w:p>
    <w:p>
      <w:pPr>
        <w:pStyle w:val="Normal"/>
        <w:spacing w:before="120" w:after="120"/>
        <w:jc w:val="both"/>
        <w:rPr/>
      </w:pPr>
      <w:r>
        <w:rPr/>
        <w:t xml:space="preserve">Pour l’entreprise : </w:t>
      </w:r>
    </w:p>
    <w:p>
      <w:pPr>
        <w:pStyle w:val="Normal"/>
        <w:spacing w:before="120" w:after="120"/>
        <w:jc w:val="both"/>
        <w:rPr/>
      </w:pPr>
      <w:r>
        <w:rPr/>
      </w:r>
    </w:p>
    <w:p>
      <w:pPr>
        <w:pStyle w:val="Normal"/>
        <w:spacing w:before="120" w:after="120"/>
        <w:jc w:val="both"/>
        <w:rPr/>
      </w:pPr>
      <w:r>
        <w:rPr/>
      </w:r>
    </w:p>
    <w:p>
      <w:pPr>
        <w:pStyle w:val="Normal"/>
        <w:spacing w:before="120" w:after="120"/>
        <w:jc w:val="both"/>
        <w:rPr/>
      </w:pPr>
      <w:r>
        <w:rPr/>
      </w:r>
    </w:p>
    <w:p>
      <w:pPr>
        <w:pStyle w:val="Normal"/>
        <w:spacing w:before="120" w:after="120"/>
        <w:jc w:val="both"/>
        <w:rPr/>
      </w:pPr>
      <w:r>
        <w:rPr/>
        <w:t xml:space="preserve">Et </w:t>
      </w:r>
    </w:p>
    <w:p>
      <w:pPr>
        <w:pStyle w:val="Normal"/>
        <w:jc w:val="both"/>
        <w:rPr>
          <w:lang w:eastAsia="en-US"/>
        </w:rPr>
      </w:pPr>
      <w:r>
        <w:rPr>
          <w:lang w:eastAsia="en-US"/>
        </w:rPr>
        <w:t>Les salariés de la Société MENUISERIE FERNANDEZ SARL</w:t>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sectPr>
      <w:headerReference w:type="default" r:id="rId2"/>
      <w:footerReference w:type="default" r:id="rId3"/>
      <w:footnotePr>
        <w:numFmt w:val="decimal"/>
      </w:footnotePr>
      <w:type w:val="nextPage"/>
      <w:pgSz w:w="11906" w:h="16838"/>
      <w:pgMar w:left="1417" w:right="1417" w:header="708" w:top="1417" w:footer="708"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ymbol">
    <w:charset w:val="01"/>
    <w:family w:val="roman"/>
    <w:pitch w:val="variable"/>
  </w:font>
  <w:font w:name="Liberation Sans">
    <w:altName w:val="Arial"/>
    <w:charset w:val="01"/>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lang w:val="en-GB" w:eastAsia="en-GB"/>
      </w:rPr>
    </w:pPr>
    <w:r>
      <w:rPr>
        <w:lang w:val="en-GB" w:eastAsia="en-GB"/>
      </w:rPr>
      <mc:AlternateContent>
        <mc:Choice Requires="wpg">
          <w:drawing>
            <wp:anchor behindDoc="1" distT="0" distB="0" distL="114935" distR="114935" simplePos="0" locked="0" layoutInCell="1" allowOverlap="1" relativeHeight="25">
              <wp:simplePos x="0" y="0"/>
              <wp:positionH relativeFrom="column">
                <wp:posOffset>0</wp:posOffset>
              </wp:positionH>
              <wp:positionV relativeFrom="paragraph">
                <wp:posOffset>98425</wp:posOffset>
              </wp:positionV>
              <wp:extent cx="6401435" cy="571500"/>
              <wp:effectExtent l="0" t="0" r="0" b="0"/>
              <wp:wrapNone/>
              <wp:docPr id="4" name=""/>
              <a:graphic xmlns:a="http://schemas.openxmlformats.org/drawingml/2006/main">
                <a:graphicData uri="http://schemas.microsoft.com/office/word/2010/wordprocessingGroup">
                  <wpg:wgp>
                    <wpg:cNvGrpSpPr/>
                    <wpg:grpSpPr>
                      <a:xfrm>
                        <a:off x="0" y="0"/>
                        <a:ext cx="6400800" cy="570960"/>
                      </a:xfrm>
                    </wpg:grpSpPr>
                    <wps:wsp>
                      <wps:cNvSpPr txBox="1"/>
                      <wps:spPr>
                        <a:xfrm>
                          <a:off x="0" y="0"/>
                          <a:ext cx="6397560" cy="570960"/>
                        </a:xfrm>
                        <a:prstGeom prst="rect">
                          <a:avLst/>
                        </a:prstGeom>
                        <a:noFill/>
                        <a:ln>
                          <a:noFill/>
                        </a:ln>
                      </wps:spPr>
                      <wps:txbx>
                        <w:txbxContent>
                          <w:p>
                            <w:pPr>
                              <w:tabs>
                                <w:tab w:val="center" w:pos="4536" w:leader="none"/>
                                <w:tab w:val="right" w:pos="9072" w:leader="none"/>
                              </w:tabs>
                              <w:bidi w:val="0"/>
                              <w:jc w:val="both"/>
                              <w:rPr/>
                            </w:pPr>
                            <w:r>
                              <w:rPr>
                                <w:sz w:val="20"/>
                                <w:szCs w:val="20"/>
                                <w:rFonts w:ascii="Times New Roman" w:hAnsi="Times New Roman" w:eastAsia="Times New Roman" w:cs="Times New Roman"/>
                                <w:color w:val="auto"/>
                                <w:lang w:val="fr-FR" w:bidi="ar-SA"/>
                              </w:rPr>
                              <w:t>Menuiserie FERNANDEZ S.A.R.L. au capital de 38114 Euros, R.C. Nîmes 80B53 – SIRET 318 027 687 00017</w:t>
                            </w:r>
                          </w:p>
                          <w:p>
                            <w:pPr>
                              <w:tabs>
                                <w:tab w:val="center" w:pos="4536" w:leader="none"/>
                                <w:tab w:val="right" w:pos="9072" w:leader="none"/>
                              </w:tabs>
                              <w:bidi w:val="0"/>
                              <w:rPr/>
                            </w:pPr>
                            <w:r>
                              <w:rPr>
                                <w:sz w:val="20"/>
                                <w:szCs w:val="20"/>
                                <w:rFonts w:ascii="Times New Roman" w:hAnsi="Times New Roman" w:eastAsia="Times New Roman" w:cs="Times New Roman"/>
                                <w:color w:val="auto"/>
                                <w:lang w:val="fr-FR" w:bidi="ar-SA"/>
                              </w:rPr>
                              <w:t>C.C.P. Montpellier 184.00W – Crédit Lyonnais Uzès 62 146c</w:t>
                            </w:r>
                          </w:p>
                        </w:txbxContent>
                      </wps:txbx>
                      <wps:bodyPr wrap="square">
                        <a:noAutofit/>
                      </wps:bodyPr>
                    </wps:wsp>
                    <wps:wsp>
                      <wps:cNvSpPr/>
                      <wps:spPr>
                        <a:xfrm>
                          <a:off x="720" y="533520"/>
                          <a:ext cx="6400080" cy="0"/>
                        </a:xfrm>
                        <a:prstGeom prst="line">
                          <a:avLst/>
                        </a:prstGeom>
                        <a:ln w="38160">
                          <a:solidFill>
                            <a:srgbClr val="969696"/>
                          </a:solidFill>
                          <a:miter/>
                        </a:ln>
                      </wps:spPr>
                      <wps:style>
                        <a:lnRef idx="0"/>
                        <a:fillRef idx="0"/>
                        <a:effectRef idx="0"/>
                        <a:fontRef idx="minor"/>
                      </wps:style>
                      <wps:bodyPr/>
                    </wps:wsp>
                    <wps:wsp>
                      <wps:cNvSpPr/>
                      <wps:spPr>
                        <a:xfrm>
                          <a:off x="720" y="720"/>
                          <a:ext cx="6399360" cy="0"/>
                        </a:xfrm>
                        <a:prstGeom prst="line">
                          <a:avLst/>
                        </a:prstGeom>
                        <a:ln w="38160">
                          <a:solidFill>
                            <a:srgbClr val="969696"/>
                          </a:solidFill>
                          <a:miter/>
                        </a:ln>
                      </wps:spPr>
                      <wps:style>
                        <a:lnRef idx="0"/>
                        <a:fillRef idx="0"/>
                        <a:effectRef idx="0"/>
                        <a:fontRef idx="minor"/>
                      </wps:style>
                      <wps:bodyPr/>
                    </wps:wsp>
                  </wpg:wgp>
                </a:graphicData>
              </a:graphic>
            </wp:anchor>
          </w:drawing>
        </mc:Choice>
        <mc:Fallback>
          <w:pict>
            <v:group id="shape_0" style="position:absolute;margin-left:0pt;margin-top:7.75pt;width:503.95pt;height:44.95pt" coordorigin="0,155" coordsize="10079,899">
              <v:shapetype id="shapetype_202" coordsize="21600,21600" o:spt="202" path="m,l,21600l21600,21600l21600,xe">
                <v:stroke joinstyle="miter"/>
                <v:path gradientshapeok="t" o:connecttype="rect"/>
              </v:shapetype>
              <v:shape id="shape_0" stroked="f" style="position:absolute;left:0;top:155;width:10074;height:898" type="shapetype_202">
                <v:textbox>
                  <w:txbxContent>
                    <w:p>
                      <w:pPr>
                        <w:tabs>
                          <w:tab w:val="center" w:pos="4536" w:leader="none"/>
                          <w:tab w:val="right" w:pos="9072" w:leader="none"/>
                        </w:tabs>
                        <w:bidi w:val="0"/>
                        <w:jc w:val="both"/>
                        <w:rPr/>
                      </w:pPr>
                      <w:r>
                        <w:rPr>
                          <w:sz w:val="20"/>
                          <w:szCs w:val="20"/>
                          <w:rFonts w:ascii="Times New Roman" w:hAnsi="Times New Roman" w:eastAsia="Times New Roman" w:cs="Times New Roman"/>
                          <w:color w:val="auto"/>
                          <w:lang w:val="fr-FR" w:bidi="ar-SA"/>
                        </w:rPr>
                        <w:t>Menuiserie FERNANDEZ S.A.R.L. au capital de 38114 Euros, R.C. Nîmes 80B53 – SIRET 318 027 687 00017</w:t>
                      </w:r>
                    </w:p>
                    <w:p>
                      <w:pPr>
                        <w:tabs>
                          <w:tab w:val="center" w:pos="4536" w:leader="none"/>
                          <w:tab w:val="right" w:pos="9072" w:leader="none"/>
                        </w:tabs>
                        <w:bidi w:val="0"/>
                        <w:rPr/>
                      </w:pPr>
                      <w:r>
                        <w:rPr>
                          <w:sz w:val="20"/>
                          <w:szCs w:val="20"/>
                          <w:rFonts w:ascii="Times New Roman" w:hAnsi="Times New Roman" w:eastAsia="Times New Roman" w:cs="Times New Roman"/>
                          <w:color w:val="auto"/>
                          <w:lang w:val="fr-FR" w:bidi="ar-SA"/>
                        </w:rPr>
                        <w:t>C.C.P. Montpellier 184.00W – Crédit Lyonnais Uzès 62 146c</w:t>
                      </w:r>
                    </w:p>
                  </w:txbxContent>
                </v:textbox>
                <w10:wrap type="square"/>
                <v:fill o:detectmouseclick="t" on="false"/>
                <v:stroke color="#3465a4" joinstyle="round" endcap="flat"/>
              </v:shape>
              <v:line id="shape_0" from="1,995" to="10079,995" stroked="t" style="position:absolute">
                <v:stroke color="#969696" weight="38160" joinstyle="miter" endcap="square"/>
                <v:fill o:detectmouseclick="t" on="false"/>
              </v:line>
              <v:line id="shape_0" from="1,156" to="10078,156" stroked="t" style="position:absolute">
                <v:stroke color="#969696" weight="38160" joinstyle="miter" endcap="square"/>
                <v:fill o:detectmouseclick="t" on="false"/>
              </v:line>
            </v:group>
          </w:pict>
        </mc:Fallback>
      </mc:AlternateContent>
    </w:r>
  </w:p>
  <w:p>
    <w:pPr>
      <w:pStyle w:val="Normal"/>
      <w:rPr/>
    </w:pPr>
    <w:r>
      <w:rPr/>
    </w:r>
  </w:p>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Footnote"/>
        <w:jc w:val="both"/>
        <w:rPr/>
      </w:pPr>
      <w:r>
        <w:rPr/>
        <w:footnoteRef/>
      </w:r>
    </w:p>
  </w:footnote>
  <w:footnote w:id="3">
    <w:p>
      <w:pPr>
        <w:pStyle w:val="Footnote"/>
        <w:jc w:val="both"/>
        <w:rPr/>
      </w:pPr>
      <w:r>
        <w:rPr/>
        <w:footnoteRef/>
      </w:r>
    </w:p>
  </w:footnote>
  <w:footnote w:id="4">
    <w:p>
      <w:pPr>
        <w:pStyle w:val="Footnote"/>
        <w:spacing w:before="60" w:after="0"/>
        <w:jc w:val="both"/>
        <w:rPr/>
      </w:pPr>
      <w:r>
        <w:rPr/>
        <w:footnoteRef/>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drawing>
        <wp:inline distT="0" distB="0" distL="0" distR="0">
          <wp:extent cx="2160905" cy="125857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2160905" cy="1258570"/>
                  </a:xfrm>
                  <a:prstGeom prst="rect">
                    <a:avLst/>
                  </a:prstGeom>
                </pic:spPr>
              </pic:pic>
            </a:graphicData>
          </a:graphic>
        </wp:inline>
      </w:drawing>
      <mc:AlternateContent>
        <mc:Choice Requires="wps">
          <w:drawing>
            <wp:anchor behindDoc="1" distT="0" distB="0" distL="114935" distR="114935" simplePos="0" locked="0" layoutInCell="1" allowOverlap="1" relativeHeight="13">
              <wp:simplePos x="0" y="0"/>
              <wp:positionH relativeFrom="column">
                <wp:posOffset>-182880</wp:posOffset>
              </wp:positionH>
              <wp:positionV relativeFrom="paragraph">
                <wp:posOffset>1196975</wp:posOffset>
              </wp:positionV>
              <wp:extent cx="6334760" cy="635"/>
              <wp:effectExtent l="0" t="0" r="0" b="0"/>
              <wp:wrapNone/>
              <wp:docPr id="1" name=""/>
              <a:graphic xmlns:a="http://schemas.openxmlformats.org/drawingml/2006/main">
                <a:graphicData uri="http://schemas.microsoft.com/office/word/2010/wordprocessingShape">
                  <wps:wsp>
                    <wps:cNvSpPr/>
                    <wps:spPr>
                      <a:xfrm>
                        <a:off x="0" y="0"/>
                        <a:ext cx="6334200" cy="0"/>
                      </a:xfrm>
                      <a:prstGeom prst="line">
                        <a:avLst/>
                      </a:prstGeom>
                      <a:ln w="38160">
                        <a:solidFill>
                          <a:srgbClr val="969696"/>
                        </a:solidFill>
                        <a:miter/>
                      </a:ln>
                    </wps:spPr>
                    <wps:style>
                      <a:lnRef idx="0"/>
                      <a:fillRef idx="0"/>
                      <a:effectRef idx="0"/>
                      <a:fontRef idx="minor"/>
                    </wps:style>
                    <wps:bodyPr/>
                  </wps:wsp>
                </a:graphicData>
              </a:graphic>
            </wp:anchor>
          </w:drawing>
        </mc:Choice>
        <mc:Fallback>
          <w:pict>
            <v:line id="shape_0" from="-14.4pt,94.25pt" to="484.3pt,94.25pt" stroked="t" style="position:absolute">
              <v:stroke color="#969696" weight="38160" joinstyle="miter" endcap="square"/>
              <v:fill o:detectmouseclick="t" on="false"/>
            </v:line>
          </w:pict>
        </mc:Fallback>
      </mc:AlternateContent>
    </w:r>
    <w:r>
      <mc:AlternateContent>
        <mc:Choice Requires="wps">
          <w:drawing>
            <wp:anchor behindDoc="1" distT="0" distB="0" distL="114935" distR="114935" simplePos="0" locked="0" layoutInCell="1" allowOverlap="1" relativeHeight="19">
              <wp:simplePos x="0" y="0"/>
              <wp:positionH relativeFrom="column">
                <wp:posOffset>2482850</wp:posOffset>
              </wp:positionH>
              <wp:positionV relativeFrom="paragraph">
                <wp:posOffset>114935</wp:posOffset>
              </wp:positionV>
              <wp:extent cx="3200400" cy="1013460"/>
              <wp:effectExtent l="0" t="0" r="0" b="0"/>
              <wp:wrapNone/>
              <wp:docPr id="3" name="Frame1"/>
              <a:graphic xmlns:a="http://schemas.openxmlformats.org/drawingml/2006/main">
                <a:graphicData uri="http://schemas.microsoft.com/office/word/2010/wordprocessingShape">
                  <wps:wsp>
                    <wps:cNvSpPr txBox="1"/>
                    <wps:spPr>
                      <a:xfrm>
                        <a:off x="0" y="0"/>
                        <a:ext cx="3200400" cy="1013460"/>
                      </a:xfrm>
                      <a:prstGeom prst="rect"/>
                      <a:solidFill>
                        <a:srgbClr val="FFFFFF"/>
                      </a:solidFill>
                    </wps:spPr>
                    <wps:txbx>
                      <w:txbxContent>
                        <w:p>
                          <w:pPr>
                            <w:pStyle w:val="Normal"/>
                            <w:rPr/>
                          </w:pPr>
                          <w:r>
                            <w:rPr/>
                            <w:t>BOIS</w:t>
                          </w:r>
                        </w:p>
                        <w:p>
                          <w:pPr>
                            <w:pStyle w:val="Normal"/>
                            <w:rPr/>
                          </w:pPr>
                          <w:r>
                            <w:rPr/>
                            <w:t>PVC</w:t>
                          </w:r>
                        </w:p>
                        <w:p>
                          <w:pPr>
                            <w:pStyle w:val="Normal"/>
                            <w:rPr/>
                          </w:pPr>
                          <w:r>
                            <w:rPr/>
                            <w:t>ALU</w:t>
                          </w:r>
                        </w:p>
                        <w:p>
                          <w:pPr>
                            <w:pStyle w:val="Normal"/>
                            <w:rPr/>
                          </w:pPr>
                          <w:r>
                            <w:rPr/>
                          </w:r>
                        </w:p>
                        <w:p>
                          <w:pPr>
                            <w:pStyle w:val="Normal"/>
                            <w:rPr/>
                          </w:pPr>
                          <w:r>
                            <w:rPr/>
                            <w:t>NEUF ET RENOVATION</w:t>
                          </w:r>
                        </w:p>
                      </w:txbxContent>
                    </wps:txbx>
                    <wps:bodyPr anchor="t" lIns="92075" tIns="46355" rIns="92075" bIns="46355">
                      <a:noAutofit/>
                    </wps:bodyPr>
                  </wps:wsp>
                </a:graphicData>
              </a:graphic>
            </wp:anchor>
          </w:drawing>
        </mc:Choice>
        <mc:Fallback>
          <w:pict>
            <v:rect fillcolor="#FFFFFF" style="position:absolute;rotation:0;width:252pt;height:79.8pt;mso-wrap-distance-left:9.05pt;mso-wrap-distance-right:9.05pt;margin-top:9.05pt;mso-position-vertical-relative:text;margin-left:195.5pt;mso-position-horizontal-relative:text">
              <v:textbox inset="0.100694444444444in,0.0506944444444444in,0.100694444444444in,0.0506944444444444in">
                <w:txbxContent>
                  <w:p>
                    <w:pPr>
                      <w:pStyle w:val="Normal"/>
                      <w:rPr/>
                    </w:pPr>
                    <w:r>
                      <w:rPr/>
                      <w:t>BOIS</w:t>
                    </w:r>
                  </w:p>
                  <w:p>
                    <w:pPr>
                      <w:pStyle w:val="Normal"/>
                      <w:rPr/>
                    </w:pPr>
                    <w:r>
                      <w:rPr/>
                      <w:t>PVC</w:t>
                    </w:r>
                  </w:p>
                  <w:p>
                    <w:pPr>
                      <w:pStyle w:val="Normal"/>
                      <w:rPr/>
                    </w:pPr>
                    <w:r>
                      <w:rPr/>
                      <w:t>ALU</w:t>
                    </w:r>
                  </w:p>
                  <w:p>
                    <w:pPr>
                      <w:pStyle w:val="Normal"/>
                      <w:rPr/>
                    </w:pPr>
                    <w:r>
                      <w:rPr/>
                    </w:r>
                  </w:p>
                  <w:p>
                    <w:pPr>
                      <w:pStyle w:val="Normal"/>
                      <w:rPr/>
                    </w:pPr>
                    <w:r>
                      <w:rPr/>
                      <w:t>NEUF ET RENOVATION</w:t>
                    </w:r>
                  </w:p>
                </w:txbxContent>
              </v:textbox>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ind w:left="720" w:hanging="360"/>
      </w:pPr>
      <w:rPr>
        <w:rFonts w:ascii="Calibri" w:hAnsi="Calibri" w:cs="Calibri" w:hint="default"/>
        <w:rFonts w:cs="Calibri"/>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numFmt w:val="bullet"/>
      <w:lvlText w:val="-"/>
      <w:lvlJc w:val="left"/>
      <w:pPr>
        <w:ind w:left="720" w:hanging="360"/>
      </w:pPr>
      <w:rPr>
        <w:rFonts w:ascii="Calibri" w:hAnsi="Calibri" w:cs="Calibri" w:hint="default"/>
        <w:rFonts w:cs="Times New Roman"/>
      </w:rPr>
    </w:lvl>
  </w:abstractNum>
  <w:abstractNum w:abstractNumId="3">
    <w:lvl w:ilvl="0">
      <w:start w:val="5"/>
      <w:numFmt w:val="bullet"/>
      <w:lvlText w:val="-"/>
      <w:lvlJc w:val="left"/>
      <w:pPr>
        <w:ind w:left="720" w:hanging="360"/>
      </w:pPr>
      <w:rPr>
        <w:rFonts w:ascii="Calibri" w:hAnsi="Calibri" w:cs="Calibri" w:hint="default"/>
        <w:rFonts w:cs="Calibri"/>
      </w:rPr>
    </w:lvl>
  </w:abstractNum>
  <w:abstractNum w:abstractNumId="4">
    <w:lvl w:ilvl="0">
      <w:start w:val="2"/>
      <w:numFmt w:val="bullet"/>
      <w:lvlText w:val="-"/>
      <w:lvlJc w:val="left"/>
      <w:pPr>
        <w:ind w:left="720" w:hanging="360"/>
      </w:pPr>
      <w:rPr>
        <w:rFonts w:ascii="Calibri" w:hAnsi="Calibri" w:cs="Calibri" w:hint="default"/>
        <w:dstrike w:val="false"/>
        <w:strike w:val="false"/>
        <w:u w:val="none"/>
        <w:rFonts w:cs="Calibri"/>
      </w:rPr>
    </w:lvl>
  </w:abstractNum>
  <w:abstractNum w:abstractNumId="5">
    <w:lvl w:ilvl="0">
      <w:start w:val="1"/>
      <w:numFmt w:val="bullet"/>
      <w:lvlText w:val="-"/>
      <w:lvlJc w:val="left"/>
      <w:pPr>
        <w:ind w:left="720" w:hanging="360"/>
      </w:pPr>
      <w:rPr>
        <w:rFonts w:ascii="Calibri" w:hAnsi="Calibri" w:cs="Calibri" w:hint="default"/>
        <w:rFonts w:cs="Calibri"/>
      </w:rPr>
    </w:lvl>
  </w:abstractNum>
  <w:abstractNum w:abstractNumId="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footnotePr>
    <w:numFmt w:val="decimal"/>
    <w:footnote w:id="0"/>
    <w:footnote w:id="1"/>
  </w:footnoteP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character" w:styleId="WW8Num1z0">
    <w:name w:val="WW8Num1z0"/>
    <w:qFormat/>
    <w:rPr>
      <w:rFonts w:ascii="Calibri" w:hAnsi="Calibri" w:eastAsia="Calibri" w:cs="Calibri"/>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Calibri" w:hAnsi="Calibri"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Calibri" w:hAnsi="Calibri" w:eastAsia="Calibri" w:cs="Calibri"/>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cs="Times New Roman"/>
      <w:b/>
    </w:rPr>
  </w:style>
  <w:style w:type="character" w:styleId="WW8Num4z1">
    <w:name w:val="WW8Num4z1"/>
    <w:qFormat/>
    <w:rPr>
      <w:rFonts w:cs="Times New Roman"/>
    </w:rPr>
  </w:style>
  <w:style w:type="character" w:styleId="WW8Num5z0">
    <w:name w:val="WW8Num5z0"/>
    <w:qFormat/>
    <w:rPr>
      <w:rFonts w:ascii="Calibri" w:hAnsi="Calibri" w:eastAsia="Calibri" w:cs="Calibri"/>
      <w:strike w:val="false"/>
      <w:dstrike w:val="false"/>
      <w:u w:val="none"/>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Calibri" w:hAnsi="Calibri" w:eastAsia="Calibri" w:cs="Calibri"/>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Policepardfaut">
    <w:name w:val="Police par défaut"/>
    <w:qFormat/>
    <w:rPr/>
  </w:style>
  <w:style w:type="character" w:styleId="NotedebasdepageCar">
    <w:name w:val="Note de bas de page Car"/>
    <w:basedOn w:val="Policepardfaut"/>
    <w:qFormat/>
    <w:rPr/>
  </w:style>
  <w:style w:type="character" w:styleId="Style1Car">
    <w:name w:val="Style1 Car"/>
    <w:qFormat/>
    <w:rPr>
      <w:rFonts w:cs="Calibri"/>
      <w:b/>
      <w:smallCaps/>
      <w:sz w:val="28"/>
      <w:szCs w:val="28"/>
    </w:rPr>
  </w:style>
  <w:style w:type="character" w:styleId="FootnoteCharacters">
    <w:name w:val="Footnote Characters"/>
    <w:qFormat/>
    <w:rPr>
      <w:vertAlign w:val="superscript"/>
    </w:rPr>
  </w:style>
  <w:style w:type="character" w:styleId="EnumrationChar">
    <w:name w:val="Enumération Char"/>
    <w:qFormat/>
    <w:rPr>
      <w:rFonts w:ascii="Arial" w:hAnsi="Arial" w:eastAsia="Calibri" w:cs="Arial"/>
      <w:sz w:val="22"/>
      <w:szCs w:val="22"/>
    </w:rPr>
  </w:style>
  <w:style w:type="character" w:styleId="PieddepageCar">
    <w:name w:val="Pied de page Car"/>
    <w:qFormat/>
    <w:rPr>
      <w:sz w:val="24"/>
      <w:szCs w:val="24"/>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Footnote">
    <w:name w:val="Footnote"/>
    <w:basedOn w:val="Normal"/>
    <w:pPr/>
    <w:rPr>
      <w:sz w:val="20"/>
      <w:szCs w:val="20"/>
    </w:rPr>
  </w:style>
  <w:style w:type="paragraph" w:styleId="Style14">
    <w:name w:val="Style1"/>
    <w:basedOn w:val="Normal"/>
    <w:qFormat/>
    <w:pPr>
      <w:jc w:val="both"/>
    </w:pPr>
    <w:rPr>
      <w:rFonts w:cs="Calibri"/>
      <w:b/>
      <w:smallCaps/>
      <w:sz w:val="28"/>
      <w:szCs w:val="28"/>
    </w:rPr>
  </w:style>
  <w:style w:type="paragraph" w:styleId="Enumration">
    <w:name w:val="Enumération"/>
    <w:basedOn w:val="Normal"/>
    <w:qFormat/>
    <w:pPr>
      <w:numPr>
        <w:ilvl w:val="0"/>
        <w:numId w:val="1"/>
      </w:numPr>
      <w:spacing w:before="0" w:after="120"/>
      <w:ind w:left="714" w:hanging="357"/>
      <w:jc w:val="both"/>
    </w:pPr>
    <w:rPr>
      <w:rFonts w:ascii="Arial" w:hAnsi="Arial" w:eastAsia="Calibri" w:cs="Arial"/>
      <w:sz w:val="22"/>
      <w:szCs w:val="22"/>
    </w:rPr>
  </w:style>
  <w:style w:type="paragraph" w:styleId="Enumration4">
    <w:name w:val="Enumération 4"/>
    <w:basedOn w:val="Enumration"/>
    <w:qFormat/>
    <w:pPr>
      <w:numPr>
        <w:ilvl w:val="0"/>
        <w:numId w:val="1"/>
      </w:numPr>
      <w:tabs>
        <w:tab w:val="left" w:pos="360" w:leader="none"/>
        <w:tab w:val="left" w:pos="720" w:leader="none"/>
      </w:tabs>
      <w:ind w:left="720" w:hanging="357"/>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Normal.dotm</Template>
  <TotalTime>24</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2019-07-15T15:50:00Z</dcterms:created>
  <dc:language>en-GB</dc:language>
  <cp:lastPrinted>2019-07-15T15:16:00Z</cp:lastPrinted>
  <dcterms:modified xsi:type="dcterms:W3CDTF">2019-07-15T16:14:00Z</dcterms:modified>
  <cp:revision>4</cp:revision>
</cp:coreProperties>
</file>