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numbering.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5.jpeg" ContentType="image/jpeg"/>
  <Override PartName="/word/media/image4.jpeg" ContentType="image/jpeg"/>
  <Override PartName="/word/media/image3.png" ContentType="image/png"/>
  <Override PartName="/word/media/image2.png" ContentType="image/png"/>
  <Override PartName="/word/media/image6.png" ContentType="image/png"/>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Arial" w:hAnsi="Arial" w:cs="Arial"/>
          <w:sz w:val="24"/>
        </w:rPr>
      </w:pPr>
      <w:r>
        <w:rPr/>
        <w:drawing>
          <wp:inline distT="0" distB="0" distL="0" distR="0">
            <wp:extent cx="4050665" cy="624205"/>
            <wp:effectExtent l="0" t="0" r="0" b="0"/>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4050665" cy="624205"/>
                    </a:xfrm>
                    <a:prstGeom prst="rect">
                      <a:avLst/>
                    </a:prstGeom>
                  </pic:spPr>
                </pic:pic>
              </a:graphicData>
            </a:graphic>
          </wp:inline>
        </w:drawing>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Heading2"/>
        <w:numPr>
          <w:ilvl w:val="1"/>
          <w:numId w:val="1"/>
        </w:numPr>
        <w:ind w:left="144" w:hanging="0"/>
        <w:jc w:val="center"/>
        <w:rPr>
          <w:sz w:val="72"/>
          <w:szCs w:val="72"/>
        </w:rPr>
      </w:pPr>
      <w:r>
        <w:rPr>
          <w:sz w:val="72"/>
          <w:szCs w:val="72"/>
        </w:rPr>
        <w:t>NEGOCIATIONS ANNUELLES</w:t>
      </w:r>
    </w:p>
    <w:p>
      <w:pPr>
        <w:pStyle w:val="Heading2"/>
        <w:numPr>
          <w:ilvl w:val="1"/>
          <w:numId w:val="1"/>
        </w:numPr>
        <w:ind w:left="144" w:hanging="0"/>
        <w:jc w:val="center"/>
        <w:rPr>
          <w:sz w:val="72"/>
          <w:szCs w:val="72"/>
        </w:rPr>
      </w:pPr>
      <w:r>
        <w:rPr>
          <w:sz w:val="72"/>
          <w:szCs w:val="72"/>
        </w:rPr>
        <w:t>2020</w:t>
      </w:r>
    </w:p>
    <w:p>
      <w:pPr>
        <w:pStyle w:val="Normal"/>
        <w:jc w:val="both"/>
        <w:rPr>
          <w:rFonts w:ascii="Arial" w:hAnsi="Arial" w:cs="Arial"/>
          <w:sz w:val="24"/>
          <w:szCs w:val="72"/>
        </w:rPr>
      </w:pPr>
      <w:r>
        <w:rPr>
          <w:rFonts w:cs="Arial" w:ascii="Arial" w:hAnsi="Arial"/>
          <w:sz w:val="24"/>
          <w:szCs w:val="72"/>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Heading2"/>
        <w:numPr>
          <w:ilvl w:val="1"/>
          <w:numId w:val="1"/>
        </w:numPr>
        <w:ind w:left="144" w:hanging="0"/>
        <w:jc w:val="center"/>
        <w:rPr>
          <w:color w:val="404040"/>
        </w:rPr>
      </w:pPr>
      <w:r>
        <w:rPr>
          <w:color w:val="404040"/>
        </w:rPr>
        <w:pict>
          <v:shapetype id="shapetype_136" coordsize="21600,21600" o:spt="136" adj="10800" path="m@9,l@10,em@11,21600l@12,21600e">
            <v:stroke joinstyle="miter"/>
            <v:formulas>
              <v:f eqn="val #0"/>
              <v:f eqn="sum @0 0 10800"/>
              <v:f eqn="sum @0 0 0"/>
              <v:f eqn="sum width 0 @0"/>
              <v:f eqn="prod @2 2 1"/>
              <v:f eqn="prod @3 2 1"/>
              <v:f eqn="if @1 @5 @4"/>
              <v:f eqn="sum 0 @6 0"/>
              <v:f eqn="sum width 0 @6"/>
              <v:f eqn="if @1 0 @8"/>
              <v:f eqn="if @1 @7 width"/>
              <v:f eqn="if @1 @8 0"/>
              <v:f eqn="if @1 width @7"/>
            </v:formulas>
            <v:handles>
              <v:h position="@0,21600"/>
            </v:handles>
          </v:shapetype>
          <v:shape id="shape_0" fillcolor="yellow" stroked="t" style="position:absolute;margin-left:0pt;margin-top:-34.95pt;width:355.15pt;height:34.85pt;mso-position-vertical:top" type="shapetype_136">
            <v:path textpathok="t"/>
            <v:textpath on="t" fitshape="t" string="PROTOCOLE D’ACCORD" style="font-family:&quot;Cambria Math&quot;"/>
            <w10:wrap type="none"/>
            <v:fill o:detectmouseclick="t" color2="#006699"/>
            <v:stroke color="#92d050" weight="12600" joinstyle="miter" endcap="square"/>
            <v:shadow on="t" obscured="f" color="silver"/>
          </v:shape>
        </w:pict>
      </w:r>
    </w:p>
    <w:p>
      <w:pPr>
        <w:pStyle w:val="Normal"/>
        <w:jc w:val="both"/>
        <w:rPr>
          <w:rFonts w:ascii="Arial" w:hAnsi="Arial" w:cs="Arial"/>
          <w:color w:val="404040"/>
          <w:sz w:val="24"/>
        </w:rPr>
      </w:pPr>
      <w:r>
        <w:rPr>
          <w:rFonts w:cs="Arial" w:ascii="Arial" w:hAnsi="Arial"/>
          <w:color w:val="404040"/>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jc w:val="both"/>
        <w:rPr>
          <w:rFonts w:ascii="Arial" w:hAnsi="Arial" w:cs="Arial"/>
          <w:sz w:val="24"/>
        </w:rPr>
      </w:pPr>
      <w:r>
        <w:rPr>
          <w:rFonts w:cs="Arial" w:ascii="Arial" w:hAnsi="Arial"/>
          <w:sz w:val="24"/>
        </w:rPr>
      </w:r>
    </w:p>
    <w:p>
      <w:pPr>
        <w:pStyle w:val="Normal"/>
        <w:pBdr>
          <w:top w:val="single" w:sz="4" w:space="1" w:color="000000"/>
          <w:left w:val="single" w:sz="4" w:space="4" w:color="000000"/>
          <w:bottom w:val="single" w:sz="4" w:space="1" w:color="000000"/>
          <w:right w:val="single" w:sz="4" w:space="4" w:color="000000"/>
        </w:pBdr>
        <w:jc w:val="both"/>
        <w:rPr>
          <w:rFonts w:cs="Arial"/>
          <w:b/>
          <w:b/>
          <w:bCs/>
          <w:i w:val="false"/>
          <w:i w:val="false"/>
          <w:smallCaps/>
          <w:sz w:val="28"/>
          <w:szCs w:val="28"/>
        </w:rPr>
      </w:pPr>
      <w:r>
        <w:rPr>
          <w:rFonts w:cs="Arial"/>
          <w:b/>
          <w:bCs/>
          <w:i w:val="false"/>
          <w:smallCaps/>
          <w:sz w:val="28"/>
          <w:szCs w:val="28"/>
        </w:rPr>
        <w:t xml:space="preserve">1 - Préambule : </w:t>
      </w:r>
    </w:p>
    <w:p>
      <w:pPr>
        <w:pStyle w:val="Normal"/>
        <w:jc w:val="both"/>
        <w:rPr/>
      </w:pPr>
      <w:r>
        <w:rPr>
          <w:rFonts w:cs="Arial"/>
          <w:i w:val="false"/>
        </w:rPr>
        <w:t>En application des articles L2242-1 et suivants du Code du Travail, les réunions de négociation ont été effectuées :</w:t>
      </w:r>
    </w:p>
    <w:p>
      <w:pPr>
        <w:pStyle w:val="Normal"/>
        <w:numPr>
          <w:ilvl w:val="0"/>
          <w:numId w:val="10"/>
        </w:numPr>
        <w:jc w:val="both"/>
        <w:rPr/>
      </w:pPr>
      <w:r>
        <w:rPr>
          <w:rFonts w:eastAsia="Calibri" w:cs="Calibri"/>
          <w:i w:val="false"/>
        </w:rPr>
        <w:t xml:space="preserve"> </w:t>
      </w:r>
      <w:r>
        <w:rPr>
          <w:rFonts w:cs="Arial"/>
          <w:i w:val="false"/>
        </w:rPr>
        <w:t>Le 22 novembre 2019.</w:t>
      </w:r>
    </w:p>
    <w:p>
      <w:pPr>
        <w:pStyle w:val="Normal"/>
        <w:numPr>
          <w:ilvl w:val="0"/>
          <w:numId w:val="10"/>
        </w:numPr>
        <w:jc w:val="both"/>
        <w:rPr>
          <w:rFonts w:cs="Arial"/>
          <w:i w:val="false"/>
          <w:i w:val="false"/>
        </w:rPr>
      </w:pPr>
      <w:r>
        <w:rPr>
          <w:rFonts w:cs="Arial"/>
          <w:i w:val="false"/>
        </w:rPr>
        <w:t>Le 9 janvier 2020</w:t>
      </w:r>
    </w:p>
    <w:p>
      <w:pPr>
        <w:pStyle w:val="Normal"/>
        <w:numPr>
          <w:ilvl w:val="0"/>
          <w:numId w:val="10"/>
        </w:numPr>
        <w:jc w:val="both"/>
        <w:rPr>
          <w:rFonts w:cs="Arial"/>
          <w:i w:val="false"/>
          <w:i w:val="false"/>
        </w:rPr>
      </w:pPr>
      <w:r>
        <w:rPr>
          <w:rFonts w:cs="Arial"/>
          <w:i w:val="false"/>
        </w:rPr>
        <w:t>Le 22 janvier 2020</w:t>
      </w:r>
    </w:p>
    <w:p>
      <w:pPr>
        <w:pStyle w:val="Normal"/>
        <w:jc w:val="both"/>
        <w:rPr/>
      </w:pPr>
      <w:r>
        <w:rPr>
          <w:rFonts w:cs="Arial"/>
          <w:i w:val="false"/>
        </w:rPr>
        <w:t>Réunions au cours desquelles ont été évoqués les points suivants :</w:t>
      </w:r>
    </w:p>
    <w:p>
      <w:pPr>
        <w:pStyle w:val="Normal"/>
        <w:numPr>
          <w:ilvl w:val="0"/>
          <w:numId w:val="8"/>
        </w:numPr>
        <w:jc w:val="both"/>
        <w:rPr/>
      </w:pPr>
      <w:r>
        <w:rPr>
          <w:rFonts w:cs="Arial"/>
          <w:i w:val="false"/>
          <w:u w:val="single"/>
        </w:rPr>
        <w:t>Composition de la délégation lors de la première réunion du 22 Novembre 2019.</w:t>
      </w:r>
    </w:p>
    <w:p>
      <w:pPr>
        <w:pStyle w:val="Normal"/>
        <w:numPr>
          <w:ilvl w:val="0"/>
          <w:numId w:val="13"/>
        </w:numPr>
        <w:jc w:val="both"/>
        <w:rPr>
          <w:rFonts w:cs="Arial"/>
          <w:i w:val="false"/>
          <w:i w:val="false"/>
        </w:rPr>
      </w:pPr>
      <w:r>
        <w:rPr>
          <w:rFonts w:cs="Arial"/>
          <w:i w:val="false"/>
        </w:rPr>
        <w:t>Pour FO </w:t>
      </w:r>
    </w:p>
    <w:p>
      <w:pPr>
        <w:pStyle w:val="Normal"/>
        <w:numPr>
          <w:ilvl w:val="0"/>
          <w:numId w:val="13"/>
        </w:numPr>
        <w:jc w:val="both"/>
        <w:rPr/>
      </w:pPr>
      <w:r>
        <w:rPr>
          <w:rFonts w:cs="Arial"/>
          <w:i w:val="false"/>
        </w:rPr>
        <w:t xml:space="preserve">Pour la CGT  </w:t>
      </w:r>
    </w:p>
    <w:p>
      <w:pPr>
        <w:pStyle w:val="Normal"/>
        <w:numPr>
          <w:ilvl w:val="0"/>
          <w:numId w:val="8"/>
        </w:numPr>
        <w:jc w:val="both"/>
        <w:rPr>
          <w:rFonts w:cs="Arial"/>
          <w:i w:val="false"/>
          <w:i w:val="false"/>
          <w:u w:val="single"/>
        </w:rPr>
      </w:pPr>
      <w:r>
        <w:rPr>
          <w:rFonts w:cs="Arial"/>
          <w:i w:val="false"/>
          <w:u w:val="single"/>
        </w:rPr>
        <w:t>Calendrier.</w:t>
      </w:r>
    </w:p>
    <w:p>
      <w:pPr>
        <w:pStyle w:val="Normal"/>
        <w:numPr>
          <w:ilvl w:val="0"/>
          <w:numId w:val="13"/>
        </w:numPr>
        <w:jc w:val="both"/>
        <w:rPr>
          <w:rFonts w:cs="Arial"/>
          <w:i w:val="false"/>
          <w:i w:val="false"/>
        </w:rPr>
      </w:pPr>
      <w:r>
        <w:rPr>
          <w:rFonts w:cs="Arial"/>
          <w:i w:val="false"/>
        </w:rPr>
        <w:t>La 2éme réunion prévue initialement le 13 décembre 2019 a été reportée au 9 janvier 2020 à 9h à Fleurance</w:t>
      </w:r>
    </w:p>
    <w:p>
      <w:pPr>
        <w:pStyle w:val="Normal"/>
        <w:numPr>
          <w:ilvl w:val="0"/>
          <w:numId w:val="13"/>
        </w:numPr>
        <w:jc w:val="both"/>
        <w:rPr>
          <w:rFonts w:cs="Arial"/>
          <w:i w:val="false"/>
          <w:i w:val="false"/>
        </w:rPr>
      </w:pPr>
      <w:r>
        <w:rPr>
          <w:rFonts w:cs="Arial"/>
          <w:i w:val="false"/>
        </w:rPr>
        <w:t>3éme réunion prévue le 31 Janvier 2020 à Fleurance a été avancée au 22 janvier 2020.</w:t>
      </w:r>
    </w:p>
    <w:p>
      <w:pPr>
        <w:pStyle w:val="Normal"/>
        <w:numPr>
          <w:ilvl w:val="0"/>
          <w:numId w:val="8"/>
        </w:numPr>
        <w:jc w:val="both"/>
        <w:rPr>
          <w:rFonts w:cs="Arial"/>
          <w:i w:val="false"/>
          <w:i w:val="false"/>
          <w:u w:val="single"/>
        </w:rPr>
      </w:pPr>
      <w:r>
        <w:rPr>
          <w:rFonts w:cs="Arial"/>
          <w:i w:val="false"/>
          <w:u w:val="single"/>
        </w:rPr>
        <w:t>Thèmes des négociations.</w:t>
      </w:r>
    </w:p>
    <w:p>
      <w:pPr>
        <w:pStyle w:val="Normal"/>
        <w:numPr>
          <w:ilvl w:val="0"/>
          <w:numId w:val="13"/>
        </w:numPr>
        <w:jc w:val="both"/>
        <w:rPr>
          <w:rFonts w:cs="Arial"/>
          <w:i w:val="false"/>
          <w:i w:val="false"/>
        </w:rPr>
      </w:pPr>
      <w:r>
        <w:rPr>
          <w:rFonts w:cs="Arial"/>
          <w:i w:val="false"/>
        </w:rPr>
        <w:t xml:space="preserve">Rémunération </w:t>
      </w:r>
    </w:p>
    <w:p>
      <w:pPr>
        <w:pStyle w:val="Normal"/>
        <w:numPr>
          <w:ilvl w:val="0"/>
          <w:numId w:val="13"/>
        </w:numPr>
        <w:jc w:val="both"/>
        <w:rPr/>
      </w:pPr>
      <w:r>
        <w:rPr>
          <w:rFonts w:cs="Arial"/>
          <w:i w:val="false"/>
        </w:rPr>
        <w:t>Durée et organisation du travail</w:t>
      </w:r>
    </w:p>
    <w:p>
      <w:pPr>
        <w:pStyle w:val="Normal"/>
        <w:numPr>
          <w:ilvl w:val="0"/>
          <w:numId w:val="13"/>
        </w:numPr>
        <w:jc w:val="both"/>
        <w:rPr/>
      </w:pPr>
      <w:r>
        <w:rPr>
          <w:rFonts w:cs="Arial"/>
          <w:i w:val="false"/>
        </w:rPr>
        <w:t>Egalité professionnelle H/F</w:t>
      </w:r>
    </w:p>
    <w:p>
      <w:pPr>
        <w:pStyle w:val="Normal"/>
        <w:numPr>
          <w:ilvl w:val="0"/>
          <w:numId w:val="8"/>
        </w:numPr>
        <w:jc w:val="both"/>
        <w:rPr/>
      </w:pPr>
      <w:r>
        <w:rPr>
          <w:rFonts w:cs="Arial"/>
          <w:i w:val="false"/>
          <w:u w:val="single"/>
        </w:rPr>
        <w:t>Accord pour journée de solidarité et ponts 2020.</w:t>
      </w:r>
    </w:p>
    <w:p>
      <w:pPr>
        <w:pStyle w:val="Normal"/>
        <w:ind w:left="720" w:hanging="0"/>
        <w:jc w:val="both"/>
        <w:rPr>
          <w:rFonts w:cs="Arial"/>
          <w:i w:val="false"/>
          <w:i w:val="false"/>
        </w:rPr>
      </w:pPr>
      <w:r>
        <w:rPr>
          <w:rFonts w:cs="Arial"/>
          <w:i w:val="false"/>
        </w:rPr>
        <w:t>Les jours ont été définis comme suit :</w:t>
      </w:r>
    </w:p>
    <w:p>
      <w:pPr>
        <w:pStyle w:val="Normal"/>
        <w:numPr>
          <w:ilvl w:val="0"/>
          <w:numId w:val="13"/>
        </w:numPr>
        <w:jc w:val="both"/>
        <w:rPr/>
      </w:pPr>
      <w:r>
        <w:rPr>
          <w:rFonts w:cs="Arial"/>
          <w:i w:val="false"/>
        </w:rPr>
        <w:t>Ponts les 22 mai 2020 – 1</w:t>
      </w:r>
      <w:r>
        <w:rPr>
          <w:rFonts w:cs="Arial"/>
          <w:i w:val="false"/>
          <w:vertAlign w:val="superscript"/>
        </w:rPr>
        <w:t>er</w:t>
      </w:r>
      <w:r>
        <w:rPr>
          <w:rFonts w:cs="Arial"/>
          <w:i w:val="false"/>
        </w:rPr>
        <w:t xml:space="preserve"> juin 2020 et 13 juillet 2020.</w:t>
      </w:r>
    </w:p>
    <w:p>
      <w:pPr>
        <w:pStyle w:val="Normal"/>
        <w:ind w:left="720" w:hanging="0"/>
        <w:jc w:val="both"/>
        <w:rPr>
          <w:rFonts w:cs="Arial"/>
          <w:i w:val="false"/>
          <w:i w:val="false"/>
        </w:rPr>
      </w:pPr>
      <w:r>
        <w:rPr>
          <w:rFonts w:cs="Arial"/>
          <w:i w:val="false"/>
        </w:rPr>
        <w:t>La journée de solidarité étant fixée au 1</w:t>
      </w:r>
      <w:r>
        <w:rPr>
          <w:rFonts w:cs="Arial"/>
          <w:i w:val="false"/>
          <w:vertAlign w:val="superscript"/>
        </w:rPr>
        <w:t>er</w:t>
      </w:r>
      <w:r>
        <w:rPr>
          <w:rFonts w:cs="Arial"/>
          <w:i w:val="false"/>
        </w:rPr>
        <w:t xml:space="preserve"> juin 2020.  </w:t>
      </w:r>
    </w:p>
    <w:p>
      <w:pPr>
        <w:pStyle w:val="Normal"/>
        <w:jc w:val="both"/>
        <w:rPr>
          <w:rFonts w:cs="Arial"/>
          <w:i w:val="false"/>
          <w:i w:val="false"/>
        </w:rPr>
      </w:pPr>
      <w:r>
        <w:rPr>
          <w:rFonts w:cs="Arial"/>
          <w:i w:val="false"/>
        </w:rPr>
        <w:t>Ces jours ont été communiqués aux réunions du CSE de Monteils du 13 décembre 2019 et au de Fleurance le 16 décembre 2019.</w:t>
      </w:r>
    </w:p>
    <w:p>
      <w:pPr>
        <w:pStyle w:val="Normal"/>
        <w:jc w:val="both"/>
        <w:rPr>
          <w:rFonts w:cs="Arial"/>
          <w:i w:val="false"/>
          <w:i w:val="false"/>
        </w:rPr>
      </w:pPr>
      <w:r>
        <w:rPr>
          <w:rFonts w:cs="Arial"/>
          <w:i w:val="false"/>
        </w:rPr>
      </w:r>
    </w:p>
    <w:p>
      <w:pPr>
        <w:pStyle w:val="Normal"/>
        <w:jc w:val="both"/>
        <w:rPr>
          <w:rFonts w:cs="Arial"/>
          <w:i w:val="false"/>
          <w:i w:val="false"/>
        </w:rPr>
      </w:pPr>
      <w:r>
        <w:rPr>
          <w:rFonts w:cs="Arial"/>
          <w:i w:val="false"/>
        </w:rPr>
      </w:r>
    </w:p>
    <w:p>
      <w:pPr>
        <w:pStyle w:val="Normal"/>
        <w:jc w:val="both"/>
        <w:rPr/>
      </w:pPr>
      <w:r>
        <w:rPr>
          <w:rFonts w:cs="Arial"/>
          <w:b/>
          <w:bCs/>
          <w:i w:val="false"/>
          <w:smallCaps/>
          <w:u w:val="single"/>
        </w:rPr>
        <w:t>Etaient présents</w:t>
      </w:r>
      <w:r>
        <w:rPr>
          <w:rFonts w:cs="Arial"/>
          <w:b/>
          <w:bCs/>
          <w:i w:val="false"/>
        </w:rPr>
        <w:t xml:space="preserve"> : </w:t>
      </w:r>
    </w:p>
    <w:p>
      <w:pPr>
        <w:pStyle w:val="Sansinterligne"/>
        <w:rPr>
          <w:i w:val="false"/>
          <w:i w:val="false"/>
        </w:rPr>
      </w:pPr>
      <w:r>
        <w:rPr>
          <w:i w:val="false"/>
          <w:u w:val="single"/>
        </w:rPr>
        <w:t>Pour la Direction</w:t>
      </w:r>
      <w:r>
        <w:rPr>
          <w:i w:val="false"/>
        </w:rPr>
        <w:t xml:space="preserve"> </w:t>
        <w:tab/>
        <w:tab/>
        <w:tab/>
        <w:tab/>
      </w:r>
      <w:bookmarkStart w:id="0" w:name="OLE_LINK4"/>
      <w:bookmarkStart w:id="1" w:name="OLE_LINK3"/>
      <w:r>
        <w:rPr>
          <w:i w:val="false"/>
        </w:rPr>
        <w:tab/>
        <w:tab/>
      </w:r>
      <w:bookmarkEnd w:id="0"/>
      <w:bookmarkEnd w:id="1"/>
      <w:r>
        <w:rPr>
          <w:i w:val="false"/>
          <w:u w:val="single"/>
        </w:rPr>
        <w:t>Délégation FO</w:t>
      </w:r>
    </w:p>
    <w:p>
      <w:pPr>
        <w:pStyle w:val="Sansinterligne"/>
        <w:rPr>
          <w:i w:val="false"/>
          <w:i w:val="false"/>
        </w:rPr>
      </w:pPr>
      <w:r>
        <w:rPr>
          <w:i w:val="false"/>
        </w:rPr>
        <w:t>Directeur</w:t>
        <w:tab/>
        <w:tab/>
        <w:tab/>
        <w:tab/>
        <w:tab/>
        <w:tab/>
        <w:t>Délégué syndical</w:t>
      </w:r>
    </w:p>
    <w:p>
      <w:pPr>
        <w:pStyle w:val="Sansinterligne"/>
        <w:rPr>
          <w:i w:val="false"/>
          <w:i w:val="false"/>
        </w:rPr>
      </w:pPr>
      <w:r>
        <w:rPr>
          <w:i w:val="false"/>
        </w:rPr>
        <w:t>RRH</w:t>
        <w:tab/>
        <w:tab/>
        <w:tab/>
        <w:tab/>
        <w:tab/>
        <w:tab/>
        <w:tab/>
        <w:tab/>
        <w:t xml:space="preserve"> </w:t>
      </w:r>
    </w:p>
    <w:p>
      <w:pPr>
        <w:pStyle w:val="Sansinterligne"/>
        <w:ind w:left="4254" w:firstLine="709"/>
        <w:rPr>
          <w:i w:val="false"/>
          <w:i w:val="false"/>
          <w:u w:val="single"/>
        </w:rPr>
      </w:pPr>
      <w:r>
        <w:rPr>
          <w:i w:val="false"/>
          <w:u w:val="single"/>
        </w:rPr>
        <w:t>Délégation CGT</w:t>
      </w:r>
    </w:p>
    <w:p>
      <w:pPr>
        <w:pStyle w:val="Sansinterligne"/>
        <w:rPr>
          <w:i w:val="false"/>
          <w:i w:val="false"/>
        </w:rPr>
      </w:pPr>
      <w:r>
        <w:rPr>
          <w:rFonts w:eastAsia="Calibri" w:cs="Calibri"/>
          <w:i w:val="false"/>
        </w:rPr>
        <w:t xml:space="preserve"> </w:t>
      </w:r>
      <w:r>
        <w:rPr>
          <w:i w:val="false"/>
        </w:rPr>
        <w:tab/>
        <w:tab/>
        <w:t xml:space="preserve"> </w:t>
        <w:tab/>
        <w:tab/>
        <w:tab/>
        <w:tab/>
        <w:tab/>
        <w:t>Délégué syndical</w:t>
      </w:r>
    </w:p>
    <w:p>
      <w:pPr>
        <w:pStyle w:val="Normal"/>
        <w:jc w:val="both"/>
        <w:rPr>
          <w:rFonts w:cs="Arial"/>
          <w:i w:val="false"/>
          <w:i w:val="false"/>
        </w:rPr>
      </w:pPr>
      <w:r>
        <w:rPr>
          <w:rFonts w:cs="Arial"/>
          <w:i w:val="false"/>
        </w:rPr>
        <w:tab/>
        <w:tab/>
        <w:tab/>
        <w:tab/>
        <w:tab/>
        <w:tab/>
        <w:tab/>
      </w:r>
    </w:p>
    <w:p>
      <w:pPr>
        <w:pStyle w:val="Normal"/>
        <w:jc w:val="both"/>
        <w:rPr>
          <w:rFonts w:cs="Arial"/>
          <w:i w:val="false"/>
          <w:i w:val="false"/>
        </w:rPr>
      </w:pPr>
      <w:r>
        <w:rPr>
          <w:rFonts w:cs="Arial"/>
          <w:i w:val="false"/>
        </w:rPr>
        <w:t>A l’occasion de la première réunion les syndicats ont transmis leurs revendications.</w:t>
      </w:r>
    </w:p>
    <w:p>
      <w:pPr>
        <w:pStyle w:val="Normal"/>
        <w:jc w:val="both"/>
        <w:rPr>
          <w:rFonts w:cs="Arial"/>
          <w:i w:val="false"/>
          <w:i w:val="false"/>
        </w:rPr>
      </w:pPr>
      <w:r>
        <w:rPr>
          <w:rFonts w:cs="Arial"/>
          <w:i w:val="false"/>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2 - Les demandes exprimées par les syndicats sont les suivantes : </w:t>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A - Par le Délégué Syndical FO : </w:t>
      </w:r>
    </w:p>
    <w:p>
      <w:pPr>
        <w:pStyle w:val="Normal"/>
        <w:numPr>
          <w:ilvl w:val="0"/>
          <w:numId w:val="6"/>
        </w:numPr>
        <w:spacing w:lineRule="auto" w:line="240" w:before="0" w:after="0"/>
        <w:jc w:val="both"/>
        <w:rPr/>
      </w:pPr>
      <w:r>
        <w:rPr>
          <w:iCs w:val="false"/>
        </w:rPr>
        <w:t xml:space="preserve">Statistiques 2019 des 3 jours de carences, Arrêt Maladie. </w:t>
      </w:r>
    </w:p>
    <w:p>
      <w:pPr>
        <w:pStyle w:val="Normal"/>
        <w:spacing w:lineRule="auto" w:line="240" w:before="0" w:after="0"/>
        <w:ind w:firstLine="709"/>
        <w:jc w:val="both"/>
        <w:rPr>
          <w:iCs w:val="false"/>
        </w:rPr>
      </w:pPr>
      <w:r>
        <w:rPr>
          <w:iCs w:val="false"/>
        </w:rPr>
        <w:t>Renouvellement de l’accord sur les trois jours pour 2020,</w:t>
      </w:r>
    </w:p>
    <w:p>
      <w:pPr>
        <w:pStyle w:val="Normal"/>
        <w:spacing w:lineRule="auto" w:line="240" w:before="0" w:after="0"/>
        <w:jc w:val="both"/>
        <w:rPr>
          <w:iCs w:val="false"/>
        </w:rPr>
      </w:pPr>
      <w:r>
        <w:rPr>
          <w:iCs w:val="false"/>
        </w:rPr>
      </w:r>
    </w:p>
    <w:p>
      <w:pPr>
        <w:pStyle w:val="Normal"/>
        <w:numPr>
          <w:ilvl w:val="0"/>
          <w:numId w:val="6"/>
        </w:numPr>
        <w:spacing w:lineRule="auto" w:line="240" w:before="0" w:after="0"/>
        <w:jc w:val="both"/>
        <w:rPr/>
      </w:pPr>
      <w:r>
        <w:rPr>
          <w:rFonts w:eastAsia="Calibri" w:cs="Calibri"/>
          <w:iCs w:val="false"/>
        </w:rPr>
        <w:t xml:space="preserve"> </w:t>
      </w:r>
      <w:r>
        <w:rPr>
          <w:iCs w:val="false"/>
        </w:rPr>
        <w:t>Bilan des entretiens mi- carrière 2018/2019 : Nombre de salariés restant à faire (45 ans puis tous les 5 ans)</w:t>
      </w:r>
    </w:p>
    <w:p>
      <w:pPr>
        <w:pStyle w:val="Normal"/>
        <w:spacing w:lineRule="auto" w:line="240" w:before="0" w:after="0"/>
        <w:jc w:val="both"/>
        <w:rPr/>
      </w:pPr>
      <w:r>
        <w:rPr>
          <w:rFonts w:eastAsia="Calibri" w:cs="Calibri"/>
          <w:iCs w:val="false"/>
        </w:rPr>
        <w:t xml:space="preserve">   </w:t>
      </w:r>
      <w:r>
        <w:rPr>
          <w:iCs w:val="false"/>
        </w:rPr>
        <w:tab/>
        <w:t xml:space="preserve"> Nombre de salariés qui l’ont passé,</w:t>
      </w:r>
    </w:p>
    <w:p>
      <w:pPr>
        <w:pStyle w:val="Normal"/>
        <w:spacing w:lineRule="auto" w:line="240" w:before="0" w:after="0"/>
        <w:jc w:val="both"/>
        <w:rPr/>
      </w:pPr>
      <w:r>
        <w:rPr>
          <w:rFonts w:eastAsia="Calibri" w:cs="Calibri"/>
          <w:iCs w:val="false"/>
        </w:rPr>
        <w:t xml:space="preserve">   </w:t>
      </w:r>
      <w:r>
        <w:rPr>
          <w:iCs w:val="false"/>
        </w:rPr>
        <w:tab/>
        <w:t>Retour de l’entretien avec le salarié et la Direction,</w:t>
      </w:r>
    </w:p>
    <w:p>
      <w:pPr>
        <w:pStyle w:val="Normal"/>
        <w:spacing w:lineRule="auto" w:line="240" w:before="0" w:after="0"/>
        <w:jc w:val="both"/>
        <w:rPr>
          <w:iCs w:val="false"/>
        </w:rPr>
      </w:pPr>
      <w:r>
        <w:rPr>
          <w:iCs w:val="false"/>
        </w:rPr>
      </w:r>
    </w:p>
    <w:p>
      <w:pPr>
        <w:pStyle w:val="Normal"/>
        <w:numPr>
          <w:ilvl w:val="0"/>
          <w:numId w:val="6"/>
        </w:numPr>
        <w:spacing w:lineRule="auto" w:line="240" w:before="0" w:after="0"/>
        <w:jc w:val="both"/>
        <w:rPr>
          <w:iCs w:val="false"/>
        </w:rPr>
      </w:pPr>
      <w:r>
        <w:rPr>
          <w:iCs w:val="false"/>
        </w:rPr>
        <w:t>Bilan des entretiens annuel 2018/2019 : Nombre de salariés restant à faire et nombre de salariés qui l’ont passé,</w:t>
      </w:r>
    </w:p>
    <w:p>
      <w:pPr>
        <w:pStyle w:val="Normal"/>
        <w:spacing w:lineRule="auto" w:line="240" w:before="0" w:after="0"/>
        <w:ind w:firstLine="360"/>
        <w:jc w:val="both"/>
        <w:rPr/>
      </w:pPr>
      <w:r>
        <w:rPr>
          <w:rFonts w:eastAsia="Calibri" w:cs="Calibri"/>
          <w:i w:val="false"/>
          <w:iCs w:val="false"/>
        </w:rPr>
        <w:t xml:space="preserve">      </w:t>
      </w:r>
      <w:r>
        <w:rPr>
          <w:i w:val="false"/>
          <w:iCs w:val="false"/>
        </w:rPr>
        <w:tab/>
      </w:r>
      <w:r>
        <w:rPr>
          <w:iCs w:val="false"/>
        </w:rPr>
        <w:t>Retour de l’entretien avec le salarié et la Direction,</w:t>
      </w:r>
    </w:p>
    <w:p>
      <w:pPr>
        <w:pStyle w:val="Normal"/>
        <w:spacing w:lineRule="auto" w:line="240" w:before="0" w:after="0"/>
        <w:ind w:left="709" w:hanging="0"/>
        <w:jc w:val="both"/>
        <w:rPr>
          <w:iCs w:val="false"/>
        </w:rPr>
      </w:pPr>
      <w:r>
        <w:rPr>
          <w:iCs w:val="false"/>
        </w:rPr>
        <w:t>Que ce soit pour l’entretien mi carrière ou annuel certains salariés ne l’ont pas fait depuis plus de 2 ou 3 ans même pas du tout, que comptez- vous faire ?</w:t>
      </w:r>
    </w:p>
    <w:p>
      <w:pPr>
        <w:pStyle w:val="Normal"/>
        <w:spacing w:lineRule="auto" w:line="240" w:before="0" w:after="0"/>
        <w:jc w:val="both"/>
        <w:rPr>
          <w:iCs w:val="false"/>
        </w:rPr>
      </w:pPr>
      <w:r>
        <w:rPr>
          <w:iCs w:val="false"/>
        </w:rPr>
      </w:r>
    </w:p>
    <w:p>
      <w:pPr>
        <w:pStyle w:val="Normal"/>
        <w:numPr>
          <w:ilvl w:val="0"/>
          <w:numId w:val="6"/>
        </w:numPr>
        <w:spacing w:lineRule="auto" w:line="240" w:before="0" w:after="0"/>
        <w:jc w:val="both"/>
        <w:rPr>
          <w:iCs w:val="false"/>
        </w:rPr>
      </w:pPr>
      <w:r>
        <w:rPr>
          <w:iCs w:val="false"/>
        </w:rPr>
        <w:t>Recourt à l’intérim :</w:t>
      </w:r>
    </w:p>
    <w:p>
      <w:pPr>
        <w:pStyle w:val="Normal"/>
        <w:spacing w:lineRule="auto" w:line="240" w:before="0" w:after="0"/>
        <w:ind w:left="709" w:hanging="0"/>
        <w:jc w:val="both"/>
        <w:rPr>
          <w:iCs w:val="false"/>
        </w:rPr>
      </w:pPr>
      <w:r>
        <w:rPr>
          <w:iCs w:val="false"/>
        </w:rPr>
        <w:t>Certains Intérimaires sont présents dans l’entreprise depuis quelque temps, la Direction va t’elle pérenniser se personnel ?</w:t>
      </w:r>
    </w:p>
    <w:p>
      <w:pPr>
        <w:pStyle w:val="Normal"/>
        <w:spacing w:lineRule="auto" w:line="240" w:before="0" w:after="0"/>
        <w:ind w:firstLine="709"/>
        <w:jc w:val="both"/>
        <w:rPr>
          <w:iCs w:val="false"/>
        </w:rPr>
      </w:pPr>
      <w:r>
        <w:rPr>
          <w:iCs w:val="false"/>
        </w:rPr>
        <w:t>L’Entreprise a eu recourt à des salariés intérimaires pour 2019 :</w:t>
      </w:r>
    </w:p>
    <w:p>
      <w:pPr>
        <w:pStyle w:val="Normal"/>
        <w:spacing w:lineRule="auto" w:line="240" w:before="0" w:after="0"/>
        <w:ind w:left="709" w:hanging="0"/>
        <w:jc w:val="both"/>
        <w:rPr>
          <w:iCs w:val="false"/>
        </w:rPr>
      </w:pPr>
      <w:r>
        <w:rPr>
          <w:iCs w:val="false"/>
        </w:rPr>
        <w:t>Nous demandons le nombre d’intérimaires pour cette année-là et le secteur d’activité ainsi que le temps passé dans l’entreprise,</w:t>
      </w:r>
    </w:p>
    <w:p>
      <w:pPr>
        <w:pStyle w:val="Normal"/>
        <w:spacing w:lineRule="auto" w:line="240" w:before="0" w:after="0"/>
        <w:ind w:firstLine="709"/>
        <w:jc w:val="both"/>
        <w:rPr/>
      </w:pPr>
      <w:r>
        <w:rPr>
          <w:rFonts w:eastAsia="Calibri" w:cs="Calibri"/>
          <w:iCs w:val="false"/>
        </w:rPr>
        <w:t xml:space="preserve"> </w:t>
      </w:r>
      <w:r>
        <w:rPr>
          <w:iCs w:val="false"/>
        </w:rPr>
        <w:t>Prévision pour l’année 2020</w:t>
      </w:r>
    </w:p>
    <w:p>
      <w:pPr>
        <w:pStyle w:val="Normal"/>
        <w:spacing w:lineRule="auto" w:line="240" w:before="0" w:after="0"/>
        <w:ind w:firstLine="709"/>
        <w:jc w:val="both"/>
        <w:rPr/>
      </w:pPr>
      <w:r>
        <w:rPr>
          <w:rFonts w:eastAsia="Calibri" w:cs="Calibri"/>
          <w:iCs w:val="false"/>
        </w:rPr>
        <w:t xml:space="preserve"> </w:t>
      </w:r>
      <w:r>
        <w:rPr>
          <w:iCs w:val="false"/>
        </w:rPr>
        <w:t>Politique de l’entreprise sur l’évolution de l’intérim, Accueil, information et Formation.</w:t>
      </w:r>
    </w:p>
    <w:p>
      <w:pPr>
        <w:pStyle w:val="Normal"/>
        <w:spacing w:lineRule="auto" w:line="240" w:before="0" w:after="0"/>
        <w:jc w:val="both"/>
        <w:rPr>
          <w:iCs w:val="false"/>
        </w:rPr>
      </w:pPr>
      <w:r>
        <w:rPr>
          <w:iCs w:val="false"/>
        </w:rPr>
      </w:r>
    </w:p>
    <w:p>
      <w:pPr>
        <w:pStyle w:val="Normal"/>
        <w:numPr>
          <w:ilvl w:val="0"/>
          <w:numId w:val="6"/>
        </w:numPr>
        <w:spacing w:lineRule="auto" w:line="240" w:before="0" w:after="0"/>
        <w:jc w:val="both"/>
        <w:rPr>
          <w:iCs w:val="false"/>
        </w:rPr>
      </w:pPr>
      <w:r>
        <w:rPr>
          <w:iCs w:val="false"/>
        </w:rPr>
        <w:t xml:space="preserve">Embauche : La population de salariés dans certain service est vieillissante et le métier est dur, </w:t>
      </w:r>
    </w:p>
    <w:p>
      <w:pPr>
        <w:pStyle w:val="Normal"/>
        <w:spacing w:lineRule="auto" w:line="240" w:before="0" w:after="0"/>
        <w:ind w:left="720" w:hanging="0"/>
        <w:jc w:val="both"/>
        <w:rPr>
          <w:iCs w:val="false"/>
        </w:rPr>
      </w:pPr>
      <w:r>
        <w:rPr>
          <w:iCs w:val="false"/>
        </w:rPr>
        <w:t>Politique de recrutement et fidélisation de ses salariés</w:t>
      </w:r>
    </w:p>
    <w:p>
      <w:pPr>
        <w:pStyle w:val="Normal"/>
        <w:spacing w:lineRule="auto" w:line="240" w:before="0" w:after="0"/>
        <w:ind w:left="720" w:hanging="0"/>
        <w:jc w:val="both"/>
        <w:rPr>
          <w:iCs w:val="false"/>
        </w:rPr>
      </w:pPr>
      <w:r>
        <w:rPr>
          <w:iCs w:val="false"/>
        </w:rPr>
        <w:t>Que comptez vous faire ?</w:t>
      </w:r>
    </w:p>
    <w:p>
      <w:pPr>
        <w:pStyle w:val="Normal"/>
        <w:spacing w:lineRule="auto" w:line="240" w:before="0" w:after="0"/>
        <w:jc w:val="both"/>
        <w:rPr>
          <w:iCs w:val="false"/>
        </w:rPr>
      </w:pPr>
      <w:r>
        <w:rPr>
          <w:iCs w:val="false"/>
        </w:rPr>
      </w:r>
    </w:p>
    <w:p>
      <w:pPr>
        <w:pStyle w:val="Normal"/>
        <w:numPr>
          <w:ilvl w:val="0"/>
          <w:numId w:val="6"/>
        </w:numPr>
        <w:spacing w:lineRule="auto" w:line="240" w:before="0" w:after="0"/>
        <w:jc w:val="both"/>
        <w:rPr>
          <w:iCs w:val="false"/>
        </w:rPr>
      </w:pPr>
      <w:r>
        <w:rPr>
          <w:iCs w:val="false"/>
        </w:rPr>
        <w:t>Egalité professionnelle : Bilan et perspective pour 2020,</w:t>
      </w:r>
    </w:p>
    <w:p>
      <w:pPr>
        <w:pStyle w:val="Normal"/>
        <w:spacing w:lineRule="auto" w:line="240" w:before="0" w:after="0"/>
        <w:ind w:left="720" w:hanging="0"/>
        <w:jc w:val="both"/>
        <w:rPr>
          <w:iCs w:val="false"/>
        </w:rPr>
      </w:pPr>
      <w:r>
        <w:rPr>
          <w:iCs w:val="false"/>
        </w:rPr>
        <w:t>Le plan d'action doit recenser :</w:t>
      </w:r>
    </w:p>
    <w:p>
      <w:pPr>
        <w:pStyle w:val="Normal"/>
        <w:tabs>
          <w:tab w:val="center" w:pos="4536" w:leader="none"/>
          <w:tab w:val="right" w:pos="9072" w:leader="none"/>
        </w:tabs>
        <w:spacing w:lineRule="auto" w:line="240" w:before="0" w:after="0"/>
        <w:ind w:left="705" w:hanging="0"/>
        <w:rPr>
          <w:iCs w:val="false"/>
        </w:rPr>
      </w:pPr>
      <w:r>
        <w:rPr>
          <w:iCs w:val="false"/>
        </w:rPr>
        <w:t>- les objectifs et les mesures prises au cours de l'année écoulée en vue d'assurer l'égalité professionnelle entre les femmes et les hommes ;</w:t>
      </w:r>
    </w:p>
    <w:p>
      <w:pPr>
        <w:pStyle w:val="Normal"/>
        <w:tabs>
          <w:tab w:val="center" w:pos="4536" w:leader="none"/>
          <w:tab w:val="right" w:pos="9072" w:leader="none"/>
        </w:tabs>
        <w:spacing w:lineRule="auto" w:line="240" w:before="0" w:after="0"/>
        <w:ind w:left="705" w:hanging="0"/>
        <w:rPr>
          <w:iCs w:val="false"/>
        </w:rPr>
      </w:pPr>
      <w:r>
        <w:rPr>
          <w:iCs w:val="false"/>
        </w:rPr>
        <w:t>- les objectifs de progression prévus pour l'année à venir ;</w:t>
      </w:r>
    </w:p>
    <w:p>
      <w:pPr>
        <w:pStyle w:val="Normal"/>
        <w:tabs>
          <w:tab w:val="left" w:pos="708" w:leader="none"/>
          <w:tab w:val="center" w:pos="4536" w:leader="none"/>
          <w:tab w:val="right" w:pos="9072" w:leader="none"/>
        </w:tabs>
        <w:spacing w:lineRule="auto" w:line="240" w:before="0" w:after="0"/>
        <w:ind w:left="705" w:hanging="0"/>
        <w:rPr>
          <w:i w:val="false"/>
          <w:i w:val="false"/>
          <w:iCs w:val="false"/>
        </w:rPr>
      </w:pPr>
      <w:r>
        <w:rPr>
          <w:iCs w:val="false"/>
        </w:rPr>
        <w:t>- la définition qualitative et quantitative des actions permettant de les atteindre ainsi que l'évaluation de leur coût</w:t>
      </w:r>
      <w:r>
        <w:rPr>
          <w:i w:val="false"/>
          <w:iCs w:val="false"/>
        </w:rPr>
        <w:t>,</w:t>
      </w:r>
    </w:p>
    <w:p>
      <w:pPr>
        <w:pStyle w:val="Normal"/>
        <w:tabs>
          <w:tab w:val="left" w:pos="708" w:leader="none"/>
          <w:tab w:val="center" w:pos="4536" w:leader="none"/>
          <w:tab w:val="right" w:pos="9072" w:leader="none"/>
        </w:tabs>
        <w:spacing w:lineRule="auto" w:line="240" w:before="0" w:after="0"/>
        <w:ind w:left="705" w:hanging="0"/>
        <w:rPr>
          <w:iCs w:val="false"/>
        </w:rPr>
      </w:pPr>
      <w:r>
        <w:rPr>
          <w:iCs w:val="false"/>
        </w:rPr>
        <w:t>Cela fera partie d’un accord en annexe de celui-ci,</w:t>
      </w:r>
    </w:p>
    <w:p>
      <w:pPr>
        <w:pStyle w:val="Normal"/>
        <w:tabs>
          <w:tab w:val="left" w:pos="708" w:leader="none"/>
          <w:tab w:val="center" w:pos="4536" w:leader="none"/>
          <w:tab w:val="right" w:pos="9072" w:leader="none"/>
        </w:tabs>
        <w:spacing w:lineRule="auto" w:line="240" w:before="0" w:after="0"/>
        <w:rPr>
          <w:iCs w:val="false"/>
        </w:rPr>
      </w:pPr>
      <w:r>
        <w:rPr>
          <w:iCs w:val="false"/>
        </w:rPr>
      </w:r>
    </w:p>
    <w:p>
      <w:pPr>
        <w:pStyle w:val="Normal"/>
        <w:numPr>
          <w:ilvl w:val="0"/>
          <w:numId w:val="6"/>
        </w:numPr>
        <w:tabs>
          <w:tab w:val="left" w:pos="708" w:leader="none"/>
          <w:tab w:val="center" w:pos="4536" w:leader="none"/>
          <w:tab w:val="right" w:pos="9072" w:leader="none"/>
        </w:tabs>
        <w:spacing w:lineRule="auto" w:line="240" w:before="0" w:after="0"/>
        <w:rPr>
          <w:b/>
          <w:b/>
          <w:iCs w:val="false"/>
        </w:rPr>
      </w:pPr>
      <w:r>
        <w:rPr>
          <w:iCs w:val="false"/>
        </w:rPr>
        <w:t>Pourcentage des chantiers sous-traiter</w:t>
      </w:r>
      <w:r>
        <w:rPr>
          <w:b/>
          <w:iCs w:val="false"/>
        </w:rPr>
        <w:t> :</w:t>
      </w:r>
    </w:p>
    <w:p>
      <w:pPr>
        <w:pStyle w:val="Normal"/>
        <w:tabs>
          <w:tab w:val="left" w:pos="708" w:leader="none"/>
          <w:tab w:val="center" w:pos="4536" w:leader="none"/>
          <w:tab w:val="right" w:pos="9072" w:leader="none"/>
        </w:tabs>
        <w:spacing w:lineRule="auto" w:line="240" w:before="0" w:after="0"/>
        <w:ind w:left="720" w:hanging="0"/>
        <w:rPr/>
      </w:pPr>
      <w:r>
        <w:rPr>
          <w:rFonts w:eastAsia="Calibri" w:cs="Calibri"/>
          <w:iCs w:val="false"/>
        </w:rPr>
        <w:t xml:space="preserve"> </w:t>
      </w:r>
      <w:r>
        <w:rPr>
          <w:iCs w:val="false"/>
        </w:rPr>
        <w:t>Sous-traitance des chantiers Bureau Etude</w:t>
      </w:r>
    </w:p>
    <w:p>
      <w:pPr>
        <w:pStyle w:val="Normal"/>
        <w:tabs>
          <w:tab w:val="left" w:pos="708" w:leader="none"/>
          <w:tab w:val="center" w:pos="4536" w:leader="none"/>
          <w:tab w:val="right" w:pos="9072" w:leader="none"/>
        </w:tabs>
        <w:spacing w:lineRule="auto" w:line="240" w:before="0" w:after="0"/>
        <w:ind w:left="720" w:hanging="0"/>
        <w:rPr>
          <w:iCs w:val="false"/>
        </w:rPr>
      </w:pPr>
      <w:r>
        <w:rPr>
          <w:iCs w:val="false"/>
        </w:rPr>
        <w:t>Sous-traitance des chantiers service montage</w:t>
      </w:r>
    </w:p>
    <w:p>
      <w:pPr>
        <w:pStyle w:val="Normal"/>
        <w:tabs>
          <w:tab w:val="left" w:pos="708" w:leader="none"/>
          <w:tab w:val="center" w:pos="4536" w:leader="none"/>
          <w:tab w:val="right" w:pos="9072" w:leader="none"/>
        </w:tabs>
        <w:spacing w:lineRule="auto" w:line="240" w:before="0" w:after="0"/>
        <w:rPr>
          <w:iCs w:val="false"/>
        </w:rPr>
      </w:pPr>
      <w:r>
        <w:rPr>
          <w:iCs w:val="false"/>
        </w:rPr>
      </w:r>
    </w:p>
    <w:p>
      <w:pPr>
        <w:pStyle w:val="Normal"/>
        <w:numPr>
          <w:ilvl w:val="0"/>
          <w:numId w:val="6"/>
        </w:numPr>
        <w:tabs>
          <w:tab w:val="left" w:pos="708" w:leader="none"/>
          <w:tab w:val="center" w:pos="4536" w:leader="none"/>
          <w:tab w:val="right" w:pos="9072" w:leader="none"/>
        </w:tabs>
        <w:spacing w:lineRule="auto" w:line="240" w:before="0" w:after="0"/>
        <w:rPr>
          <w:b/>
          <w:b/>
          <w:iCs w:val="false"/>
        </w:rPr>
      </w:pPr>
      <w:r>
        <w:rPr>
          <w:iCs w:val="false"/>
        </w:rPr>
        <w:t xml:space="preserve">Mis en place d’un programme sur le handicap, nombres, reconnaissance en pourcentage, poste aménagé, reclassement, </w:t>
      </w:r>
    </w:p>
    <w:p>
      <w:pPr>
        <w:pStyle w:val="Normal"/>
        <w:tabs>
          <w:tab w:val="center" w:pos="4536" w:leader="none"/>
          <w:tab w:val="right" w:pos="9072" w:leader="none"/>
        </w:tabs>
        <w:spacing w:lineRule="auto" w:line="240" w:before="0" w:after="0"/>
        <w:rPr/>
      </w:pPr>
      <w:r>
        <w:rPr>
          <w:rFonts w:eastAsia="Calibri" w:cs="Calibri"/>
          <w:iCs w:val="false"/>
        </w:rPr>
        <w:t xml:space="preserve">               </w:t>
      </w:r>
      <w:r>
        <w:rPr>
          <w:iCs w:val="false"/>
        </w:rPr>
        <w:t>(Courier remis ce jour)</w:t>
      </w:r>
    </w:p>
    <w:p>
      <w:pPr>
        <w:pStyle w:val="Normal"/>
        <w:tabs>
          <w:tab w:val="center" w:pos="4536" w:leader="none"/>
          <w:tab w:val="right" w:pos="9072" w:leader="none"/>
        </w:tabs>
        <w:spacing w:lineRule="auto" w:line="240" w:before="0" w:after="0"/>
        <w:rPr/>
      </w:pPr>
      <w:r>
        <w:rPr>
          <w:rFonts w:eastAsia="Calibri" w:cs="Calibri"/>
          <w:iCs w:val="false"/>
        </w:rPr>
        <w:t xml:space="preserve">      </w:t>
      </w:r>
      <w:r>
        <w:rPr>
          <w:rFonts w:eastAsia="Calibri" w:cs="Calibri"/>
          <w:i w:val="false"/>
          <w:iCs w:val="false"/>
        </w:rPr>
        <w:t xml:space="preserve">        </w:t>
      </w:r>
      <w:r>
        <w:rPr>
          <w:iCs w:val="false"/>
        </w:rPr>
        <w:t>Cela fera partie d’un accord en annexe de celui-ci,</w:t>
      </w:r>
    </w:p>
    <w:p>
      <w:pPr>
        <w:pStyle w:val="Normal"/>
        <w:tabs>
          <w:tab w:val="center" w:pos="4536" w:leader="none"/>
          <w:tab w:val="right" w:pos="9072" w:leader="none"/>
        </w:tabs>
        <w:spacing w:lineRule="auto" w:line="240" w:before="0" w:after="0"/>
        <w:rPr>
          <w:iCs w:val="false"/>
        </w:rPr>
      </w:pPr>
      <w:r>
        <w:rPr>
          <w:iCs w:val="false"/>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 xml:space="preserve">Emploie des séniors suivi et maintien de l’emploi, cela fera partie d’un accord en annexe de celui-ci  </w:t>
      </w:r>
    </w:p>
    <w:p>
      <w:pPr>
        <w:pStyle w:val="Normal"/>
        <w:tabs>
          <w:tab w:val="left" w:pos="708" w:leader="none"/>
          <w:tab w:val="center" w:pos="4536" w:leader="none"/>
          <w:tab w:val="right" w:pos="9072" w:leader="none"/>
        </w:tabs>
        <w:spacing w:lineRule="auto" w:line="240" w:before="0" w:after="0"/>
        <w:rPr>
          <w:iCs w:val="false"/>
        </w:rPr>
      </w:pPr>
      <w:r>
        <w:rPr>
          <w:iCs w:val="false"/>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Une revalorisation des frais de grand et petit déplacement service montage de 15 euros pour les grands déplacements et de 5 euros pour les petits,</w:t>
      </w:r>
    </w:p>
    <w:p>
      <w:pPr>
        <w:pStyle w:val="Paragraphedeliste"/>
        <w:rPr>
          <w:iCs w:val="false"/>
          <w:sz w:val="16"/>
          <w:szCs w:val="16"/>
        </w:rPr>
      </w:pPr>
      <w:r>
        <w:rPr>
          <w:iCs w:val="false"/>
          <w:sz w:val="16"/>
          <w:szCs w:val="16"/>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Une revalorisation des frais de déplacement pour les salariés qui sont au réel. Réajustement du plafond à 22 euros pour les repas du midi et du soir.</w:t>
      </w:r>
    </w:p>
    <w:p>
      <w:pPr>
        <w:pStyle w:val="Paragraphedeliste"/>
        <w:rPr>
          <w:iCs w:val="false"/>
          <w:sz w:val="16"/>
          <w:szCs w:val="16"/>
        </w:rPr>
      </w:pPr>
      <w:r>
        <w:rPr>
          <w:iCs w:val="false"/>
          <w:sz w:val="16"/>
          <w:szCs w:val="16"/>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Aménagement des horaires de bureau, pour arrêter le vendredi midi,</w:t>
      </w:r>
    </w:p>
    <w:p>
      <w:pPr>
        <w:pStyle w:val="Paragraphedeliste"/>
        <w:rPr>
          <w:iCs w:val="false"/>
          <w:sz w:val="16"/>
          <w:szCs w:val="16"/>
        </w:rPr>
      </w:pPr>
      <w:r>
        <w:rPr>
          <w:iCs w:val="false"/>
          <w:sz w:val="16"/>
          <w:szCs w:val="16"/>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Revalorisation de la prime de panier de l’atelier à 3 euros</w:t>
      </w:r>
    </w:p>
    <w:p>
      <w:pPr>
        <w:pStyle w:val="Paragraphedeliste"/>
        <w:rPr>
          <w:iCs w:val="false"/>
          <w:sz w:val="16"/>
          <w:szCs w:val="16"/>
        </w:rPr>
      </w:pPr>
      <w:r>
        <w:rPr>
          <w:iCs w:val="false"/>
          <w:sz w:val="16"/>
          <w:szCs w:val="16"/>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Nous demandons une augmentation générale de 5% sur tous les salaires</w:t>
      </w:r>
    </w:p>
    <w:p>
      <w:pPr>
        <w:pStyle w:val="Paragraphedeliste"/>
        <w:rPr>
          <w:iCs w:val="false"/>
          <w:sz w:val="16"/>
          <w:szCs w:val="16"/>
        </w:rPr>
      </w:pPr>
      <w:r>
        <w:rPr>
          <w:iCs w:val="false"/>
          <w:sz w:val="16"/>
          <w:szCs w:val="16"/>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Nombre de jour de RTT pour 2020</w:t>
      </w:r>
    </w:p>
    <w:p>
      <w:pPr>
        <w:pStyle w:val="Paragraphedeliste"/>
        <w:rPr>
          <w:iCs w:val="false"/>
          <w:sz w:val="16"/>
          <w:szCs w:val="16"/>
        </w:rPr>
      </w:pPr>
      <w:r>
        <w:rPr>
          <w:iCs w:val="false"/>
          <w:sz w:val="16"/>
          <w:szCs w:val="16"/>
        </w:rPr>
      </w:r>
    </w:p>
    <w:p>
      <w:pPr>
        <w:pStyle w:val="Normal"/>
        <w:numPr>
          <w:ilvl w:val="0"/>
          <w:numId w:val="6"/>
        </w:numPr>
        <w:tabs>
          <w:tab w:val="left" w:pos="708" w:leader="none"/>
          <w:tab w:val="center" w:pos="4536" w:leader="none"/>
          <w:tab w:val="right" w:pos="9072" w:leader="none"/>
        </w:tabs>
        <w:spacing w:lineRule="auto" w:line="240" w:before="0" w:after="0"/>
        <w:rPr>
          <w:iCs w:val="false"/>
        </w:rPr>
      </w:pPr>
      <w:r>
        <w:rPr>
          <w:iCs w:val="false"/>
        </w:rPr>
        <w:t xml:space="preserve">Comme chaque année les réunions paritaires au niveau régionale de la Branche métallurgie, ne sont pas fini, nous attendrons l’accord en début d’année, pour les ouvriers et les ETAMS, pour la revalorisation des salaires Cadres nous attendrons la signature de l’accord national en début d’année. </w:t>
      </w:r>
    </w:p>
    <w:p>
      <w:pPr>
        <w:pStyle w:val="Normal"/>
        <w:rPr>
          <w:iCs w:val="false"/>
        </w:rPr>
      </w:pPr>
      <w:r>
        <w:rPr>
          <w:iCs w:val="false"/>
        </w:rPr>
      </w:r>
    </w:p>
    <w:p>
      <w:pPr>
        <w:pStyle w:val="Citation"/>
        <w:rPr>
          <w:rStyle w:val="Emphasis"/>
          <w:rFonts w:ascii="Calibri" w:hAnsi="Calibri" w:cs="Arial"/>
          <w:i w:val="false"/>
          <w:i w:val="false"/>
          <w:color w:val="000000"/>
          <w:sz w:val="22"/>
          <w:szCs w:val="22"/>
          <w:u w:val="single"/>
        </w:rPr>
      </w:pPr>
      <w:r>
        <w:rPr>
          <w:rStyle w:val="Emphasis"/>
          <w:rFonts w:cs="Arial"/>
          <w:i w:val="false"/>
          <w:color w:val="000000"/>
          <w:sz w:val="22"/>
          <w:szCs w:val="22"/>
          <w:u w:val="single"/>
        </w:rPr>
        <w:t xml:space="preserve">B - Par le Délégué Syndical CGT : </w:t>
      </w:r>
    </w:p>
    <w:p>
      <w:pPr>
        <w:pStyle w:val="Normal"/>
        <w:numPr>
          <w:ilvl w:val="0"/>
          <w:numId w:val="7"/>
        </w:numPr>
        <w:spacing w:lineRule="auto" w:line="240" w:before="0" w:after="0"/>
        <w:jc w:val="both"/>
        <w:rPr/>
      </w:pPr>
      <w:r>
        <w:rPr>
          <w:iCs w:val="false"/>
        </w:rPr>
        <w:t>Augmentation forfaitaire générale de 200€ à compter du 1</w:t>
      </w:r>
      <w:r>
        <w:rPr>
          <w:iCs w:val="false"/>
          <w:vertAlign w:val="superscript"/>
        </w:rPr>
        <w:t>er</w:t>
      </w:r>
      <w:r>
        <w:rPr>
          <w:iCs w:val="false"/>
        </w:rPr>
        <w:t xml:space="preserve"> janvier 2020 pour l’ensemble des salariés </w:t>
      </w:r>
    </w:p>
    <w:p>
      <w:pPr>
        <w:pStyle w:val="Normal"/>
        <w:spacing w:lineRule="auto" w:line="240" w:before="0" w:after="0"/>
        <w:jc w:val="both"/>
        <w:rPr>
          <w:iCs w:val="false"/>
        </w:rPr>
      </w:pPr>
      <w:r>
        <w:rPr>
          <w:iCs w:val="false"/>
        </w:rPr>
      </w:r>
    </w:p>
    <w:p>
      <w:pPr>
        <w:pStyle w:val="Normal"/>
        <w:numPr>
          <w:ilvl w:val="0"/>
          <w:numId w:val="7"/>
        </w:numPr>
        <w:spacing w:lineRule="auto" w:line="240" w:before="0" w:after="0"/>
        <w:jc w:val="both"/>
        <w:rPr/>
      </w:pPr>
      <w:r>
        <w:rPr>
          <w:rFonts w:eastAsia="Calibri" w:cs="Calibri"/>
          <w:iCs w:val="false"/>
        </w:rPr>
        <w:t xml:space="preserve"> </w:t>
      </w:r>
      <w:r>
        <w:rPr>
          <w:iCs w:val="false"/>
        </w:rPr>
        <w:t xml:space="preserve">Mise en place progressive d’un 13eme mois </w:t>
      </w:r>
    </w:p>
    <w:p>
      <w:pPr>
        <w:pStyle w:val="Paragraphedeliste"/>
        <w:rPr>
          <w:sz w:val="16"/>
          <w:szCs w:val="16"/>
        </w:rPr>
      </w:pPr>
      <w:r>
        <w:rPr>
          <w:sz w:val="16"/>
          <w:szCs w:val="16"/>
        </w:rPr>
      </w:r>
    </w:p>
    <w:p>
      <w:pPr>
        <w:pStyle w:val="Normal"/>
        <w:numPr>
          <w:ilvl w:val="0"/>
          <w:numId w:val="7"/>
        </w:numPr>
        <w:spacing w:lineRule="auto" w:line="240" w:before="0" w:after="0"/>
        <w:jc w:val="both"/>
        <w:rPr/>
      </w:pPr>
      <w:r>
        <w:rPr/>
        <w:t>Maintien définitif du salaire pendant les 3 jours de carences en cas de maladie</w:t>
      </w:r>
    </w:p>
    <w:p>
      <w:pPr>
        <w:pStyle w:val="Paragraphedeliste"/>
        <w:rPr>
          <w:sz w:val="16"/>
          <w:szCs w:val="16"/>
        </w:rPr>
      </w:pPr>
      <w:r>
        <w:rPr>
          <w:sz w:val="16"/>
          <w:szCs w:val="16"/>
        </w:rPr>
      </w:r>
    </w:p>
    <w:p>
      <w:pPr>
        <w:pStyle w:val="Normal"/>
        <w:numPr>
          <w:ilvl w:val="0"/>
          <w:numId w:val="7"/>
        </w:numPr>
        <w:spacing w:lineRule="auto" w:line="240" w:before="0" w:after="0"/>
        <w:jc w:val="both"/>
        <w:rPr/>
      </w:pPr>
      <w:r>
        <w:rPr/>
        <w:t xml:space="preserve">Journées rémunérées pour la garde d’enfants malades </w:t>
      </w:r>
    </w:p>
    <w:p>
      <w:pPr>
        <w:pStyle w:val="Paragraphedeliste"/>
        <w:rPr>
          <w:sz w:val="16"/>
          <w:szCs w:val="16"/>
        </w:rPr>
      </w:pPr>
      <w:r>
        <w:rPr>
          <w:sz w:val="16"/>
          <w:szCs w:val="16"/>
        </w:rPr>
      </w:r>
    </w:p>
    <w:p>
      <w:pPr>
        <w:pStyle w:val="Normal"/>
        <w:numPr>
          <w:ilvl w:val="0"/>
          <w:numId w:val="7"/>
        </w:numPr>
        <w:spacing w:lineRule="auto" w:line="240" w:before="0" w:after="0"/>
        <w:jc w:val="both"/>
        <w:rPr/>
      </w:pPr>
      <w:r>
        <w:rPr/>
        <w:t>Prime de responsabilités pour les chefs d’équipe de 10% du salaire / mois (pour entretien du véhicule récupération de matériels au magasin, après les heures de travail</w:t>
      </w:r>
    </w:p>
    <w:p>
      <w:pPr>
        <w:pStyle w:val="Paragraphedeliste"/>
        <w:rPr>
          <w:sz w:val="16"/>
          <w:szCs w:val="16"/>
        </w:rPr>
      </w:pPr>
      <w:r>
        <w:rPr>
          <w:sz w:val="16"/>
          <w:szCs w:val="16"/>
        </w:rPr>
      </w:r>
    </w:p>
    <w:p>
      <w:pPr>
        <w:pStyle w:val="Normal"/>
        <w:numPr>
          <w:ilvl w:val="0"/>
          <w:numId w:val="7"/>
        </w:numPr>
        <w:spacing w:lineRule="auto" w:line="240" w:before="0" w:after="0"/>
        <w:jc w:val="both"/>
        <w:rPr/>
      </w:pPr>
      <w:r>
        <w:rPr/>
        <w:t>Instauration d’une prime d’ancienneté</w:t>
      </w:r>
    </w:p>
    <w:p>
      <w:pPr>
        <w:pStyle w:val="Paragraphedeliste"/>
        <w:rPr>
          <w:sz w:val="16"/>
          <w:szCs w:val="16"/>
        </w:rPr>
      </w:pPr>
      <w:r>
        <w:rPr>
          <w:sz w:val="16"/>
          <w:szCs w:val="16"/>
        </w:rPr>
      </w:r>
    </w:p>
    <w:p>
      <w:pPr>
        <w:pStyle w:val="Normal"/>
        <w:numPr>
          <w:ilvl w:val="0"/>
          <w:numId w:val="7"/>
        </w:numPr>
        <w:spacing w:lineRule="auto" w:line="240" w:before="0" w:after="0"/>
        <w:jc w:val="both"/>
        <w:rPr/>
      </w:pPr>
      <w:r>
        <w:rPr/>
        <w:t>Attribution d’une prime d’éloignement : (mise en place d’un barème mensuel à partir de 2 mois de déplacement : 50€ puis 25€ par tranche mensuelle au-delà)</w:t>
      </w:r>
    </w:p>
    <w:p>
      <w:pPr>
        <w:pStyle w:val="Normal"/>
        <w:spacing w:lineRule="auto" w:line="240" w:before="0" w:after="0"/>
        <w:ind w:left="709" w:hanging="0"/>
        <w:jc w:val="both"/>
        <w:rPr/>
      </w:pPr>
      <w:r>
        <w:rPr/>
        <w:t>Ou</w:t>
      </w:r>
    </w:p>
    <w:p>
      <w:pPr>
        <w:pStyle w:val="Normal"/>
        <w:spacing w:lineRule="auto" w:line="240" w:before="0" w:after="0"/>
        <w:ind w:left="709" w:hanging="0"/>
        <w:jc w:val="both"/>
        <w:rPr/>
      </w:pPr>
      <w:r>
        <w:rPr/>
        <w:t xml:space="preserve">Augmentation conséquente des frais de déplacement pour les porter à 90€ minimum </w:t>
      </w:r>
    </w:p>
    <w:p>
      <w:pPr>
        <w:pStyle w:val="Normal"/>
        <w:rPr/>
      </w:pPr>
      <w:r>
        <w:rPr/>
      </w:r>
    </w:p>
    <w:p>
      <w:pPr>
        <w:pStyle w:val="Normal"/>
        <w:pBdr>
          <w:top w:val="single" w:sz="4" w:space="1" w:color="000000"/>
          <w:left w:val="single" w:sz="4" w:space="4" w:color="000000"/>
          <w:bottom w:val="single" w:sz="4" w:space="1" w:color="000000"/>
          <w:right w:val="single" w:sz="4" w:space="4" w:color="000000"/>
        </w:pBdr>
        <w:jc w:val="both"/>
        <w:rPr>
          <w:rFonts w:cs="Arial"/>
          <w:b/>
          <w:b/>
          <w:bCs/>
          <w:i w:val="false"/>
          <w:i w:val="false"/>
          <w:smallCaps/>
          <w:sz w:val="28"/>
          <w:szCs w:val="28"/>
        </w:rPr>
      </w:pPr>
      <w:r>
        <w:rPr>
          <w:rFonts w:cs="Arial"/>
          <w:b/>
          <w:bCs/>
          <w:i w:val="false"/>
          <w:smallCaps/>
          <w:sz w:val="28"/>
          <w:szCs w:val="28"/>
        </w:rPr>
        <w:t xml:space="preserve">3 – Information sur la rémunération : </w:t>
      </w:r>
    </w:p>
    <w:p>
      <w:pPr>
        <w:pStyle w:val="Citation"/>
        <w:rPr/>
      </w:pPr>
      <w:r>
        <w:rPr>
          <w:rStyle w:val="Emphasis"/>
          <w:rFonts w:cs="Calibri"/>
          <w:i w:val="false"/>
          <w:color w:val="000000"/>
          <w:sz w:val="22"/>
          <w:szCs w:val="22"/>
          <w:u w:val="single"/>
        </w:rPr>
        <w:t xml:space="preserve">A – Répartition de l’effectif au 30/09/19 par catégorie et sexe. </w:t>
      </w:r>
    </w:p>
    <w:tbl>
      <w:tblPr>
        <w:tblW w:w="851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460"/>
        <w:gridCol w:w="925"/>
        <w:gridCol w:w="1031"/>
        <w:gridCol w:w="604"/>
        <w:gridCol w:w="440"/>
        <w:gridCol w:w="1468"/>
        <w:gridCol w:w="929"/>
        <w:gridCol w:w="1036"/>
        <w:gridCol w:w="607"/>
        <w:gridCol w:w="10"/>
      </w:tblGrid>
      <w:tr>
        <w:trPr>
          <w:trHeight w:val="240" w:hRule="atLeast"/>
        </w:trPr>
        <w:tc>
          <w:tcPr>
            <w:tcW w:w="4020" w:type="dxa"/>
            <w:gridSpan w:val="4"/>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sz w:val="18"/>
                <w:szCs w:val="18"/>
              </w:rPr>
            </w:pPr>
            <w:r>
              <w:rPr>
                <w:b/>
                <w:bCs/>
                <w:i w:val="false"/>
                <w:iCs w:val="false"/>
                <w:sz w:val="18"/>
                <w:szCs w:val="18"/>
              </w:rPr>
              <w:t>FLEURANCE et AGENCES</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sz w:val="18"/>
                <w:szCs w:val="18"/>
              </w:rPr>
            </w:pPr>
            <w:r>
              <w:rPr>
                <w:b/>
                <w:bCs/>
                <w:i w:val="false"/>
                <w:iCs w:val="false"/>
                <w:sz w:val="18"/>
                <w:szCs w:val="18"/>
              </w:rPr>
            </w:r>
          </w:p>
        </w:tc>
        <w:tc>
          <w:tcPr>
            <w:tcW w:w="4050"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sz w:val="18"/>
                <w:szCs w:val="18"/>
              </w:rPr>
            </w:pPr>
            <w:r>
              <w:rPr>
                <w:rFonts w:eastAsia="Calibri" w:cs="Calibri"/>
                <w:b/>
                <w:bCs/>
                <w:i w:val="false"/>
                <w:iCs w:val="false"/>
                <w:sz w:val="18"/>
                <w:szCs w:val="18"/>
              </w:rPr>
              <w:t xml:space="preserve"> </w:t>
            </w:r>
            <w:r>
              <w:rPr>
                <w:b/>
                <w:bCs/>
                <w:i w:val="false"/>
                <w:iCs w:val="false"/>
                <w:sz w:val="18"/>
                <w:szCs w:val="18"/>
              </w:rPr>
              <w:t>MONTEILS</w:t>
            </w:r>
          </w:p>
        </w:tc>
      </w:tr>
      <w:tr>
        <w:trPr>
          <w:trHeight w:val="204" w:hRule="atLeast"/>
        </w:trPr>
        <w:tc>
          <w:tcPr>
            <w:tcW w:w="146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AU 30/09/19</w:t>
            </w:r>
          </w:p>
        </w:tc>
        <w:tc>
          <w:tcPr>
            <w:tcW w:w="925"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Sexe</w:t>
            </w:r>
          </w:p>
        </w:tc>
        <w:tc>
          <w:tcPr>
            <w:tcW w:w="1031"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 </w:t>
            </w:r>
          </w:p>
        </w:tc>
        <w:tc>
          <w:tcPr>
            <w:tcW w:w="604"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 </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6"/>
                <w:szCs w:val="16"/>
              </w:rPr>
            </w:pPr>
            <w:r>
              <w:rPr>
                <w:b/>
                <w:bCs/>
                <w:i w:val="false"/>
                <w:iCs w:val="false"/>
                <w:color w:val="000000"/>
                <w:sz w:val="16"/>
                <w:szCs w:val="16"/>
              </w:rPr>
            </w:r>
          </w:p>
        </w:tc>
        <w:tc>
          <w:tcPr>
            <w:tcW w:w="1468"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AU 30/09/19</w:t>
            </w:r>
          </w:p>
        </w:tc>
        <w:tc>
          <w:tcPr>
            <w:tcW w:w="929"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Sexe</w:t>
            </w:r>
          </w:p>
        </w:tc>
        <w:tc>
          <w:tcPr>
            <w:tcW w:w="1036"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 </w:t>
            </w:r>
          </w:p>
        </w:tc>
        <w:tc>
          <w:tcPr>
            <w:tcW w:w="6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 </w:t>
            </w:r>
          </w:p>
        </w:tc>
      </w:tr>
      <w:tr>
        <w:trPr>
          <w:trHeight w:val="204" w:hRule="atLeast"/>
        </w:trPr>
        <w:tc>
          <w:tcPr>
            <w:tcW w:w="1460"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STATUT</w:t>
            </w:r>
          </w:p>
        </w:tc>
        <w:tc>
          <w:tcPr>
            <w:tcW w:w="925"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Féminin</w:t>
            </w:r>
          </w:p>
        </w:tc>
        <w:tc>
          <w:tcPr>
            <w:tcW w:w="1031"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Masculin</w:t>
            </w:r>
          </w:p>
        </w:tc>
        <w:tc>
          <w:tcPr>
            <w:tcW w:w="604"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Total</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6"/>
                <w:szCs w:val="16"/>
              </w:rPr>
            </w:pPr>
            <w:r>
              <w:rPr>
                <w:b/>
                <w:bCs/>
                <w:i w:val="false"/>
                <w:iCs w:val="false"/>
                <w:color w:val="000000"/>
                <w:sz w:val="16"/>
                <w:szCs w:val="16"/>
              </w:rPr>
            </w:r>
          </w:p>
        </w:tc>
        <w:tc>
          <w:tcPr>
            <w:tcW w:w="1468"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Statut</w:t>
            </w:r>
          </w:p>
        </w:tc>
        <w:tc>
          <w:tcPr>
            <w:tcW w:w="929"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Féminin</w:t>
            </w:r>
          </w:p>
        </w:tc>
        <w:tc>
          <w:tcPr>
            <w:tcW w:w="1036" w:type="dxa"/>
            <w:tcBorders>
              <w:top w:val="single" w:sz="4" w:space="0" w:color="000000"/>
              <w:left w:val="single" w:sz="4" w:space="0" w:color="000000"/>
              <w:bottom w:val="single" w:sz="4" w:space="0" w:color="000000"/>
              <w:insideH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Masculin</w:t>
            </w:r>
          </w:p>
        </w:tc>
        <w:tc>
          <w:tcPr>
            <w:tcW w:w="6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EA9DB"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Total</w:t>
            </w:r>
          </w:p>
        </w:tc>
      </w:tr>
      <w:tr>
        <w:trPr>
          <w:trHeight w:val="204" w:hRule="atLeast"/>
        </w:trPr>
        <w:tc>
          <w:tcPr>
            <w:tcW w:w="146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b/>
                <w:b/>
                <w:bCs/>
                <w:i w:val="false"/>
                <w:i w:val="false"/>
                <w:iCs w:val="false"/>
                <w:color w:val="000000"/>
                <w:sz w:val="16"/>
                <w:szCs w:val="16"/>
              </w:rPr>
            </w:pPr>
            <w:r>
              <w:rPr>
                <w:b/>
                <w:bCs/>
                <w:i w:val="false"/>
                <w:iCs w:val="false"/>
                <w:color w:val="000000"/>
                <w:sz w:val="16"/>
                <w:szCs w:val="16"/>
              </w:rPr>
              <w:t>CADRE</w:t>
            </w:r>
          </w:p>
        </w:tc>
        <w:tc>
          <w:tcPr>
            <w:tcW w:w="925"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11</w:t>
            </w:r>
          </w:p>
        </w:tc>
        <w:tc>
          <w:tcPr>
            <w:tcW w:w="1031"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90</w:t>
            </w:r>
          </w:p>
        </w:tc>
        <w:tc>
          <w:tcPr>
            <w:tcW w:w="604"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101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6"/>
                <w:szCs w:val="16"/>
              </w:rPr>
            </w:pPr>
            <w:r>
              <w:rPr>
                <w:b/>
                <w:bCs/>
                <w:i w:val="false"/>
                <w:iCs w:val="false"/>
                <w:color w:val="000000"/>
                <w:sz w:val="16"/>
                <w:szCs w:val="16"/>
              </w:rPr>
            </w:r>
          </w:p>
        </w:tc>
        <w:tc>
          <w:tcPr>
            <w:tcW w:w="14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b/>
                <w:b/>
                <w:bCs/>
                <w:i w:val="false"/>
                <w:i w:val="false"/>
                <w:iCs w:val="false"/>
                <w:color w:val="000000"/>
                <w:sz w:val="16"/>
                <w:szCs w:val="16"/>
              </w:rPr>
            </w:pPr>
            <w:r>
              <w:rPr>
                <w:b/>
                <w:bCs/>
                <w:i w:val="false"/>
                <w:iCs w:val="false"/>
                <w:color w:val="000000"/>
                <w:sz w:val="16"/>
                <w:szCs w:val="16"/>
              </w:rPr>
              <w:t>CADRE</w:t>
            </w:r>
          </w:p>
        </w:tc>
        <w:tc>
          <w:tcPr>
            <w:tcW w:w="92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 </w:t>
            </w:r>
          </w:p>
        </w:tc>
        <w:tc>
          <w:tcPr>
            <w:tcW w:w="1036"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9</w:t>
            </w:r>
          </w:p>
        </w:tc>
        <w:tc>
          <w:tcPr>
            <w:tcW w:w="6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9</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100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23</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26</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100</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108</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103</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114</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5</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6</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108</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120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130</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130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162</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135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b/>
                <w:b/>
                <w:bCs/>
                <w:i w:val="false"/>
                <w:i w:val="false"/>
                <w:iCs w:val="false"/>
                <w:color w:val="000000"/>
                <w:sz w:val="16"/>
                <w:szCs w:val="16"/>
              </w:rPr>
            </w:pPr>
            <w:r>
              <w:rPr>
                <w:b/>
                <w:bCs/>
                <w:i w:val="false"/>
                <w:iCs w:val="false"/>
                <w:color w:val="000000"/>
                <w:sz w:val="16"/>
                <w:szCs w:val="16"/>
              </w:rPr>
              <w:t>ETAM</w:t>
            </w:r>
          </w:p>
        </w:tc>
        <w:tc>
          <w:tcPr>
            <w:tcW w:w="92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1</w:t>
            </w:r>
          </w:p>
        </w:tc>
        <w:tc>
          <w:tcPr>
            <w:tcW w:w="1036"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14</w:t>
            </w:r>
          </w:p>
        </w:tc>
        <w:tc>
          <w:tcPr>
            <w:tcW w:w="6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15</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140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60"/>
              <w:rPr>
                <w:i w:val="false"/>
                <w:i w:val="false"/>
                <w:iCs w:val="false"/>
                <w:color w:val="000000"/>
                <w:sz w:val="16"/>
                <w:szCs w:val="16"/>
              </w:rPr>
            </w:pPr>
            <w:r>
              <w:rPr>
                <w:i w:val="false"/>
                <w:iCs w:val="false"/>
                <w:color w:val="000000"/>
                <w:sz w:val="16"/>
                <w:szCs w:val="16"/>
              </w:rPr>
              <w:t>E</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9</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9</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145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60"/>
              <w:rPr>
                <w:i w:val="false"/>
                <w:i w:val="false"/>
                <w:iCs w:val="false"/>
                <w:color w:val="000000"/>
                <w:sz w:val="16"/>
                <w:szCs w:val="16"/>
              </w:rPr>
            </w:pPr>
            <w:r>
              <w:rPr>
                <w:i w:val="false"/>
                <w:iCs w:val="false"/>
                <w:color w:val="000000"/>
                <w:sz w:val="16"/>
                <w:szCs w:val="16"/>
              </w:rPr>
              <w:t>F</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150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160"/>
              <w:rPr>
                <w:i w:val="false"/>
                <w:i w:val="false"/>
                <w:iCs w:val="false"/>
                <w:color w:val="000000"/>
                <w:sz w:val="16"/>
                <w:szCs w:val="16"/>
              </w:rPr>
            </w:pPr>
            <w:r>
              <w:rPr>
                <w:i w:val="false"/>
                <w:iCs w:val="false"/>
                <w:color w:val="000000"/>
                <w:sz w:val="16"/>
                <w:szCs w:val="16"/>
              </w:rPr>
              <w:t>D</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160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b/>
                <w:b/>
                <w:bCs/>
                <w:i w:val="false"/>
                <w:i w:val="false"/>
                <w:iCs w:val="false"/>
                <w:color w:val="000000"/>
                <w:sz w:val="16"/>
                <w:szCs w:val="16"/>
              </w:rPr>
            </w:pPr>
            <w:r>
              <w:rPr>
                <w:b/>
                <w:bCs/>
                <w:i w:val="false"/>
                <w:iCs w:val="false"/>
                <w:color w:val="000000"/>
                <w:sz w:val="16"/>
                <w:szCs w:val="16"/>
              </w:rPr>
              <w:t>OUVRIER</w:t>
            </w:r>
          </w:p>
        </w:tc>
        <w:tc>
          <w:tcPr>
            <w:tcW w:w="92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 </w:t>
            </w:r>
          </w:p>
        </w:tc>
        <w:tc>
          <w:tcPr>
            <w:tcW w:w="1036"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20</w:t>
            </w:r>
          </w:p>
        </w:tc>
        <w:tc>
          <w:tcPr>
            <w:tcW w:w="6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20</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165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185</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180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7</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7</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210</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12</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12</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185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230</w:t>
            </w:r>
          </w:p>
        </w:tc>
        <w:tc>
          <w:tcPr>
            <w:tcW w:w="929"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61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190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Total</w:t>
            </w:r>
          </w:p>
        </w:tc>
        <w:tc>
          <w:tcPr>
            <w:tcW w:w="92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1</w:t>
            </w:r>
          </w:p>
        </w:tc>
        <w:tc>
          <w:tcPr>
            <w:tcW w:w="1036"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43</w:t>
            </w:r>
          </w:p>
        </w:tc>
        <w:tc>
          <w:tcPr>
            <w:tcW w:w="6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44</w:t>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195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pacing w:lineRule="auto" w:line="240" w:before="0" w:after="0"/>
              <w:jc w:val="center"/>
              <w:rPr>
                <w:i w:val="false"/>
                <w:i w:val="false"/>
                <w:iCs w:val="false"/>
                <w:sz w:val="16"/>
                <w:szCs w:val="16"/>
              </w:rPr>
            </w:pPr>
            <w:r>
              <w:rPr>
                <w:i w:val="false"/>
                <w:iCs w:val="false"/>
                <w:sz w:val="16"/>
                <w:szCs w:val="16"/>
              </w:rPr>
              <w:t>2.28%</w:t>
            </w:r>
          </w:p>
        </w:tc>
        <w:tc>
          <w:tcPr>
            <w:tcW w:w="1036" w:type="dxa"/>
            <w:tcBorders/>
            <w:shd w:fill="auto" w:val="clear"/>
            <w:vAlign w:val="bottom"/>
          </w:tcPr>
          <w:p>
            <w:pPr>
              <w:pStyle w:val="Normal"/>
              <w:spacing w:lineRule="auto" w:line="240" w:before="0" w:after="0"/>
              <w:jc w:val="center"/>
              <w:rPr>
                <w:i w:val="false"/>
                <w:i w:val="false"/>
                <w:iCs w:val="false"/>
                <w:sz w:val="16"/>
                <w:szCs w:val="16"/>
              </w:rPr>
            </w:pPr>
            <w:r>
              <w:rPr>
                <w:i w:val="false"/>
                <w:iCs w:val="false"/>
                <w:sz w:val="16"/>
                <w:szCs w:val="16"/>
              </w:rPr>
              <w:t>97.72%</w:t>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sz w:val="16"/>
                <w:szCs w:val="16"/>
              </w:rPr>
            </w:pPr>
            <w:r>
              <w:rPr>
                <w:rFonts w:cs="Times New Roman" w:ascii="Times New Roman" w:hAnsi="Times New Roman"/>
                <w:i w:val="false"/>
                <w:iCs w:val="false"/>
                <w:sz w:val="16"/>
                <w:szCs w:val="16"/>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80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6</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84</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92</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5</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5</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b/>
                <w:b/>
                <w:bCs/>
                <w:i w:val="false"/>
                <w:i w:val="false"/>
                <w:iCs w:val="false"/>
                <w:color w:val="000000"/>
                <w:sz w:val="16"/>
                <w:szCs w:val="16"/>
              </w:rPr>
            </w:pPr>
            <w:r>
              <w:rPr>
                <w:b/>
                <w:bCs/>
                <w:i w:val="false"/>
                <w:iCs w:val="false"/>
                <w:color w:val="000000"/>
                <w:sz w:val="16"/>
                <w:szCs w:val="16"/>
              </w:rPr>
              <w:t>ETAM</w:t>
            </w:r>
          </w:p>
        </w:tc>
        <w:tc>
          <w:tcPr>
            <w:tcW w:w="925"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24</w:t>
            </w:r>
          </w:p>
        </w:tc>
        <w:tc>
          <w:tcPr>
            <w:tcW w:w="1031"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72</w:t>
            </w:r>
          </w:p>
        </w:tc>
        <w:tc>
          <w:tcPr>
            <w:tcW w:w="604"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96</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6"/>
                <w:szCs w:val="16"/>
              </w:rPr>
            </w:pPr>
            <w:r>
              <w:rPr>
                <w:b/>
                <w:bCs/>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b/>
                <w:b/>
                <w:bCs/>
                <w:i w:val="false"/>
                <w:i w:val="false"/>
                <w:iCs w:val="false"/>
                <w:color w:val="000000"/>
                <w:sz w:val="16"/>
                <w:szCs w:val="16"/>
              </w:rPr>
            </w:pPr>
            <w:r>
              <w:rPr>
                <w:rFonts w:cs="Times New Roman" w:ascii="Times New Roman" w:hAnsi="Times New Roman"/>
                <w:b/>
                <w:bCs/>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215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240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255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5</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270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8</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8</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285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16</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295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305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16</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20</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315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7</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7</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335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8</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350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360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365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4</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5</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370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375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380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395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6</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9</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rPr>
                <w:b/>
                <w:b/>
                <w:bCs/>
                <w:i w:val="false"/>
                <w:i w:val="false"/>
                <w:iCs w:val="false"/>
                <w:color w:val="000000"/>
                <w:sz w:val="16"/>
                <w:szCs w:val="16"/>
              </w:rPr>
            </w:pPr>
            <w:r>
              <w:rPr>
                <w:b/>
                <w:bCs/>
                <w:i w:val="false"/>
                <w:iCs w:val="false"/>
                <w:color w:val="000000"/>
                <w:sz w:val="16"/>
                <w:szCs w:val="16"/>
              </w:rPr>
              <w:t>OUVRIER</w:t>
            </w:r>
          </w:p>
        </w:tc>
        <w:tc>
          <w:tcPr>
            <w:tcW w:w="925"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 </w:t>
            </w:r>
          </w:p>
        </w:tc>
        <w:tc>
          <w:tcPr>
            <w:tcW w:w="1031"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35</w:t>
            </w:r>
          </w:p>
        </w:tc>
        <w:tc>
          <w:tcPr>
            <w:tcW w:w="604"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35</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6"/>
                <w:szCs w:val="16"/>
              </w:rPr>
            </w:pPr>
            <w:r>
              <w:rPr>
                <w:b/>
                <w:bCs/>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b/>
                <w:b/>
                <w:bCs/>
                <w:i w:val="false"/>
                <w:i w:val="false"/>
                <w:iCs w:val="false"/>
                <w:color w:val="000000"/>
                <w:sz w:val="16"/>
                <w:szCs w:val="16"/>
              </w:rPr>
            </w:pPr>
            <w:r>
              <w:rPr>
                <w:rFonts w:cs="Times New Roman" w:ascii="Times New Roman" w:hAnsi="Times New Roman"/>
                <w:b/>
                <w:bCs/>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215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225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5</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5</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240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10</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10</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255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265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270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285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305</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350</w:t>
            </w:r>
          </w:p>
        </w:tc>
        <w:tc>
          <w:tcPr>
            <w:tcW w:w="92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 </w:t>
            </w:r>
          </w:p>
        </w:tc>
        <w:tc>
          <w:tcPr>
            <w:tcW w:w="1031"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604"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929"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03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607"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r>
      <w:tr>
        <w:trPr>
          <w:trHeight w:val="204" w:hRule="atLeast"/>
        </w:trPr>
        <w:tc>
          <w:tcPr>
            <w:tcW w:w="1460"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Total</w:t>
            </w:r>
          </w:p>
        </w:tc>
        <w:tc>
          <w:tcPr>
            <w:tcW w:w="925"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35</w:t>
            </w:r>
          </w:p>
        </w:tc>
        <w:tc>
          <w:tcPr>
            <w:tcW w:w="1031"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197</w:t>
            </w:r>
          </w:p>
        </w:tc>
        <w:tc>
          <w:tcPr>
            <w:tcW w:w="604"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232</w:t>
            </w:r>
          </w:p>
        </w:tc>
        <w:tc>
          <w:tcPr>
            <w:tcW w:w="44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6"/>
                <w:szCs w:val="16"/>
              </w:rPr>
            </w:pPr>
            <w:r>
              <w:rPr>
                <w:b/>
                <w:bCs/>
                <w:i w:val="false"/>
                <w:iCs w:val="false"/>
                <w:color w:val="000000"/>
                <w:sz w:val="16"/>
                <w:szCs w:val="16"/>
              </w:rPr>
            </w:r>
          </w:p>
        </w:tc>
        <w:tc>
          <w:tcPr>
            <w:tcW w:w="1468"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Total C$F</w:t>
            </w:r>
          </w:p>
        </w:tc>
        <w:tc>
          <w:tcPr>
            <w:tcW w:w="929"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36</w:t>
            </w:r>
          </w:p>
        </w:tc>
        <w:tc>
          <w:tcPr>
            <w:tcW w:w="1036" w:type="dxa"/>
            <w:tcBorders>
              <w:top w:val="single" w:sz="4" w:space="0" w:color="000000"/>
              <w:left w:val="single" w:sz="4" w:space="0" w:color="000000"/>
              <w:bottom w:val="single" w:sz="4" w:space="0" w:color="000000"/>
              <w:insideH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240</w:t>
            </w:r>
          </w:p>
        </w:tc>
        <w:tc>
          <w:tcPr>
            <w:tcW w:w="6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9E1F2" w:val="clear"/>
            <w:tcMar>
              <w:left w:w="65" w:type="dxa"/>
            </w:tcMar>
            <w:vAlign w:val="bottom"/>
          </w:tcPr>
          <w:p>
            <w:pPr>
              <w:pStyle w:val="Normal"/>
              <w:spacing w:lineRule="auto" w:line="240" w:before="0" w:after="0"/>
              <w:jc w:val="center"/>
              <w:rPr>
                <w:b/>
                <w:b/>
                <w:bCs/>
                <w:i w:val="false"/>
                <w:i w:val="false"/>
                <w:iCs w:val="false"/>
                <w:color w:val="000000"/>
                <w:sz w:val="16"/>
                <w:szCs w:val="16"/>
              </w:rPr>
            </w:pPr>
            <w:r>
              <w:rPr>
                <w:b/>
                <w:bCs/>
                <w:i w:val="false"/>
                <w:iCs w:val="false"/>
                <w:color w:val="000000"/>
                <w:sz w:val="16"/>
                <w:szCs w:val="16"/>
              </w:rPr>
              <w:t>276</w:t>
            </w:r>
          </w:p>
        </w:tc>
      </w:tr>
      <w:tr>
        <w:trPr>
          <w:trHeight w:val="204" w:hRule="atLeast"/>
        </w:trPr>
        <w:tc>
          <w:tcPr>
            <w:tcW w:w="1460" w:type="dxa"/>
            <w:tcBorders/>
            <w:shd w:fill="auto" w:val="clear"/>
            <w:vAlign w:val="bottom"/>
          </w:tcPr>
          <w:p>
            <w:pPr>
              <w:pStyle w:val="Normal"/>
              <w:snapToGrid w:val="false"/>
              <w:spacing w:lineRule="auto" w:line="240" w:before="0" w:after="0"/>
              <w:jc w:val="center"/>
              <w:rPr>
                <w:rFonts w:ascii="Times New Roman" w:hAnsi="Times New Roman" w:cs="Times New Roman"/>
                <w:b/>
                <w:b/>
                <w:bCs/>
                <w:i w:val="false"/>
                <w:i w:val="false"/>
                <w:iCs w:val="false"/>
                <w:color w:val="000000"/>
                <w:sz w:val="16"/>
                <w:szCs w:val="16"/>
              </w:rPr>
            </w:pPr>
            <w:r>
              <w:rPr>
                <w:rFonts w:cs="Times New Roman" w:ascii="Times New Roman" w:hAnsi="Times New Roman"/>
                <w:b/>
                <w:bCs/>
                <w:i w:val="false"/>
                <w:iCs w:val="false"/>
                <w:color w:val="000000"/>
                <w:sz w:val="16"/>
                <w:szCs w:val="16"/>
              </w:rPr>
            </w:r>
          </w:p>
        </w:tc>
        <w:tc>
          <w:tcPr>
            <w:tcW w:w="925" w:type="dxa"/>
            <w:tcBorders/>
            <w:shd w:fill="auto" w:val="cle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15.09%</w:t>
            </w:r>
          </w:p>
        </w:tc>
        <w:tc>
          <w:tcPr>
            <w:tcW w:w="1031" w:type="dxa"/>
            <w:tcBorders/>
            <w:shd w:fill="auto" w:val="cle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84.91%</w:t>
            </w:r>
          </w:p>
        </w:tc>
        <w:tc>
          <w:tcPr>
            <w:tcW w:w="604" w:type="dxa"/>
            <w:tcBorders/>
            <w:shd w:fill="auto" w:val="cle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c>
          <w:tcPr>
            <w:tcW w:w="440"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color w:val="000000"/>
                <w:sz w:val="16"/>
                <w:szCs w:val="16"/>
              </w:rPr>
            </w:pPr>
            <w:r>
              <w:rPr>
                <w:rFonts w:cs="Times New Roman" w:ascii="Times New Roman" w:hAnsi="Times New Roman"/>
                <w:i w:val="false"/>
                <w:iCs w:val="false"/>
                <w:color w:val="000000"/>
                <w:sz w:val="16"/>
                <w:szCs w:val="16"/>
              </w:rPr>
            </w:r>
          </w:p>
        </w:tc>
        <w:tc>
          <w:tcPr>
            <w:tcW w:w="1468" w:type="dxa"/>
            <w:tcBorders/>
            <w:shd w:fill="auto" w:val="clear"/>
            <w:vAlign w:val="bottom"/>
          </w:tcPr>
          <w:p>
            <w:pPr>
              <w:pStyle w:val="Normal"/>
              <w:snapToGrid w:val="false"/>
              <w:spacing w:lineRule="auto" w:line="240" w:before="0" w:after="0"/>
              <w:rPr>
                <w:rFonts w:ascii="Times New Roman" w:hAnsi="Times New Roman" w:cs="Times New Roman"/>
                <w:i w:val="false"/>
                <w:i w:val="false"/>
                <w:iCs w:val="false"/>
              </w:rPr>
            </w:pPr>
            <w:r>
              <w:rPr>
                <w:rFonts w:cs="Times New Roman" w:ascii="Times New Roman" w:hAnsi="Times New Roman"/>
                <w:i w:val="false"/>
                <w:iCs w:val="false"/>
              </w:rPr>
            </w:r>
          </w:p>
        </w:tc>
        <w:tc>
          <w:tcPr>
            <w:tcW w:w="929" w:type="dxa"/>
            <w:tcBorders/>
            <w:shd w:fill="auto" w:val="cle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13.04%</w:t>
            </w:r>
          </w:p>
        </w:tc>
        <w:tc>
          <w:tcPr>
            <w:tcW w:w="1036" w:type="dxa"/>
            <w:tcBorders/>
            <w:shd w:fill="auto" w:val="clear"/>
            <w:vAlign w:val="bottom"/>
          </w:tcPr>
          <w:p>
            <w:pPr>
              <w:pStyle w:val="Normal"/>
              <w:spacing w:lineRule="auto" w:line="240" w:before="0" w:after="0"/>
              <w:jc w:val="center"/>
              <w:rPr>
                <w:i w:val="false"/>
                <w:i w:val="false"/>
                <w:iCs w:val="false"/>
                <w:color w:val="000000"/>
                <w:sz w:val="16"/>
                <w:szCs w:val="16"/>
              </w:rPr>
            </w:pPr>
            <w:r>
              <w:rPr>
                <w:i w:val="false"/>
                <w:iCs w:val="false"/>
                <w:color w:val="000000"/>
                <w:sz w:val="16"/>
                <w:szCs w:val="16"/>
              </w:rPr>
              <w:t>86.96%</w:t>
            </w:r>
          </w:p>
        </w:tc>
        <w:tc>
          <w:tcPr>
            <w:tcW w:w="607" w:type="dxa"/>
            <w:tcBorders/>
            <w:shd w:fill="auto" w:val="clear"/>
            <w:vAlign w:val="bottom"/>
          </w:tcPr>
          <w:p>
            <w:pPr>
              <w:pStyle w:val="Normal"/>
              <w:snapToGrid w:val="false"/>
              <w:spacing w:lineRule="auto" w:line="240" w:before="0" w:after="0"/>
              <w:jc w:val="center"/>
              <w:rPr>
                <w:i w:val="false"/>
                <w:i w:val="false"/>
                <w:iCs w:val="false"/>
                <w:color w:val="000000"/>
                <w:sz w:val="16"/>
                <w:szCs w:val="16"/>
              </w:rPr>
            </w:pPr>
            <w:r>
              <w:rPr>
                <w:i w:val="false"/>
                <w:iCs w:val="false"/>
                <w:color w:val="000000"/>
                <w:sz w:val="16"/>
                <w:szCs w:val="16"/>
              </w:rPr>
            </w:r>
          </w:p>
        </w:tc>
      </w:tr>
    </w:tbl>
    <w:p>
      <w:pPr>
        <w:pStyle w:val="Normal"/>
        <w:rPr/>
      </w:pPr>
      <w:r>
        <w:rPr/>
      </w:r>
    </w:p>
    <w:p>
      <w:pPr>
        <w:pStyle w:val="Sansinterligne"/>
        <w:jc w:val="both"/>
        <w:rPr>
          <w:i w:val="false"/>
          <w:i w:val="false"/>
        </w:rPr>
      </w:pPr>
      <w:r>
        <w:rPr>
          <w:i w:val="false"/>
        </w:rPr>
        <w:t>L’effectif pris en considération pour l’analyse des rémunérations comparées des hommes et des femmes ne tient pas compte des alternants.</w:t>
      </w:r>
    </w:p>
    <w:p>
      <w:pPr>
        <w:pStyle w:val="Sansinterligne"/>
        <w:jc w:val="both"/>
        <w:rPr>
          <w:i w:val="false"/>
          <w:i w:val="false"/>
        </w:rPr>
      </w:pPr>
      <w:r>
        <w:rPr>
          <w:i w:val="false"/>
        </w:rPr>
      </w:r>
    </w:p>
    <w:p>
      <w:pPr>
        <w:pStyle w:val="Sansinterligne"/>
        <w:jc w:val="both"/>
        <w:rPr>
          <w:rFonts w:cs="Arial"/>
          <w:i w:val="false"/>
          <w:i w:val="false"/>
        </w:rPr>
      </w:pPr>
      <w:r>
        <w:rPr>
          <w:rFonts w:cs="Arial"/>
          <w:i w:val="false"/>
        </w:rPr>
        <w:t>L’effectif féminin est en légère augmentation, il représente 13.04 % de l’effectif contre 12.8% en 2018.</w:t>
      </w:r>
    </w:p>
    <w:p>
      <w:pPr>
        <w:pStyle w:val="Sansinterligne"/>
        <w:rPr>
          <w:rFonts w:cs="Arial"/>
          <w:i w:val="false"/>
          <w:i w:val="false"/>
        </w:rPr>
      </w:pPr>
      <w:r>
        <w:rPr>
          <w:rFonts w:cs="Arial"/>
          <w:i w:val="false"/>
        </w:rPr>
      </w:r>
    </w:p>
    <w:p>
      <w:pPr>
        <w:pStyle w:val="Sansinterligne"/>
        <w:rPr>
          <w:rFonts w:cs="Arial"/>
          <w:i w:val="false"/>
          <w:i w:val="false"/>
        </w:rPr>
      </w:pPr>
      <w:r>
        <w:rPr>
          <w:rFonts w:cs="Arial"/>
          <w:i w:val="false"/>
        </w:rPr>
        <w:t>Seuls les services exportation, commerce, achat, travaux, bureau d’étude et administratif comptent dans leur effectif des femmes.</w:t>
      </w:r>
    </w:p>
    <w:p>
      <w:pPr>
        <w:pStyle w:val="Sansinterligne"/>
        <w:rPr>
          <w:rFonts w:cs="Arial"/>
          <w:i w:val="false"/>
          <w:i w:val="false"/>
        </w:rPr>
      </w:pPr>
      <w:r>
        <w:rPr>
          <w:rFonts w:cs="Arial"/>
          <w:i w:val="false"/>
        </w:rPr>
        <w:t>Nombre de femme par service :</w:t>
      </w:r>
    </w:p>
    <w:p>
      <w:pPr>
        <w:pStyle w:val="Sansinterligne"/>
        <w:numPr>
          <w:ilvl w:val="0"/>
          <w:numId w:val="8"/>
        </w:numPr>
        <w:rPr>
          <w:rFonts w:cs="Arial"/>
          <w:i w:val="false"/>
          <w:i w:val="false"/>
        </w:rPr>
      </w:pPr>
      <w:r>
        <w:rPr>
          <w:rFonts w:cs="Arial"/>
          <w:i w:val="false"/>
        </w:rPr>
        <w:t>Exportation : 1 (cadre)</w:t>
      </w:r>
    </w:p>
    <w:p>
      <w:pPr>
        <w:pStyle w:val="Sansinterligne"/>
        <w:numPr>
          <w:ilvl w:val="0"/>
          <w:numId w:val="8"/>
        </w:numPr>
        <w:rPr>
          <w:rFonts w:cs="Arial"/>
          <w:i w:val="false"/>
          <w:i w:val="false"/>
        </w:rPr>
      </w:pPr>
      <w:r>
        <w:rPr>
          <w:rFonts w:cs="Arial"/>
          <w:i w:val="false"/>
        </w:rPr>
        <w:t>Achat : 1 (etam)</w:t>
      </w:r>
    </w:p>
    <w:p>
      <w:pPr>
        <w:pStyle w:val="Sansinterligne"/>
        <w:numPr>
          <w:ilvl w:val="0"/>
          <w:numId w:val="8"/>
        </w:numPr>
        <w:rPr>
          <w:rFonts w:cs="Arial"/>
          <w:i w:val="false"/>
          <w:i w:val="false"/>
        </w:rPr>
      </w:pPr>
      <w:r>
        <w:rPr>
          <w:rFonts w:cs="Arial"/>
          <w:i w:val="false"/>
        </w:rPr>
        <w:t>Commerce/avant-projet : 2 (1 cadre / 1 etam)</w:t>
      </w:r>
    </w:p>
    <w:p>
      <w:pPr>
        <w:pStyle w:val="Sansinterligne"/>
        <w:numPr>
          <w:ilvl w:val="0"/>
          <w:numId w:val="8"/>
        </w:numPr>
        <w:rPr>
          <w:rFonts w:cs="Arial"/>
          <w:i w:val="false"/>
          <w:i w:val="false"/>
        </w:rPr>
      </w:pPr>
      <w:r>
        <w:rPr>
          <w:rFonts w:cs="Arial"/>
          <w:i w:val="false"/>
        </w:rPr>
        <w:t>Bureau d’étude : 6 (3 cadres / 3 etam)</w:t>
      </w:r>
    </w:p>
    <w:p>
      <w:pPr>
        <w:pStyle w:val="Sansinterligne"/>
        <w:numPr>
          <w:ilvl w:val="0"/>
          <w:numId w:val="8"/>
        </w:numPr>
        <w:rPr>
          <w:rFonts w:cs="Arial"/>
          <w:i w:val="false"/>
          <w:i w:val="false"/>
        </w:rPr>
      </w:pPr>
      <w:r>
        <w:rPr>
          <w:rFonts w:cs="Arial"/>
          <w:i w:val="false"/>
        </w:rPr>
        <w:t>Travaux : 8 (2 cadres / 6 etam)</w:t>
      </w:r>
    </w:p>
    <w:p>
      <w:pPr>
        <w:pStyle w:val="Sansinterligne"/>
        <w:numPr>
          <w:ilvl w:val="0"/>
          <w:numId w:val="8"/>
        </w:numPr>
        <w:rPr>
          <w:rFonts w:cs="Arial"/>
          <w:i w:val="false"/>
          <w:i w:val="false"/>
        </w:rPr>
      </w:pPr>
      <w:r>
        <w:rPr>
          <w:rFonts w:cs="Arial"/>
          <w:i w:val="false"/>
        </w:rPr>
        <w:t>Administratif : 17 (4 cadres / 13 etam)</w:t>
      </w:r>
    </w:p>
    <w:p>
      <w:pPr>
        <w:pStyle w:val="Sansinterligne"/>
        <w:rPr>
          <w:rFonts w:cs="Arial"/>
          <w:i w:val="false"/>
          <w:i w:val="false"/>
        </w:rPr>
      </w:pPr>
      <w:r>
        <w:rPr>
          <w:rFonts w:cs="Arial"/>
          <w:i w:val="false"/>
        </w:rPr>
      </w:r>
    </w:p>
    <w:p>
      <w:pPr>
        <w:pStyle w:val="Sansinterligne"/>
        <w:rPr/>
      </w:pPr>
      <w:r>
        <w:rPr>
          <w:rFonts w:cs="Arial"/>
          <w:i w:val="false"/>
        </w:rPr>
        <w:t xml:space="preserve">La comparaison des rémunérations de base à statut équivalent n’est pas pertinente du fait de la très faible présence des femmes sur les services export, achat, commerce, BE et travaux. Quant à l’administratif, la tendance est inversée avec une très faible présence masculine. </w:t>
      </w:r>
    </w:p>
    <w:p>
      <w:pPr>
        <w:pStyle w:val="Sansinterligne"/>
        <w:rPr>
          <w:rFonts w:ascii="Arial Narrow" w:hAnsi="Arial Narrow" w:cs="Arial Narrow"/>
          <w:i w:val="false"/>
          <w:i w:val="false"/>
        </w:rPr>
      </w:pPr>
      <w:r>
        <w:rPr>
          <w:rFonts w:cs="Arial Narrow" w:ascii="Arial Narrow" w:hAnsi="Arial Narrow"/>
          <w:i w:val="false"/>
        </w:rPr>
      </w:r>
    </w:p>
    <w:p>
      <w:pPr>
        <w:pStyle w:val="Sansinterligne"/>
        <w:rPr>
          <w:rFonts w:ascii="Arial Narrow" w:hAnsi="Arial Narrow" w:cs="Arial"/>
          <w:i w:val="false"/>
          <w:i w:val="false"/>
        </w:rPr>
      </w:pPr>
      <w:r>
        <w:rPr>
          <w:rFonts w:cs="Arial" w:ascii="Arial Narrow" w:hAnsi="Arial Narrow"/>
          <w:i w:val="false"/>
        </w:rPr>
      </w:r>
    </w:p>
    <w:p>
      <w:pPr>
        <w:pStyle w:val="Citation"/>
        <w:rPr/>
      </w:pPr>
      <w:r>
        <w:rPr>
          <w:rStyle w:val="Emphasis"/>
          <w:rFonts w:cs="Calibri"/>
          <w:i w:val="false"/>
          <w:color w:val="000000"/>
          <w:sz w:val="22"/>
          <w:szCs w:val="22"/>
          <w:u w:val="single"/>
        </w:rPr>
        <w:t xml:space="preserve">B – Montant de la gratification et de la prime sur pouvoir d’achat par service. </w:t>
      </w:r>
    </w:p>
    <w:tbl>
      <w:tblPr>
        <w:tblW w:w="6668" w:type="dxa"/>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547"/>
        <w:gridCol w:w="1417"/>
        <w:gridCol w:w="1276"/>
        <w:gridCol w:w="1428"/>
      </w:tblGrid>
      <w:tr>
        <w:trPr>
          <w:trHeight w:val="288" w:hRule="atLeast"/>
        </w:trPr>
        <w:tc>
          <w:tcPr>
            <w:tcW w:w="6668"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rPr>
            </w:pPr>
            <w:r>
              <w:rPr>
                <w:b/>
                <w:bCs/>
                <w:i w:val="false"/>
                <w:iCs w:val="false"/>
                <w:color w:val="000000"/>
              </w:rPr>
              <w:t>GRATIFICATION PAYEE EN DECEMBRE 2018</w:t>
            </w:r>
          </w:p>
        </w:tc>
      </w:tr>
      <w:tr>
        <w:trPr>
          <w:trHeight w:val="288" w:hRule="atLeast"/>
        </w:trPr>
        <w:tc>
          <w:tcPr>
            <w:tcW w:w="2547"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Service</w:t>
            </w:r>
          </w:p>
        </w:tc>
        <w:tc>
          <w:tcPr>
            <w:tcW w:w="1417"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Mtant brut</w:t>
            </w:r>
          </w:p>
        </w:tc>
        <w:tc>
          <w:tcPr>
            <w:tcW w:w="1276"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Cotisations</w:t>
            </w:r>
          </w:p>
        </w:tc>
        <w:tc>
          <w:tcPr>
            <w:tcW w:w="142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BRUT chargé</w:t>
            </w:r>
          </w:p>
        </w:tc>
      </w:tr>
      <w:tr>
        <w:trPr>
          <w:trHeight w:val="288"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MONTEUR</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21 272.75 €</w:t>
            </w:r>
          </w:p>
        </w:tc>
        <w:tc>
          <w:tcPr>
            <w:tcW w:w="127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14 465.47 €</w:t>
            </w:r>
          </w:p>
        </w:tc>
        <w:tc>
          <w:tcPr>
            <w:tcW w:w="1428"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35 738.22 €</w:t>
            </w:r>
          </w:p>
        </w:tc>
      </w:tr>
      <w:tr>
        <w:trPr>
          <w:trHeight w:val="288"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COMMERCE / AVANT PROJET</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24 233.86 €</w:t>
            </w:r>
          </w:p>
        </w:tc>
        <w:tc>
          <w:tcPr>
            <w:tcW w:w="127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16 479.03 €</w:t>
            </w:r>
          </w:p>
        </w:tc>
        <w:tc>
          <w:tcPr>
            <w:tcW w:w="1428"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40 712.89 €</w:t>
            </w:r>
          </w:p>
        </w:tc>
      </w:tr>
      <w:tr>
        <w:trPr>
          <w:trHeight w:val="288"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EXPORT</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11 284.91 €</w:t>
            </w:r>
          </w:p>
        </w:tc>
        <w:tc>
          <w:tcPr>
            <w:tcW w:w="127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7 673.74 €</w:t>
            </w:r>
          </w:p>
        </w:tc>
        <w:tc>
          <w:tcPr>
            <w:tcW w:w="1428"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18 958.65 €</w:t>
            </w:r>
          </w:p>
        </w:tc>
      </w:tr>
      <w:tr>
        <w:trPr>
          <w:trHeight w:val="288"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ATELIER</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39 535.81 €</w:t>
            </w:r>
          </w:p>
        </w:tc>
        <w:tc>
          <w:tcPr>
            <w:tcW w:w="127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26 884.35 €</w:t>
            </w:r>
          </w:p>
        </w:tc>
        <w:tc>
          <w:tcPr>
            <w:tcW w:w="1428"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66 420.16 €</w:t>
            </w:r>
          </w:p>
        </w:tc>
      </w:tr>
      <w:tr>
        <w:trPr>
          <w:trHeight w:val="288"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BUREAU ETUDE</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37 818.64 €</w:t>
            </w:r>
          </w:p>
        </w:tc>
        <w:tc>
          <w:tcPr>
            <w:tcW w:w="127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25 716.68 €</w:t>
            </w:r>
          </w:p>
        </w:tc>
        <w:tc>
          <w:tcPr>
            <w:tcW w:w="1428"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63 535.32 €</w:t>
            </w:r>
          </w:p>
        </w:tc>
      </w:tr>
      <w:tr>
        <w:trPr>
          <w:trHeight w:val="288"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TRAVAUX</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46 758.02 €</w:t>
            </w:r>
          </w:p>
        </w:tc>
        <w:tc>
          <w:tcPr>
            <w:tcW w:w="127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31 795.45 €</w:t>
            </w:r>
          </w:p>
        </w:tc>
        <w:tc>
          <w:tcPr>
            <w:tcW w:w="1428"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78 553.47 €</w:t>
            </w:r>
          </w:p>
        </w:tc>
      </w:tr>
      <w:tr>
        <w:trPr>
          <w:trHeight w:val="288"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ADMINISTRATIF/ACHAT</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25 326.99 €</w:t>
            </w:r>
          </w:p>
        </w:tc>
        <w:tc>
          <w:tcPr>
            <w:tcW w:w="127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17 222.35 €</w:t>
            </w:r>
          </w:p>
        </w:tc>
        <w:tc>
          <w:tcPr>
            <w:tcW w:w="1428"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42 549.34 €</w:t>
            </w:r>
          </w:p>
        </w:tc>
      </w:tr>
      <w:tr>
        <w:trPr>
          <w:trHeight w:val="288" w:hRule="atLeast"/>
        </w:trPr>
        <w:tc>
          <w:tcPr>
            <w:tcW w:w="2547"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Total général</w:t>
            </w:r>
          </w:p>
        </w:tc>
        <w:tc>
          <w:tcPr>
            <w:tcW w:w="1417"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206 230.98 €</w:t>
            </w:r>
          </w:p>
        </w:tc>
        <w:tc>
          <w:tcPr>
            <w:tcW w:w="1276"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140 237.07 €</w:t>
            </w:r>
          </w:p>
        </w:tc>
        <w:tc>
          <w:tcPr>
            <w:tcW w:w="142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346 468.05 €</w:t>
            </w:r>
          </w:p>
        </w:tc>
      </w:tr>
    </w:tbl>
    <w:p>
      <w:pPr>
        <w:pStyle w:val="Normal"/>
        <w:rPr>
          <w:sz w:val="16"/>
          <w:szCs w:val="16"/>
        </w:rPr>
      </w:pPr>
      <w:r>
        <w:rPr>
          <w:sz w:val="16"/>
          <w:szCs w:val="16"/>
        </w:rPr>
      </w:r>
    </w:p>
    <w:tbl>
      <w:tblPr>
        <w:tblW w:w="6770" w:type="dxa"/>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65" w:type="dxa"/>
          <w:bottom w:w="0" w:type="dxa"/>
          <w:right w:w="70" w:type="dxa"/>
        </w:tblCellMar>
      </w:tblPr>
      <w:tblGrid>
        <w:gridCol w:w="2547"/>
        <w:gridCol w:w="1417"/>
        <w:gridCol w:w="1286"/>
        <w:gridCol w:w="1520"/>
      </w:tblGrid>
      <w:tr>
        <w:trPr>
          <w:trHeight w:val="288" w:hRule="atLeast"/>
        </w:trPr>
        <w:tc>
          <w:tcPr>
            <w:tcW w:w="6770"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rPr>
            </w:pPr>
            <w:r>
              <w:rPr>
                <w:b/>
                <w:bCs/>
                <w:i w:val="false"/>
                <w:iCs w:val="false"/>
                <w:color w:val="000000"/>
              </w:rPr>
              <w:t>PRIME EXCEPTIONNELLE PAYEE EN 2019</w:t>
            </w:r>
          </w:p>
        </w:tc>
      </w:tr>
      <w:tr>
        <w:trPr>
          <w:trHeight w:val="264" w:hRule="atLeast"/>
        </w:trPr>
        <w:tc>
          <w:tcPr>
            <w:tcW w:w="2547" w:type="dxa"/>
            <w:tcBorders>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SERVICE</w:t>
            </w:r>
          </w:p>
        </w:tc>
        <w:tc>
          <w:tcPr>
            <w:tcW w:w="1417" w:type="dxa"/>
            <w:tcBorders>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Total PRIME</w:t>
            </w:r>
          </w:p>
        </w:tc>
        <w:tc>
          <w:tcPr>
            <w:tcW w:w="1286" w:type="dxa"/>
            <w:tcBorders>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Mtant NET</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Mtant BRUT</w:t>
            </w:r>
          </w:p>
        </w:tc>
      </w:tr>
      <w:tr>
        <w:trPr>
          <w:trHeight w:val="240"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MONTEUR</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37 378.94 €</w:t>
            </w:r>
          </w:p>
        </w:tc>
        <w:tc>
          <w:tcPr>
            <w:tcW w:w="128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28 349.82 €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9 029.12 €</w:t>
            </w:r>
          </w:p>
        </w:tc>
      </w:tr>
      <w:tr>
        <w:trPr>
          <w:trHeight w:val="240"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ATELIER</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73 376.28 €</w:t>
            </w:r>
          </w:p>
        </w:tc>
        <w:tc>
          <w:tcPr>
            <w:tcW w:w="128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64 328.34 €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9 047.93 €</w:t>
            </w:r>
          </w:p>
        </w:tc>
      </w:tr>
      <w:tr>
        <w:trPr>
          <w:trHeight w:val="240"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ADMINISTRATIF/ACHAT</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32 805.75 €</w:t>
            </w:r>
          </w:p>
        </w:tc>
        <w:tc>
          <w:tcPr>
            <w:tcW w:w="128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23 203.19 €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9 602.56 €</w:t>
            </w:r>
          </w:p>
        </w:tc>
      </w:tr>
      <w:tr>
        <w:trPr>
          <w:trHeight w:val="240"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TRAVAUX</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62 096.43 €</w:t>
            </w:r>
          </w:p>
        </w:tc>
        <w:tc>
          <w:tcPr>
            <w:tcW w:w="128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39 433.08 €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22 663.35 €</w:t>
            </w:r>
          </w:p>
        </w:tc>
      </w:tr>
      <w:tr>
        <w:trPr>
          <w:trHeight w:val="240"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BUREAU ETUDE</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56 371.60 €</w:t>
            </w:r>
          </w:p>
        </w:tc>
        <w:tc>
          <w:tcPr>
            <w:tcW w:w="128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37 924.84 €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18 446.76 €</w:t>
            </w:r>
          </w:p>
        </w:tc>
      </w:tr>
      <w:tr>
        <w:trPr>
          <w:trHeight w:val="240"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COMMERCE / AVANT PORJET</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20 868.10 €</w:t>
            </w:r>
          </w:p>
        </w:tc>
        <w:tc>
          <w:tcPr>
            <w:tcW w:w="128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12 923.82 €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7 944.28 €</w:t>
            </w:r>
          </w:p>
        </w:tc>
      </w:tr>
      <w:tr>
        <w:trPr>
          <w:trHeight w:val="240" w:hRule="atLeast"/>
        </w:trPr>
        <w:tc>
          <w:tcPr>
            <w:tcW w:w="254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rPr>
                <w:i w:val="false"/>
                <w:i w:val="false"/>
                <w:iCs w:val="false"/>
                <w:color w:val="000000"/>
                <w:sz w:val="18"/>
                <w:szCs w:val="18"/>
              </w:rPr>
            </w:pPr>
            <w:r>
              <w:rPr>
                <w:i w:val="false"/>
                <w:iCs w:val="false"/>
                <w:color w:val="000000"/>
                <w:sz w:val="18"/>
                <w:szCs w:val="18"/>
              </w:rPr>
              <w:t>EXPORT</w:t>
            </w:r>
          </w:p>
        </w:tc>
        <w:tc>
          <w:tcPr>
            <w:tcW w:w="141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6 112.69 €</w:t>
            </w:r>
          </w:p>
        </w:tc>
        <w:tc>
          <w:tcPr>
            <w:tcW w:w="128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3 755.04 €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2 357.65 €</w:t>
            </w:r>
          </w:p>
        </w:tc>
      </w:tr>
      <w:tr>
        <w:trPr>
          <w:trHeight w:val="240" w:hRule="atLeast"/>
        </w:trPr>
        <w:tc>
          <w:tcPr>
            <w:tcW w:w="2547" w:type="dxa"/>
            <w:tcBorders>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Total général</w:t>
            </w:r>
          </w:p>
        </w:tc>
        <w:tc>
          <w:tcPr>
            <w:tcW w:w="1417" w:type="dxa"/>
            <w:tcBorders>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289 009.79 €</w:t>
            </w:r>
          </w:p>
        </w:tc>
        <w:tc>
          <w:tcPr>
            <w:tcW w:w="1286" w:type="dxa"/>
            <w:tcBorders>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209 918.13 €</w:t>
            </w:r>
          </w:p>
        </w:tc>
        <w:tc>
          <w:tcPr>
            <w:tcW w:w="1520" w:type="dxa"/>
            <w:tcBorders>
              <w:left w:val="single" w:sz="4" w:space="0" w:color="000000"/>
              <w:bottom w:val="single" w:sz="4" w:space="0" w:color="000000"/>
              <w:right w:val="single" w:sz="4" w:space="0" w:color="000000"/>
              <w:insideH w:val="single" w:sz="4" w:space="0" w:color="000000"/>
              <w:insideV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79 091.66 €</w:t>
            </w:r>
          </w:p>
        </w:tc>
      </w:tr>
    </w:tbl>
    <w:p>
      <w:pPr>
        <w:pStyle w:val="Sansinterligne"/>
        <w:rPr>
          <w:rFonts w:cs="Arial"/>
          <w:i w:val="false"/>
          <w:i w:val="false"/>
        </w:rPr>
      </w:pPr>
      <w:r>
        <w:rPr>
          <w:rFonts w:cs="Arial"/>
          <w:i w:val="false"/>
        </w:rPr>
      </w:r>
    </w:p>
    <w:p>
      <w:pPr>
        <w:pStyle w:val="Sansinterligne"/>
        <w:rPr>
          <w:rFonts w:cs="Arial"/>
          <w:i w:val="false"/>
          <w:i w:val="false"/>
        </w:rPr>
      </w:pPr>
      <w:r>
        <w:rPr>
          <w:rFonts w:cs="Arial"/>
          <w:i w:val="false"/>
        </w:rPr>
      </w:r>
    </w:p>
    <w:p>
      <w:pPr>
        <w:pStyle w:val="Citation"/>
        <w:rPr/>
      </w:pPr>
      <w:r>
        <w:rPr/>
        <w:t xml:space="preserve">C – Masse salariale par année comptable. </w:t>
      </w:r>
    </w:p>
    <w:tbl>
      <w:tblPr>
        <w:tblW w:w="9327" w:type="dxa"/>
        <w:jc w:val="left"/>
        <w:tblInd w:w="4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1791"/>
        <w:gridCol w:w="1367"/>
        <w:gridCol w:w="1640"/>
        <w:gridCol w:w="1640"/>
        <w:gridCol w:w="1640"/>
        <w:gridCol w:w="1239"/>
        <w:gridCol w:w="10"/>
      </w:tblGrid>
      <w:tr>
        <w:trPr>
          <w:trHeight w:val="613" w:hRule="atLeast"/>
          <w:cantSplit w:val="true"/>
        </w:trPr>
        <w:tc>
          <w:tcPr>
            <w:tcW w:w="1791"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 xml:space="preserve">ANNEES </w:t>
            </w:r>
          </w:p>
        </w:tc>
        <w:tc>
          <w:tcPr>
            <w:tcW w:w="1367" w:type="dxa"/>
            <w:vMerge w:val="restart"/>
            <w:tcBorders>
              <w:top w:val="single" w:sz="4" w:space="0" w:color="000000"/>
              <w:left w:val="double" w:sz="6" w:space="0" w:color="000000"/>
              <w:bottom w:val="single" w:sz="4" w:space="0" w:color="000000"/>
              <w:insideH w:val="single" w:sz="4" w:space="0" w:color="000000"/>
            </w:tcBorders>
            <w:shd w:fill="B8CCE4" w:val="clear"/>
            <w:tcMar>
              <w:left w:w="47" w:type="dxa"/>
            </w:tcMar>
            <w:vAlign w:val="center"/>
          </w:tcPr>
          <w:p>
            <w:pPr>
              <w:pStyle w:val="Normal"/>
              <w:spacing w:lineRule="auto" w:line="240" w:before="0" w:after="0"/>
              <w:jc w:val="center"/>
              <w:rPr/>
            </w:pPr>
            <w:r>
              <w:rPr>
                <w:b/>
                <w:i w:val="false"/>
                <w:iCs w:val="false"/>
                <w:color w:val="000000"/>
                <w:sz w:val="18"/>
                <w:szCs w:val="18"/>
              </w:rPr>
              <w:t>EFFECTIF MOYEN GLOBAL</w:t>
            </w:r>
          </w:p>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 xml:space="preserve">DADS </w:t>
            </w:r>
          </w:p>
        </w:tc>
        <w:tc>
          <w:tcPr>
            <w:tcW w:w="1640"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pPr>
            <w:r>
              <w:rPr>
                <w:b/>
                <w:i w:val="false"/>
                <w:iCs w:val="false"/>
                <w:color w:val="000000"/>
                <w:sz w:val="18"/>
                <w:szCs w:val="18"/>
              </w:rPr>
              <w:t>SALAIRE NET</w:t>
            </w:r>
          </w:p>
        </w:tc>
        <w:tc>
          <w:tcPr>
            <w:tcW w:w="1640"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SALAIRE BRUT</w:t>
            </w:r>
          </w:p>
        </w:tc>
        <w:tc>
          <w:tcPr>
            <w:tcW w:w="1640" w:type="dxa"/>
            <w:vMerge w:val="restart"/>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pacing w:lineRule="auto" w:line="240" w:before="0" w:after="0"/>
              <w:jc w:val="center"/>
              <w:rPr/>
            </w:pPr>
            <w:r>
              <w:rPr>
                <w:b/>
                <w:i w:val="false"/>
                <w:iCs w:val="false"/>
                <w:color w:val="000000"/>
                <w:sz w:val="18"/>
                <w:szCs w:val="18"/>
              </w:rPr>
              <w:t xml:space="preserve">SALAIRE BRUT CHARGE </w:t>
            </w:r>
          </w:p>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(brut + Charges Patronales)</w:t>
            </w:r>
          </w:p>
        </w:tc>
        <w:tc>
          <w:tcPr>
            <w:tcW w:w="1239" w:type="dxa"/>
            <w:vMerge w:val="restart"/>
            <w:tcBorders>
              <w:top w:val="single" w:sz="4" w:space="0" w:color="000000"/>
              <w:left w:val="double" w:sz="6" w:space="0" w:color="000000"/>
              <w:bottom w:val="single" w:sz="4" w:space="0" w:color="000000"/>
              <w:right w:val="single" w:sz="4" w:space="0" w:color="000000"/>
              <w:insideH w:val="single" w:sz="4" w:space="0" w:color="000000"/>
              <w:insideV w:val="single" w:sz="4" w:space="0" w:color="000000"/>
            </w:tcBorders>
            <w:shd w:fill="B8CCE4" w:val="clear"/>
            <w:tcMar>
              <w:left w:w="47" w:type="dxa"/>
            </w:tcMar>
            <w:vAlign w:val="center"/>
          </w:tcPr>
          <w:p>
            <w:pPr>
              <w:pStyle w:val="Normal"/>
              <w:spacing w:lineRule="auto" w:line="240" w:before="0" w:after="0"/>
              <w:jc w:val="center"/>
              <w:rPr>
                <w:b/>
                <w:b/>
                <w:i w:val="false"/>
                <w:i w:val="false"/>
                <w:iCs w:val="false"/>
                <w:color w:val="000000"/>
                <w:sz w:val="18"/>
                <w:szCs w:val="18"/>
              </w:rPr>
            </w:pPr>
            <w:r>
              <w:rPr>
                <w:b/>
                <w:i w:val="false"/>
                <w:iCs w:val="false"/>
                <w:color w:val="000000"/>
                <w:sz w:val="18"/>
                <w:szCs w:val="18"/>
              </w:rPr>
              <w:t>%</w:t>
            </w:r>
          </w:p>
        </w:tc>
      </w:tr>
      <w:tr>
        <w:trPr>
          <w:trHeight w:val="368" w:hRule="atLeast"/>
          <w:cantSplit w:val="true"/>
        </w:trPr>
        <w:tc>
          <w:tcPr>
            <w:tcW w:w="1791"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b/>
                <w:b/>
                <w:i w:val="false"/>
                <w:i w:val="false"/>
                <w:iCs w:val="false"/>
                <w:color w:val="000000"/>
                <w:sz w:val="18"/>
                <w:szCs w:val="18"/>
              </w:rPr>
            </w:pPr>
            <w:r>
              <w:rPr>
                <w:b/>
                <w:i w:val="false"/>
                <w:iCs w:val="false"/>
                <w:color w:val="000000"/>
                <w:sz w:val="18"/>
                <w:szCs w:val="18"/>
              </w:rPr>
            </w:r>
          </w:p>
        </w:tc>
        <w:tc>
          <w:tcPr>
            <w:tcW w:w="1367" w:type="dxa"/>
            <w:vMerge w:val="continue"/>
            <w:tcBorders>
              <w:top w:val="single" w:sz="4" w:space="0" w:color="000000"/>
              <w:left w:val="double" w:sz="6" w:space="0" w:color="000000"/>
              <w:bottom w:val="single" w:sz="4" w:space="0" w:color="000000"/>
              <w:insideH w:val="single" w:sz="4" w:space="0" w:color="000000"/>
            </w:tcBorders>
            <w:shd w:fill="B8CCE4" w:val="clear"/>
            <w:tcMar>
              <w:left w:w="47"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640"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640"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640" w:type="dxa"/>
            <w:vMerge w:val="continue"/>
            <w:tcBorders>
              <w:top w:val="single" w:sz="4" w:space="0" w:color="000000"/>
              <w:left w:val="single" w:sz="4" w:space="0" w:color="000000"/>
              <w:bottom w:val="single" w:sz="4" w:space="0" w:color="000000"/>
              <w:insideH w:val="single" w:sz="4" w:space="0" w:color="000000"/>
            </w:tcBorders>
            <w:shd w:fill="B8CCE4" w:val="clear"/>
            <w:tcMar>
              <w:left w:w="65"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c>
          <w:tcPr>
            <w:tcW w:w="1239" w:type="dxa"/>
            <w:vMerge w:val="continue"/>
            <w:tcBorders>
              <w:top w:val="single" w:sz="4" w:space="0" w:color="000000"/>
              <w:left w:val="double" w:sz="6" w:space="0" w:color="000000"/>
              <w:bottom w:val="single" w:sz="4" w:space="0" w:color="000000"/>
              <w:right w:val="single" w:sz="4" w:space="0" w:color="000000"/>
              <w:insideH w:val="single" w:sz="4" w:space="0" w:color="000000"/>
              <w:insideV w:val="single" w:sz="4" w:space="0" w:color="000000"/>
            </w:tcBorders>
            <w:shd w:fill="B8CCE4" w:val="clear"/>
            <w:tcMar>
              <w:left w:w="47" w:type="dxa"/>
            </w:tcMar>
            <w:vAlign w:val="center"/>
          </w:tcPr>
          <w:p>
            <w:pPr>
              <w:pStyle w:val="Normal"/>
              <w:snapToGrid w:val="false"/>
              <w:spacing w:lineRule="auto" w:line="240" w:before="0" w:after="0"/>
              <w:rPr>
                <w:i w:val="false"/>
                <w:i w:val="false"/>
                <w:iCs w:val="false"/>
                <w:color w:val="000000"/>
                <w:sz w:val="18"/>
                <w:szCs w:val="18"/>
              </w:rPr>
            </w:pPr>
            <w:r>
              <w:rPr>
                <w:i w:val="false"/>
                <w:iCs w:val="false"/>
                <w:color w:val="000000"/>
                <w:sz w:val="18"/>
                <w:szCs w:val="18"/>
              </w:rPr>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2015</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398</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8 180 749.72 €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10 128 260.90 €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17 006 154.87 €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pPr>
            <w:r>
              <w:rPr>
                <w:i w:val="false"/>
                <w:iCs w:val="false"/>
                <w:color w:val="000000"/>
                <w:sz w:val="18"/>
                <w:szCs w:val="18"/>
              </w:rPr>
              <w:t>67.91 %</w:t>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2016</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265</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7 543 055.81 €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9 326 750,04 €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15 623 167.86 €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pPr>
            <w:r>
              <w:rPr>
                <w:i w:val="false"/>
                <w:iCs w:val="false"/>
                <w:color w:val="000000"/>
                <w:sz w:val="18"/>
                <w:szCs w:val="18"/>
              </w:rPr>
              <w:t>67.51 %</w:t>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2017</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266</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7 078 462.40 €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8 747 709.95 €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14 683 618.50 €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pPr>
            <w:r>
              <w:rPr>
                <w:i w:val="false"/>
                <w:iCs w:val="false"/>
                <w:sz w:val="18"/>
                <w:szCs w:val="18"/>
              </w:rPr>
              <w:t>67.86 %</w:t>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2018</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264</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7 340 404.34 €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9 183 294.35 €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15 502 401.24 €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68.80 %</w:t>
            </w:r>
          </w:p>
        </w:tc>
      </w:tr>
      <w:tr>
        <w:trPr>
          <w:trHeight w:val="306" w:hRule="atLeast"/>
        </w:trPr>
        <w:tc>
          <w:tcPr>
            <w:tcW w:w="1791" w:type="dxa"/>
            <w:tcBorders>
              <w:left w:val="single" w:sz="8" w:space="0" w:color="000000"/>
              <w:bottom w:val="dotted" w:sz="4" w:space="0" w:color="000000"/>
              <w:insideH w:val="dotted" w:sz="4" w:space="0" w:color="000000"/>
            </w:tcBorders>
            <w:shd w:fill="auto" w:val="clear"/>
            <w:tcMar>
              <w:left w:w="60"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2019</w:t>
            </w:r>
          </w:p>
        </w:tc>
        <w:tc>
          <w:tcPr>
            <w:tcW w:w="1367"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278</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7 603 167.77 €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9 784 682.03 €</w:t>
            </w:r>
          </w:p>
        </w:tc>
        <w:tc>
          <w:tcPr>
            <w:tcW w:w="1640" w:type="dxa"/>
            <w:tcBorders>
              <w:left w:val="single" w:sz="4" w:space="0" w:color="000000"/>
              <w:bottom w:val="dotted" w:sz="4" w:space="0" w:color="000000"/>
              <w:insideH w:val="dotted" w:sz="4"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16 264 491.96 €</w:t>
            </w:r>
          </w:p>
        </w:tc>
        <w:tc>
          <w:tcPr>
            <w:tcW w:w="1249" w:type="dxa"/>
            <w:tcBorders>
              <w:left w:val="single" w:sz="4" w:space="0" w:color="000000"/>
              <w:bottom w:val="dotted" w:sz="4" w:space="0" w:color="000000"/>
              <w:right w:val="single" w:sz="8" w:space="0" w:color="000000"/>
              <w:insideH w:val="dotted" w:sz="4" w:space="0" w:color="000000"/>
              <w:insideV w:val="single" w:sz="8" w:space="0" w:color="000000"/>
            </w:tcBorders>
            <w:shd w:fill="auto" w:val="clear"/>
            <w:tcMar>
              <w:left w:w="65" w:type="dxa"/>
            </w:tcMar>
            <w:vAlign w:val="bottom"/>
          </w:tcPr>
          <w:p>
            <w:pPr>
              <w:pStyle w:val="Normal"/>
              <w:spacing w:lineRule="auto" w:line="240" w:before="0" w:after="0"/>
              <w:jc w:val="center"/>
              <w:rPr>
                <w:i w:val="false"/>
                <w:i w:val="false"/>
                <w:iCs w:val="false"/>
                <w:sz w:val="18"/>
                <w:szCs w:val="18"/>
              </w:rPr>
            </w:pPr>
            <w:r>
              <w:rPr>
                <w:i w:val="false"/>
                <w:iCs w:val="false"/>
                <w:sz w:val="18"/>
                <w:szCs w:val="18"/>
              </w:rPr>
              <w:t>66.22 %</w:t>
            </w:r>
          </w:p>
        </w:tc>
      </w:tr>
    </w:tbl>
    <w:p>
      <w:pPr>
        <w:pStyle w:val="Normal"/>
        <w:rPr/>
      </w:pPr>
      <w:r>
        <w:rPr/>
      </w:r>
    </w:p>
    <w:p>
      <w:pPr>
        <w:pStyle w:val="Citation"/>
        <w:rPr/>
      </w:pPr>
      <w:r>
        <w:rPr>
          <w:rStyle w:val="Emphasis"/>
          <w:rFonts w:cs="Calibri"/>
          <w:i w:val="false"/>
          <w:color w:val="000000"/>
          <w:sz w:val="22"/>
          <w:szCs w:val="22"/>
          <w:u w:val="single"/>
        </w:rPr>
        <w:t xml:space="preserve">D – Embauches / intérim. </w:t>
      </w:r>
    </w:p>
    <w:p>
      <w:pPr>
        <w:pStyle w:val="Normal"/>
        <w:spacing w:before="0" w:after="0"/>
        <w:jc w:val="both"/>
        <w:rPr/>
      </w:pPr>
      <w:r>
        <w:rPr>
          <w:rFonts w:cs="Arial"/>
          <w:i w:val="false"/>
          <w:szCs w:val="18"/>
        </w:rPr>
        <w:t>Au cours de l’exercice écoulé (01/10 au 30/09) notre effectif moyen mensuel d’intérimaire en ETP était de 50.</w:t>
      </w:r>
    </w:p>
    <w:p>
      <w:pPr>
        <w:pStyle w:val="Normal"/>
        <w:spacing w:before="0" w:after="0"/>
        <w:jc w:val="both"/>
        <w:rPr>
          <w:rFonts w:cs="Arial"/>
          <w:i w:val="false"/>
          <w:i w:val="false"/>
          <w:sz w:val="16"/>
          <w:szCs w:val="16"/>
        </w:rPr>
      </w:pPr>
      <w:r>
        <w:rPr>
          <w:rFonts w:cs="Arial"/>
          <w:i w:val="false"/>
          <w:sz w:val="16"/>
          <w:szCs w:val="16"/>
        </w:rPr>
      </w:r>
    </w:p>
    <w:p>
      <w:pPr>
        <w:pStyle w:val="Normal"/>
        <w:spacing w:before="0" w:after="0"/>
        <w:jc w:val="both"/>
        <w:rPr>
          <w:rFonts w:cs="Arial"/>
          <w:i w:val="false"/>
          <w:i w:val="false"/>
          <w:szCs w:val="18"/>
        </w:rPr>
      </w:pPr>
      <w:r>
        <w:rPr>
          <w:rFonts w:cs="Arial"/>
          <w:i w:val="false"/>
          <w:szCs w:val="18"/>
        </w:rPr>
        <w:t>Toutefois nous avons embauché, 8 collaborateurs intérimaires en CDI sur les postes suivants :</w:t>
      </w:r>
    </w:p>
    <w:p>
      <w:pPr>
        <w:pStyle w:val="Normal"/>
        <w:numPr>
          <w:ilvl w:val="0"/>
          <w:numId w:val="3"/>
        </w:numPr>
        <w:spacing w:lineRule="auto" w:line="240" w:before="0" w:after="0"/>
        <w:jc w:val="both"/>
        <w:rPr>
          <w:rFonts w:cs="Arial"/>
          <w:i w:val="false"/>
          <w:i w:val="false"/>
          <w:szCs w:val="18"/>
        </w:rPr>
      </w:pPr>
      <w:r>
        <w:rPr>
          <w:rFonts w:cs="Arial"/>
          <w:i w:val="false"/>
          <w:szCs w:val="18"/>
        </w:rPr>
        <w:t>1 Pontier</w:t>
      </w:r>
    </w:p>
    <w:p>
      <w:pPr>
        <w:pStyle w:val="Normal"/>
        <w:numPr>
          <w:ilvl w:val="0"/>
          <w:numId w:val="3"/>
        </w:numPr>
        <w:spacing w:lineRule="auto" w:line="240" w:before="0" w:after="0"/>
        <w:jc w:val="both"/>
        <w:rPr/>
      </w:pPr>
      <w:r>
        <w:rPr>
          <w:rFonts w:cs="Arial"/>
          <w:i w:val="false"/>
          <w:szCs w:val="18"/>
        </w:rPr>
        <w:t>1 Chef d’équipe</w:t>
      </w:r>
    </w:p>
    <w:p>
      <w:pPr>
        <w:pStyle w:val="Normal"/>
        <w:numPr>
          <w:ilvl w:val="0"/>
          <w:numId w:val="3"/>
        </w:numPr>
        <w:spacing w:lineRule="auto" w:line="240" w:before="0" w:after="0"/>
        <w:jc w:val="both"/>
        <w:rPr>
          <w:rFonts w:cs="Arial"/>
          <w:i w:val="false"/>
          <w:i w:val="false"/>
          <w:szCs w:val="18"/>
        </w:rPr>
      </w:pPr>
      <w:r>
        <w:rPr>
          <w:rFonts w:cs="Arial"/>
          <w:i w:val="false"/>
          <w:szCs w:val="18"/>
        </w:rPr>
        <w:t>3 Assembleurs/soudeurs</w:t>
      </w:r>
    </w:p>
    <w:p>
      <w:pPr>
        <w:pStyle w:val="Normal"/>
        <w:numPr>
          <w:ilvl w:val="0"/>
          <w:numId w:val="3"/>
        </w:numPr>
        <w:spacing w:lineRule="auto" w:line="240" w:before="0" w:after="0"/>
        <w:jc w:val="both"/>
        <w:rPr/>
      </w:pPr>
      <w:r>
        <w:rPr>
          <w:rFonts w:cs="Arial"/>
          <w:i w:val="false"/>
          <w:szCs w:val="18"/>
        </w:rPr>
        <w:t>1 Chargé de recouvrement</w:t>
      </w:r>
    </w:p>
    <w:p>
      <w:pPr>
        <w:pStyle w:val="Normal"/>
        <w:numPr>
          <w:ilvl w:val="0"/>
          <w:numId w:val="3"/>
        </w:numPr>
        <w:spacing w:lineRule="auto" w:line="240" w:before="0" w:after="0"/>
        <w:jc w:val="both"/>
        <w:rPr>
          <w:rFonts w:cs="Arial"/>
          <w:i w:val="false"/>
          <w:i w:val="false"/>
          <w:szCs w:val="18"/>
        </w:rPr>
      </w:pPr>
      <w:r>
        <w:rPr>
          <w:rFonts w:cs="Arial"/>
          <w:i w:val="false"/>
          <w:szCs w:val="18"/>
        </w:rPr>
        <w:t>1 Monteur</w:t>
      </w:r>
    </w:p>
    <w:p>
      <w:pPr>
        <w:pStyle w:val="Normal"/>
        <w:numPr>
          <w:ilvl w:val="0"/>
          <w:numId w:val="3"/>
        </w:numPr>
        <w:spacing w:lineRule="auto" w:line="240" w:before="0" w:after="0"/>
        <w:jc w:val="both"/>
        <w:rPr>
          <w:rFonts w:cs="Arial"/>
          <w:i w:val="false"/>
          <w:i w:val="false"/>
          <w:szCs w:val="18"/>
        </w:rPr>
      </w:pPr>
      <w:r>
        <w:rPr>
          <w:rFonts w:cs="Arial"/>
          <w:i w:val="false"/>
          <w:szCs w:val="18"/>
        </w:rPr>
        <w:t>1 Calculateur</w:t>
      </w:r>
    </w:p>
    <w:p>
      <w:pPr>
        <w:pStyle w:val="Normal"/>
        <w:spacing w:lineRule="auto" w:line="240" w:before="0" w:after="0"/>
        <w:jc w:val="both"/>
        <w:rPr>
          <w:rFonts w:cs="Arial"/>
          <w:i w:val="false"/>
          <w:i w:val="false"/>
          <w:szCs w:val="18"/>
        </w:rPr>
      </w:pPr>
      <w:r>
        <w:rPr>
          <w:rFonts w:cs="Arial"/>
          <w:i w:val="false"/>
          <w:szCs w:val="18"/>
        </w:rPr>
      </w:r>
    </w:p>
    <w:p>
      <w:pPr>
        <w:pStyle w:val="Normal"/>
        <w:spacing w:lineRule="auto" w:line="240" w:before="0" w:after="0"/>
        <w:jc w:val="both"/>
        <w:rPr/>
      </w:pPr>
      <w:r>
        <w:rPr>
          <w:rFonts w:cs="Arial"/>
          <w:i w:val="false"/>
          <w:u w:val="single"/>
        </w:rPr>
        <w:t>Répartition des embauches par âge du 01/10/18 au 30/09/19 (43 embauches).</w:t>
      </w:r>
    </w:p>
    <w:p>
      <w:pPr>
        <w:pStyle w:val="Normal"/>
        <w:spacing w:lineRule="auto" w:line="240" w:before="0" w:after="0"/>
        <w:jc w:val="both"/>
        <w:rPr>
          <w:rFonts w:cs="Arial"/>
          <w:i w:val="false"/>
          <w:i w:val="false"/>
          <w:u w:val="single"/>
        </w:rPr>
      </w:pPr>
      <w:r>
        <w:rPr>
          <w:rFonts w:cs="Arial"/>
          <w:i w:val="false"/>
          <w:u w:val="single"/>
        </w:rPr>
      </w:r>
    </w:p>
    <w:p>
      <w:pPr>
        <w:pStyle w:val="Normal"/>
        <w:numPr>
          <w:ilvl w:val="0"/>
          <w:numId w:val="8"/>
        </w:numPr>
        <w:spacing w:lineRule="auto" w:line="240" w:before="0" w:after="0"/>
        <w:jc w:val="both"/>
        <w:rPr>
          <w:rFonts w:cs="Arial"/>
          <w:i w:val="false"/>
          <w:i w:val="false"/>
        </w:rPr>
      </w:pPr>
      <w:r>
        <w:rPr>
          <w:rFonts w:cs="Arial"/>
          <w:i w:val="false"/>
        </w:rPr>
        <w:t>Inférieur ou égal à 30 ans = 18 (42%) dont 5 salariés en alternance.</w:t>
      </w:r>
    </w:p>
    <w:p>
      <w:pPr>
        <w:pStyle w:val="Normal"/>
        <w:numPr>
          <w:ilvl w:val="0"/>
          <w:numId w:val="8"/>
        </w:numPr>
        <w:spacing w:lineRule="auto" w:line="240" w:before="0" w:after="0"/>
        <w:jc w:val="both"/>
        <w:rPr/>
      </w:pPr>
      <w:r>
        <w:rPr>
          <w:rFonts w:cs="Arial"/>
          <w:i w:val="false"/>
        </w:rPr>
        <w:t>Entre 30 et 50 ans = 19 (44%)</w:t>
      </w:r>
    </w:p>
    <w:p>
      <w:pPr>
        <w:pStyle w:val="Normal"/>
        <w:numPr>
          <w:ilvl w:val="0"/>
          <w:numId w:val="8"/>
        </w:numPr>
        <w:spacing w:lineRule="auto" w:line="240" w:before="0" w:after="0"/>
        <w:jc w:val="both"/>
        <w:rPr/>
      </w:pPr>
      <w:r>
        <w:rPr>
          <w:rFonts w:cs="Arial"/>
          <w:i w:val="false"/>
        </w:rPr>
        <w:t>Plus de 50 ans = 6 (14%)</w:t>
      </w:r>
    </w:p>
    <w:p>
      <w:pPr>
        <w:pStyle w:val="Normal"/>
        <w:spacing w:lineRule="auto" w:line="240" w:before="0" w:after="0"/>
        <w:jc w:val="both"/>
        <w:rPr>
          <w:rFonts w:cs="Arial"/>
          <w:i w:val="false"/>
          <w:i w:val="false"/>
        </w:rPr>
      </w:pPr>
      <w:r>
        <w:rPr>
          <w:rFonts w:cs="Arial"/>
          <w:i w:val="false"/>
        </w:rPr>
      </w:r>
    </w:p>
    <w:p>
      <w:pPr>
        <w:pStyle w:val="Normal"/>
        <w:spacing w:lineRule="auto" w:line="240" w:before="0" w:after="0"/>
        <w:jc w:val="both"/>
        <w:rPr>
          <w:rFonts w:cs="Arial"/>
          <w:i w:val="false"/>
          <w:i w:val="false"/>
        </w:rPr>
      </w:pPr>
      <w:r>
        <w:rPr>
          <w:rFonts w:cs="Arial"/>
          <w:i w:val="false"/>
        </w:rPr>
        <w:t xml:space="preserve">L’alternance (11.6% de l’effectif des embauches) est un bon moyen pour former les salariés qui remplaceront à terme les futurs retraités. </w:t>
      </w:r>
    </w:p>
    <w:p>
      <w:pPr>
        <w:pStyle w:val="Normal"/>
        <w:spacing w:lineRule="auto" w:line="240" w:before="0" w:after="0"/>
        <w:jc w:val="both"/>
        <w:rPr>
          <w:rFonts w:cs="Arial"/>
          <w:i w:val="false"/>
          <w:i w:val="false"/>
        </w:rPr>
      </w:pPr>
      <w:r>
        <w:rPr>
          <w:rFonts w:cs="Arial"/>
          <w:i w:val="false"/>
          <w:szCs w:val="18"/>
        </w:rPr>
        <w:t>Nous embauchons également des séniors de plus de 50 ans. G</w:t>
      </w:r>
      <w:r>
        <w:rPr>
          <w:i w:val="false"/>
          <w:iCs w:val="false"/>
        </w:rPr>
        <w:t>râce à leur parcours diversifié (différents secteurs, entreprises et types de postes), les seniors ont la capacité de s’adapter à des problématiques très différentes les unes des autres. </w:t>
      </w:r>
      <w:r>
        <w:rPr>
          <w:rFonts w:cs="Arial"/>
          <w:i w:val="false"/>
        </w:rPr>
        <w:t xml:space="preserve"> Ils </w:t>
      </w:r>
      <w:r>
        <w:rPr>
          <w:i w:val="false"/>
          <w:iCs w:val="false"/>
        </w:rPr>
        <w:t>sont également des salariés stables, ils ont l’expérience et si l’entreprise et le projet plaît, ils peuvent s’engager sur les dix ans à venir. </w:t>
      </w:r>
    </w:p>
    <w:p>
      <w:pPr>
        <w:pStyle w:val="Normal"/>
        <w:spacing w:lineRule="auto" w:line="240" w:before="0" w:after="0"/>
        <w:jc w:val="both"/>
        <w:rPr>
          <w:rFonts w:cs="Arial"/>
          <w:i w:val="false"/>
          <w:i w:val="false"/>
          <w:szCs w:val="18"/>
        </w:rPr>
      </w:pPr>
      <w:r>
        <w:rPr>
          <w:rFonts w:cs="Arial"/>
          <w:i w:val="false"/>
          <w:szCs w:val="18"/>
        </w:rPr>
      </w:r>
    </w:p>
    <w:p>
      <w:pPr>
        <w:pStyle w:val="Normal"/>
        <w:spacing w:lineRule="auto" w:line="240" w:before="0" w:after="0"/>
        <w:jc w:val="both"/>
        <w:rPr>
          <w:rFonts w:cs="Arial"/>
          <w:i w:val="false"/>
          <w:i w:val="false"/>
          <w:szCs w:val="18"/>
        </w:rPr>
      </w:pPr>
      <w:r>
        <w:rPr>
          <w:rFonts w:cs="Arial"/>
          <w:i w:val="false"/>
          <w:szCs w:val="18"/>
        </w:rPr>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E – Indemnisation des déplacements. </w:t>
      </w:r>
    </w:p>
    <w:p>
      <w:pPr>
        <w:pStyle w:val="Sansinterligne"/>
        <w:rPr/>
      </w:pPr>
      <w:r>
        <w:rPr>
          <w:i w:val="false"/>
        </w:rPr>
        <w:t>Rappel de l’accord sur l’indemnisation des déplacements du service « montage » conclu le 30 juillet 2013 pour les salariés affectés à l’activité montage (monteur, bardeur, couvreur, chef d’équipe, chef de chantier).</w:t>
      </w:r>
    </w:p>
    <w:p>
      <w:pPr>
        <w:pStyle w:val="Sansinterligne"/>
        <w:rPr>
          <w:i w:val="false"/>
          <w:i w:val="false"/>
        </w:rPr>
      </w:pPr>
      <w:r>
        <w:rPr>
          <w:i w:val="false"/>
        </w:rPr>
      </w:r>
    </w:p>
    <w:p>
      <w:pPr>
        <w:pStyle w:val="Sansinterligne"/>
        <w:numPr>
          <w:ilvl w:val="0"/>
          <w:numId w:val="2"/>
        </w:numPr>
        <w:rPr>
          <w:i w:val="false"/>
          <w:i w:val="false"/>
        </w:rPr>
      </w:pPr>
      <w:r>
        <w:rPr>
          <w:i w:val="false"/>
        </w:rPr>
        <w:t xml:space="preserve">Indemnisation des </w:t>
      </w:r>
      <w:r>
        <w:rPr>
          <w:i w:val="false"/>
          <w:u w:val="single"/>
        </w:rPr>
        <w:t>petits déplacements</w:t>
      </w:r>
      <w:r>
        <w:rPr>
          <w:i w:val="false"/>
        </w:rPr>
        <w:t xml:space="preserve"> (distance aller-retour inférieure à 200km) versé sur le bulletin de salaire du mois concerné, conformément à la grille ci-dessous, ainsi qu’une indemnité forfaitaire de repas de </w:t>
      </w:r>
      <w:r>
        <w:rPr>
          <w:b/>
          <w:i w:val="false"/>
        </w:rPr>
        <w:t>10,25 €.</w:t>
      </w:r>
    </w:p>
    <w:p>
      <w:pPr>
        <w:pStyle w:val="Sansinterligne"/>
        <w:ind w:left="720" w:hanging="0"/>
        <w:rPr>
          <w:i w:val="false"/>
          <w:i w:val="false"/>
        </w:rPr>
      </w:pPr>
      <w:r>
        <w:rPr>
          <w:i w:val="false"/>
        </w:rPr>
      </w:r>
    </w:p>
    <w:p>
      <w:pPr>
        <w:pStyle w:val="Sansinterligne"/>
        <w:ind w:left="720" w:hanging="0"/>
        <w:rPr/>
      </w:pPr>
      <w:r>
        <w:rPr>
          <w:i w:val="false"/>
        </w:rPr>
        <w:t>Calcul de la distance selon formule ci-dessous (référence Michelin) ;</w:t>
      </w:r>
    </w:p>
    <w:p>
      <w:pPr>
        <w:pStyle w:val="Sansinterligne"/>
        <w:ind w:left="720" w:hanging="0"/>
        <w:rPr/>
      </w:pPr>
      <w:r>
        <w:rPr>
          <w:i w:val="false"/>
        </w:rPr>
        <w:t>Distance = établissement du lieu de rattachement du salarié au lieu de chantier. Trajet le plus court selon Michelin</w:t>
      </w:r>
    </w:p>
    <w:p>
      <w:pPr>
        <w:pStyle w:val="Sansinterligne"/>
        <w:ind w:left="720" w:hanging="0"/>
        <w:rPr>
          <w:i w:val="false"/>
          <w:i w:val="false"/>
        </w:rPr>
      </w:pPr>
      <w:r>
        <w:rPr>
          <w:i w:val="false"/>
        </w:rPr>
      </w:r>
    </w:p>
    <w:p>
      <w:pPr>
        <w:pStyle w:val="Sansinterligne"/>
        <w:ind w:left="720" w:hanging="0"/>
        <w:rPr>
          <w:i w:val="false"/>
          <w:i w:val="false"/>
        </w:rPr>
      </w:pPr>
      <w:r>
        <w:rPr>
          <w:lang w:val="en-GB" w:eastAsia="en-GB"/>
        </w:rPr>
        <w:drawing>
          <wp:inline distT="0" distB="0" distL="0" distR="0">
            <wp:extent cx="3131820" cy="3238500"/>
            <wp:effectExtent l="0" t="0" r="0" b="0"/>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
                    <pic:cNvPicPr>
                      <a:picLocks noChangeAspect="1" noChangeArrowheads="1"/>
                    </pic:cNvPicPr>
                  </pic:nvPicPr>
                  <pic:blipFill>
                    <a:blip r:embed="rId3"/>
                    <a:stretch>
                      <a:fillRect/>
                    </a:stretch>
                  </pic:blipFill>
                  <pic:spPr bwMode="auto">
                    <a:xfrm>
                      <a:off x="0" y="0"/>
                      <a:ext cx="3131820" cy="3238500"/>
                    </a:xfrm>
                    <a:prstGeom prst="rect">
                      <a:avLst/>
                    </a:prstGeom>
                  </pic:spPr>
                </pic:pic>
              </a:graphicData>
            </a:graphic>
          </wp:inline>
        </w:drawing>
      </w:r>
    </w:p>
    <w:p>
      <w:pPr>
        <w:pStyle w:val="Sansinterligne"/>
        <w:ind w:left="720" w:hanging="0"/>
        <w:rPr>
          <w:i w:val="false"/>
          <w:i w:val="false"/>
        </w:rPr>
      </w:pPr>
      <w:r>
        <w:rPr>
          <w:i w:val="false"/>
        </w:rPr>
      </w:r>
    </w:p>
    <w:p>
      <w:pPr>
        <w:pStyle w:val="Sansinterligne"/>
        <w:ind w:left="720" w:hanging="0"/>
        <w:rPr>
          <w:i w:val="false"/>
          <w:i w:val="false"/>
        </w:rPr>
      </w:pPr>
      <w:r>
        <w:rPr>
          <w:i w:val="false"/>
        </w:rPr>
      </w:r>
    </w:p>
    <w:p>
      <w:pPr>
        <w:pStyle w:val="Sansinterligne"/>
        <w:numPr>
          <w:ilvl w:val="0"/>
          <w:numId w:val="2"/>
        </w:numPr>
        <w:jc w:val="both"/>
        <w:rPr/>
      </w:pPr>
      <w:bookmarkStart w:id="2" w:name="_Hlk24298320"/>
      <w:r>
        <w:rPr>
          <w:i w:val="false"/>
        </w:rPr>
        <w:t xml:space="preserve">Indemnisation des </w:t>
      </w:r>
      <w:r>
        <w:rPr>
          <w:i w:val="false"/>
          <w:u w:val="single"/>
        </w:rPr>
        <w:t>grands déplacements</w:t>
      </w:r>
      <w:r>
        <w:rPr>
          <w:i w:val="false"/>
        </w:rPr>
        <w:t xml:space="preserve"> </w:t>
      </w:r>
      <w:bookmarkEnd w:id="2"/>
      <w:r>
        <w:rPr>
          <w:i w:val="false"/>
        </w:rPr>
        <w:t>(distance aller-retour supérieure à 200km ou plus de 2.5hr). Ce déplacement implique le logement sur place.</w:t>
      </w:r>
    </w:p>
    <w:p>
      <w:pPr>
        <w:pStyle w:val="Sansinterligne"/>
        <w:ind w:left="720" w:hanging="0"/>
        <w:jc w:val="both"/>
        <w:rPr/>
      </w:pPr>
      <w:r>
        <w:rPr>
          <w:i w:val="false"/>
        </w:rPr>
        <w:t>La contre - partie financière donne lieu au paiement :</w:t>
      </w:r>
    </w:p>
    <w:p>
      <w:pPr>
        <w:pStyle w:val="Sansinterligne"/>
        <w:numPr>
          <w:ilvl w:val="0"/>
          <w:numId w:val="4"/>
        </w:numPr>
        <w:jc w:val="both"/>
        <w:rPr/>
      </w:pPr>
      <w:r>
        <w:rPr>
          <w:i w:val="false"/>
        </w:rPr>
        <w:t xml:space="preserve">Une indemnité forfaitaire de grand déplacement de </w:t>
      </w:r>
      <w:r>
        <w:rPr>
          <w:b/>
          <w:i w:val="false"/>
        </w:rPr>
        <w:t>86,52 € net</w:t>
      </w:r>
      <w:r>
        <w:rPr>
          <w:i w:val="false"/>
        </w:rPr>
        <w:t xml:space="preserve"> par jour entier de déplacement incluant une nuit (logiciel Notilus)</w:t>
      </w:r>
    </w:p>
    <w:p>
      <w:pPr>
        <w:pStyle w:val="Sansinterligne"/>
        <w:numPr>
          <w:ilvl w:val="0"/>
          <w:numId w:val="4"/>
        </w:numPr>
        <w:jc w:val="both"/>
        <w:rPr/>
      </w:pPr>
      <w:r>
        <w:rPr>
          <w:i w:val="false"/>
        </w:rPr>
        <w:t xml:space="preserve">Une indemnité forfaitaire nette de </w:t>
      </w:r>
      <w:r>
        <w:rPr>
          <w:b/>
          <w:i w:val="false"/>
        </w:rPr>
        <w:t>16,23 €</w:t>
      </w:r>
      <w:r>
        <w:rPr>
          <w:i w:val="false"/>
        </w:rPr>
        <w:t xml:space="preserve"> le jour du retour (logiciel Notilus)</w:t>
      </w:r>
    </w:p>
    <w:p>
      <w:pPr>
        <w:pStyle w:val="Sansinterligne"/>
        <w:numPr>
          <w:ilvl w:val="0"/>
          <w:numId w:val="4"/>
        </w:numPr>
        <w:jc w:val="both"/>
        <w:rPr>
          <w:i w:val="false"/>
          <w:i w:val="false"/>
        </w:rPr>
      </w:pPr>
      <w:r>
        <w:rPr>
          <w:i w:val="false"/>
        </w:rPr>
        <w:t xml:space="preserve">Une indemnité forfaitaire de trajet/temps de voyage brute (soumis à cotisations) par aller/retour chantier / lieu de rattachement versé sur la paie du mois en cours de </w:t>
      </w:r>
      <w:r>
        <w:rPr>
          <w:b/>
          <w:i w:val="false"/>
        </w:rPr>
        <w:t>48.67€</w:t>
      </w:r>
      <w:r>
        <w:rPr>
          <w:i w:val="false"/>
        </w:rPr>
        <w:t xml:space="preserve">  </w:t>
      </w:r>
    </w:p>
    <w:p>
      <w:pPr>
        <w:pStyle w:val="Sansinterligne"/>
        <w:ind w:left="1800" w:hanging="0"/>
        <w:jc w:val="both"/>
        <w:rPr>
          <w:i w:val="false"/>
          <w:i w:val="false"/>
        </w:rPr>
      </w:pPr>
      <w:r>
        <w:rPr>
          <w:i w:val="false"/>
        </w:rPr>
      </w:r>
    </w:p>
    <w:p>
      <w:pPr>
        <w:pStyle w:val="Sansinterligne"/>
        <w:ind w:left="1800" w:hanging="0"/>
        <w:jc w:val="both"/>
        <w:rPr>
          <w:i w:val="false"/>
          <w:i w:val="false"/>
        </w:rPr>
      </w:pPr>
      <w:r>
        <w:rPr>
          <w:i w:val="false"/>
        </w:rPr>
      </w:r>
    </w:p>
    <w:p>
      <w:pPr>
        <w:pStyle w:val="Sansinterligne"/>
        <w:numPr>
          <w:ilvl w:val="0"/>
          <w:numId w:val="2"/>
        </w:numPr>
        <w:jc w:val="both"/>
        <w:rPr>
          <w:i w:val="false"/>
          <w:i w:val="false"/>
        </w:rPr>
      </w:pPr>
      <w:r>
        <w:rPr>
          <w:i w:val="false"/>
        </w:rPr>
        <w:t>Les autres salariés non couverts par l’accord en vigueur, sont remboursés aux frais réels dans la limite du plafond Urssaf.</w:t>
      </w:r>
    </w:p>
    <w:p>
      <w:pPr>
        <w:pStyle w:val="Normal"/>
        <w:jc w:val="both"/>
        <w:rPr>
          <w:rFonts w:cs="Arial"/>
          <w:i w:val="false"/>
          <w:i w:val="false"/>
          <w:sz w:val="18"/>
          <w:szCs w:val="18"/>
        </w:rPr>
      </w:pPr>
      <w:r>
        <w:rPr>
          <w:rFonts w:cs="Arial"/>
          <w:i w:val="false"/>
          <w:sz w:val="18"/>
          <w:szCs w:val="18"/>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4 – Durée du travail et organisation : </w:t>
      </w:r>
    </w:p>
    <w:p>
      <w:pPr>
        <w:pStyle w:val="Normal"/>
        <w:numPr>
          <w:ilvl w:val="0"/>
          <w:numId w:val="5"/>
        </w:numPr>
        <w:spacing w:lineRule="auto" w:line="276" w:before="200" w:after="200"/>
        <w:rPr/>
      </w:pPr>
      <w:r>
        <w:rPr>
          <w:i w:val="false"/>
          <w:iCs w:val="false"/>
          <w:sz w:val="24"/>
          <w:szCs w:val="24"/>
          <w:u w:val="single"/>
        </w:rPr>
        <w:t>Rappel de l’accord sur le temps de travail conclu le 13 juin 2013</w:t>
      </w:r>
    </w:p>
    <w:p>
      <w:pPr>
        <w:pStyle w:val="Normal"/>
        <w:spacing w:lineRule="auto" w:line="276" w:before="200" w:after="200"/>
        <w:ind w:left="360" w:hanging="0"/>
        <w:rPr>
          <w:i w:val="false"/>
          <w:i w:val="false"/>
          <w:iCs w:val="false"/>
          <w:sz w:val="24"/>
          <w:szCs w:val="24"/>
          <w:u w:val="single"/>
        </w:rPr>
      </w:pPr>
      <w:r>
        <w:rPr>
          <w:lang w:val="en-GB" w:eastAsia="en-GB"/>
        </w:rPr>
        <w:drawing>
          <wp:inline distT="0" distB="0" distL="0" distR="0">
            <wp:extent cx="5200650" cy="822960"/>
            <wp:effectExtent l="0" t="0" r="0" b="0"/>
            <wp:docPr id="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
                    <pic:cNvPicPr>
                      <a:picLocks noChangeAspect="1" noChangeArrowheads="1"/>
                    </pic:cNvPicPr>
                  </pic:nvPicPr>
                  <pic:blipFill>
                    <a:blip r:embed="rId4"/>
                    <a:stretch>
                      <a:fillRect/>
                    </a:stretch>
                  </pic:blipFill>
                  <pic:spPr bwMode="auto">
                    <a:xfrm>
                      <a:off x="0" y="0"/>
                      <a:ext cx="5200650" cy="822960"/>
                    </a:xfrm>
                    <a:prstGeom prst="rect">
                      <a:avLst/>
                    </a:prstGeom>
                  </pic:spPr>
                </pic:pic>
              </a:graphicData>
            </a:graphic>
          </wp:inline>
        </w:drawing>
      </w:r>
    </w:p>
    <w:p>
      <w:pPr>
        <w:pStyle w:val="Normal"/>
        <w:numPr>
          <w:ilvl w:val="0"/>
          <w:numId w:val="5"/>
        </w:numPr>
        <w:spacing w:lineRule="auto" w:line="276" w:before="200" w:after="200"/>
        <w:rPr>
          <w:i w:val="false"/>
          <w:i w:val="false"/>
          <w:iCs w:val="false"/>
          <w:sz w:val="24"/>
          <w:szCs w:val="24"/>
          <w:u w:val="single"/>
        </w:rPr>
      </w:pPr>
      <w:r>
        <w:rPr>
          <w:i w:val="false"/>
          <w:iCs w:val="false"/>
          <w:sz w:val="24"/>
          <w:szCs w:val="24"/>
          <w:u w:val="single"/>
        </w:rPr>
        <w:t>Ets de Fleurance</w:t>
      </w:r>
    </w:p>
    <w:tbl>
      <w:tblPr>
        <w:tblW w:w="8267"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731"/>
        <w:gridCol w:w="1313"/>
        <w:gridCol w:w="1537"/>
        <w:gridCol w:w="3686"/>
      </w:tblGrid>
      <w:tr>
        <w:trPr>
          <w:trHeight w:val="431"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8"/>
                <w:szCs w:val="18"/>
              </w:rPr>
            </w:pPr>
            <w:r>
              <w:rPr>
                <w:b/>
                <w:i w:val="false"/>
                <w:iCs w:val="false"/>
                <w:sz w:val="18"/>
                <w:szCs w:val="18"/>
              </w:rPr>
              <w:t>Catégorie</w:t>
            </w:r>
          </w:p>
        </w:tc>
        <w:tc>
          <w:tcPr>
            <w:tcW w:w="1313"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b/>
                <w:b/>
                <w:i w:val="false"/>
                <w:i w:val="false"/>
                <w:iCs w:val="false"/>
                <w:sz w:val="18"/>
                <w:szCs w:val="18"/>
              </w:rPr>
            </w:pPr>
            <w:r>
              <w:rPr>
                <w:b/>
                <w:i w:val="false"/>
                <w:iCs w:val="false"/>
                <w:sz w:val="18"/>
                <w:szCs w:val="18"/>
              </w:rPr>
              <w:t>Horaire Hebdo</w:t>
            </w:r>
          </w:p>
        </w:tc>
        <w:tc>
          <w:tcPr>
            <w:tcW w:w="1537"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pPr>
            <w:r>
              <w:rPr>
                <w:b/>
                <w:i w:val="false"/>
                <w:iCs w:val="false"/>
                <w:sz w:val="18"/>
                <w:szCs w:val="18"/>
              </w:rPr>
              <w:t>Horaire annualisé</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8CCE4" w:val="clear"/>
            <w:tcMar>
              <w:left w:w="103" w:type="dxa"/>
            </w:tcMar>
          </w:tcPr>
          <w:p>
            <w:pPr>
              <w:pStyle w:val="Normal"/>
              <w:spacing w:lineRule="auto" w:line="276" w:before="200" w:after="200"/>
              <w:jc w:val="center"/>
              <w:rPr/>
            </w:pPr>
            <w:r>
              <w:rPr>
                <w:b/>
                <w:i w:val="false"/>
                <w:iCs w:val="false"/>
                <w:sz w:val="18"/>
                <w:szCs w:val="18"/>
              </w:rPr>
              <w:t>Observations</w:t>
            </w:r>
          </w:p>
        </w:tc>
      </w:tr>
      <w:tr>
        <w:trPr>
          <w:trHeight w:val="441"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pPr>
            <w:r>
              <w:rPr>
                <w:b/>
                <w:i w:val="false"/>
                <w:iCs w:val="false"/>
                <w:sz w:val="18"/>
                <w:szCs w:val="18"/>
              </w:rPr>
              <w:t>OUVRIERS</w:t>
            </w:r>
          </w:p>
        </w:tc>
        <w:tc>
          <w:tcPr>
            <w:tcW w:w="131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35h50</w:t>
            </w:r>
          </w:p>
        </w:tc>
        <w:tc>
          <w:tcPr>
            <w:tcW w:w="1537"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1 607</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pPr>
            <w:r>
              <w:rPr>
                <w:i w:val="false"/>
                <w:iCs w:val="false"/>
                <w:sz w:val="18"/>
                <w:szCs w:val="18"/>
              </w:rPr>
              <w:t>Dont 3 jours de ponts et 1 journée de solidarité</w:t>
            </w:r>
          </w:p>
        </w:tc>
      </w:tr>
      <w:tr>
        <w:trPr>
          <w:trHeight w:val="493"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8"/>
                <w:szCs w:val="18"/>
              </w:rPr>
            </w:pPr>
            <w:r>
              <w:rPr>
                <w:b/>
                <w:i w:val="false"/>
                <w:iCs w:val="false"/>
                <w:sz w:val="18"/>
                <w:szCs w:val="18"/>
              </w:rPr>
              <w:t>ETAMS</w:t>
            </w:r>
          </w:p>
        </w:tc>
        <w:tc>
          <w:tcPr>
            <w:tcW w:w="131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35h50</w:t>
            </w:r>
          </w:p>
        </w:tc>
        <w:tc>
          <w:tcPr>
            <w:tcW w:w="1537"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1 607</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Dont 3 jours de ponts et 1 journée de solidarité</w:t>
            </w:r>
          </w:p>
        </w:tc>
      </w:tr>
      <w:tr>
        <w:trPr>
          <w:trHeight w:val="568"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8"/>
                <w:szCs w:val="18"/>
              </w:rPr>
            </w:pPr>
            <w:r>
              <w:rPr>
                <w:b/>
                <w:i w:val="false"/>
                <w:iCs w:val="false"/>
                <w:sz w:val="18"/>
                <w:szCs w:val="18"/>
              </w:rPr>
              <w:t>CADRES EN FORFAIT</w:t>
            </w:r>
          </w:p>
        </w:tc>
        <w:tc>
          <w:tcPr>
            <w:tcW w:w="1313"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spacing w:lineRule="auto" w:line="276" w:before="200" w:after="200"/>
              <w:jc w:val="center"/>
              <w:rPr>
                <w:b/>
                <w:b/>
                <w:i w:val="false"/>
                <w:i w:val="false"/>
                <w:iCs w:val="false"/>
                <w:sz w:val="18"/>
                <w:szCs w:val="18"/>
              </w:rPr>
            </w:pPr>
            <w:r>
              <w:rPr>
                <w:b/>
                <w:i w:val="false"/>
                <w:iCs w:val="false"/>
                <w:sz w:val="18"/>
                <w:szCs w:val="18"/>
              </w:rPr>
            </w:r>
          </w:p>
        </w:tc>
        <w:tc>
          <w:tcPr>
            <w:tcW w:w="1537"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215 et 227 jours</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pPr>
            <w:r>
              <w:rPr>
                <w:i w:val="false"/>
                <w:iCs w:val="false"/>
                <w:sz w:val="18"/>
                <w:szCs w:val="18"/>
              </w:rPr>
              <w:t>Dont 1 journée de solidarité</w:t>
            </w:r>
          </w:p>
        </w:tc>
      </w:tr>
    </w:tbl>
    <w:p>
      <w:pPr>
        <w:pStyle w:val="Normal"/>
        <w:spacing w:lineRule="auto" w:line="276" w:before="200" w:after="200"/>
        <w:ind w:left="567" w:hanging="0"/>
        <w:rPr>
          <w:i w:val="false"/>
          <w:i w:val="false"/>
          <w:iCs w:val="false"/>
          <w:sz w:val="24"/>
          <w:szCs w:val="24"/>
          <w:u w:val="single"/>
        </w:rPr>
      </w:pPr>
      <w:r>
        <w:rPr>
          <w:i w:val="false"/>
          <w:iCs w:val="false"/>
          <w:sz w:val="24"/>
          <w:szCs w:val="24"/>
          <w:u w:val="single"/>
        </w:rPr>
      </w:r>
    </w:p>
    <w:p>
      <w:pPr>
        <w:pStyle w:val="Normal"/>
        <w:spacing w:lineRule="auto" w:line="276" w:before="200" w:after="200"/>
        <w:ind w:left="927" w:hanging="0"/>
        <w:rPr>
          <w:i w:val="false"/>
          <w:i w:val="false"/>
          <w:iCs w:val="false"/>
          <w:sz w:val="24"/>
          <w:szCs w:val="24"/>
          <w:u w:val="single"/>
        </w:rPr>
      </w:pPr>
      <w:r>
        <w:rPr>
          <w:i w:val="false"/>
          <w:iCs w:val="false"/>
          <w:sz w:val="24"/>
          <w:szCs w:val="24"/>
          <w:u w:val="single"/>
        </w:rPr>
      </w:r>
    </w:p>
    <w:p>
      <w:pPr>
        <w:pStyle w:val="Normal"/>
        <w:numPr>
          <w:ilvl w:val="0"/>
          <w:numId w:val="5"/>
        </w:numPr>
        <w:spacing w:lineRule="auto" w:line="276" w:before="200" w:after="200"/>
        <w:rPr>
          <w:i w:val="false"/>
          <w:i w:val="false"/>
          <w:iCs w:val="false"/>
          <w:sz w:val="24"/>
          <w:szCs w:val="24"/>
          <w:u w:val="single"/>
        </w:rPr>
      </w:pPr>
      <w:r>
        <w:rPr>
          <w:i w:val="false"/>
          <w:iCs w:val="false"/>
          <w:sz w:val="24"/>
          <w:szCs w:val="24"/>
          <w:u w:val="single"/>
        </w:rPr>
        <w:t>Ets de Monteils</w:t>
      </w:r>
    </w:p>
    <w:tbl>
      <w:tblPr>
        <w:tblW w:w="8267"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731"/>
        <w:gridCol w:w="1313"/>
        <w:gridCol w:w="1537"/>
        <w:gridCol w:w="3686"/>
      </w:tblGrid>
      <w:tr>
        <w:trPr>
          <w:trHeight w:val="446"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8"/>
                <w:szCs w:val="18"/>
              </w:rPr>
            </w:pPr>
            <w:r>
              <w:rPr>
                <w:b/>
                <w:i w:val="false"/>
                <w:iCs w:val="false"/>
                <w:sz w:val="18"/>
                <w:szCs w:val="18"/>
              </w:rPr>
              <w:t>Catégorie</w:t>
            </w:r>
          </w:p>
        </w:tc>
        <w:tc>
          <w:tcPr>
            <w:tcW w:w="1313"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pPr>
            <w:r>
              <w:rPr>
                <w:b/>
                <w:i w:val="false"/>
                <w:iCs w:val="false"/>
                <w:sz w:val="18"/>
                <w:szCs w:val="18"/>
              </w:rPr>
              <w:t>Horaire Hebdo</w:t>
            </w:r>
          </w:p>
        </w:tc>
        <w:tc>
          <w:tcPr>
            <w:tcW w:w="1537"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jc w:val="center"/>
              <w:rPr/>
            </w:pPr>
            <w:r>
              <w:rPr>
                <w:b/>
                <w:i w:val="false"/>
                <w:iCs w:val="false"/>
                <w:sz w:val="18"/>
                <w:szCs w:val="18"/>
              </w:rPr>
              <w:t>Horaire annualisé</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8CCE4" w:val="clear"/>
            <w:tcMar>
              <w:left w:w="103" w:type="dxa"/>
            </w:tcMar>
          </w:tcPr>
          <w:p>
            <w:pPr>
              <w:pStyle w:val="Normal"/>
              <w:spacing w:lineRule="auto" w:line="276" w:before="200" w:after="200"/>
              <w:jc w:val="center"/>
              <w:rPr>
                <w:b/>
                <w:b/>
                <w:i w:val="false"/>
                <w:i w:val="false"/>
                <w:iCs w:val="false"/>
                <w:sz w:val="18"/>
                <w:szCs w:val="18"/>
              </w:rPr>
            </w:pPr>
            <w:r>
              <w:rPr>
                <w:b/>
                <w:i w:val="false"/>
                <w:iCs w:val="false"/>
                <w:sz w:val="18"/>
                <w:szCs w:val="18"/>
              </w:rPr>
              <w:t>Observations</w:t>
            </w:r>
          </w:p>
        </w:tc>
      </w:tr>
      <w:tr>
        <w:trPr>
          <w:trHeight w:val="517"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8"/>
                <w:szCs w:val="18"/>
              </w:rPr>
            </w:pPr>
            <w:r>
              <w:rPr>
                <w:b/>
                <w:i w:val="false"/>
                <w:iCs w:val="false"/>
                <w:sz w:val="18"/>
                <w:szCs w:val="18"/>
              </w:rPr>
              <w:t>OUVRIERS</w:t>
            </w:r>
          </w:p>
        </w:tc>
        <w:tc>
          <w:tcPr>
            <w:tcW w:w="131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38h50</w:t>
            </w:r>
          </w:p>
        </w:tc>
        <w:tc>
          <w:tcPr>
            <w:tcW w:w="1537"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1 745</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Dont 3 jours de ponts et 1 journée de solidarité</w:t>
            </w:r>
          </w:p>
        </w:tc>
      </w:tr>
      <w:tr>
        <w:trPr>
          <w:trHeight w:val="555"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b/>
                <w:b/>
                <w:i w:val="false"/>
                <w:i w:val="false"/>
                <w:iCs w:val="false"/>
                <w:sz w:val="18"/>
                <w:szCs w:val="18"/>
              </w:rPr>
            </w:pPr>
            <w:r>
              <w:rPr>
                <w:b/>
                <w:i w:val="false"/>
                <w:iCs w:val="false"/>
                <w:sz w:val="18"/>
                <w:szCs w:val="18"/>
              </w:rPr>
              <w:t>ETAMS</w:t>
            </w:r>
          </w:p>
        </w:tc>
        <w:tc>
          <w:tcPr>
            <w:tcW w:w="1313"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38h50</w:t>
            </w:r>
          </w:p>
        </w:tc>
        <w:tc>
          <w:tcPr>
            <w:tcW w:w="1537"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1 745</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pPr>
            <w:r>
              <w:rPr>
                <w:i w:val="false"/>
                <w:iCs w:val="false"/>
                <w:sz w:val="18"/>
                <w:szCs w:val="18"/>
              </w:rPr>
              <w:t>Dont 3 jours de ponts et 1 journée de solidarité</w:t>
            </w:r>
          </w:p>
        </w:tc>
      </w:tr>
      <w:tr>
        <w:trPr>
          <w:trHeight w:val="503" w:hRule="atLeast"/>
        </w:trPr>
        <w:tc>
          <w:tcPr>
            <w:tcW w:w="1731" w:type="dxa"/>
            <w:tcBorders>
              <w:top w:val="single" w:sz="4" w:space="0" w:color="000000"/>
              <w:left w:val="single" w:sz="4" w:space="0" w:color="000000"/>
              <w:bottom w:val="single" w:sz="4" w:space="0" w:color="000000"/>
              <w:insideH w:val="single" w:sz="4" w:space="0" w:color="000000"/>
            </w:tcBorders>
            <w:shd w:fill="B8CCE4" w:val="clear"/>
            <w:tcMar>
              <w:left w:w="103" w:type="dxa"/>
            </w:tcMar>
          </w:tcPr>
          <w:p>
            <w:pPr>
              <w:pStyle w:val="Normal"/>
              <w:spacing w:lineRule="auto" w:line="276" w:before="200" w:after="200"/>
              <w:rPr/>
            </w:pPr>
            <w:r>
              <w:rPr>
                <w:b/>
                <w:i w:val="false"/>
                <w:iCs w:val="false"/>
                <w:sz w:val="18"/>
                <w:szCs w:val="18"/>
              </w:rPr>
              <w:t>CADRES EN FORFAIT</w:t>
            </w:r>
          </w:p>
        </w:tc>
        <w:tc>
          <w:tcPr>
            <w:tcW w:w="1313"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spacing w:lineRule="auto" w:line="276" w:before="200" w:after="200"/>
              <w:jc w:val="center"/>
              <w:rPr>
                <w:b/>
                <w:b/>
                <w:i w:val="false"/>
                <w:i w:val="false"/>
                <w:iCs w:val="false"/>
                <w:sz w:val="18"/>
                <w:szCs w:val="18"/>
              </w:rPr>
            </w:pPr>
            <w:r>
              <w:rPr>
                <w:b/>
                <w:i w:val="false"/>
                <w:iCs w:val="false"/>
                <w:sz w:val="18"/>
                <w:szCs w:val="18"/>
              </w:rPr>
            </w:r>
          </w:p>
        </w:tc>
        <w:tc>
          <w:tcPr>
            <w:tcW w:w="1537"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pacing w:lineRule="auto" w:line="276" w:before="200" w:after="200"/>
              <w:jc w:val="center"/>
              <w:rPr/>
            </w:pPr>
            <w:r>
              <w:rPr>
                <w:i w:val="false"/>
                <w:iCs w:val="false"/>
                <w:sz w:val="18"/>
                <w:szCs w:val="18"/>
              </w:rPr>
              <w:t>215 et 227 jours</w:t>
            </w:r>
          </w:p>
        </w:tc>
        <w:tc>
          <w:tcPr>
            <w:tcW w:w="36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pacing w:lineRule="auto" w:line="276" w:before="200" w:after="200"/>
              <w:jc w:val="center"/>
              <w:rPr>
                <w:i w:val="false"/>
                <w:i w:val="false"/>
                <w:iCs w:val="false"/>
                <w:sz w:val="18"/>
                <w:szCs w:val="18"/>
              </w:rPr>
            </w:pPr>
            <w:r>
              <w:rPr>
                <w:i w:val="false"/>
                <w:iCs w:val="false"/>
                <w:sz w:val="18"/>
                <w:szCs w:val="18"/>
              </w:rPr>
              <w:t>Dont 1 journée de solidarité</w:t>
            </w:r>
          </w:p>
        </w:tc>
      </w:tr>
    </w:tbl>
    <w:p>
      <w:pPr>
        <w:pStyle w:val="Normal"/>
        <w:jc w:val="both"/>
        <w:rPr>
          <w:rFonts w:cs="Arial"/>
          <w:i w:val="false"/>
          <w:i w:val="false"/>
          <w:sz w:val="18"/>
          <w:szCs w:val="18"/>
        </w:rPr>
      </w:pPr>
      <w:r>
        <w:rPr>
          <w:rFonts w:cs="Arial"/>
          <w:i w:val="false"/>
          <w:sz w:val="18"/>
          <w:szCs w:val="18"/>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5 – Egalité H/F : </w:t>
      </w:r>
    </w:p>
    <w:p>
      <w:pPr>
        <w:pStyle w:val="Citation"/>
        <w:rPr/>
      </w:pPr>
      <w:r>
        <w:rPr>
          <w:rStyle w:val="Emphasis"/>
          <w:rFonts w:cs="Calibri"/>
          <w:i w:val="false"/>
          <w:color w:val="000000"/>
          <w:sz w:val="22"/>
          <w:szCs w:val="22"/>
          <w:u w:val="single"/>
        </w:rPr>
        <w:t xml:space="preserve">A – Entrées /sorties par catégorie et sexe. </w:t>
      </w:r>
    </w:p>
    <w:tbl>
      <w:tblPr>
        <w:tblW w:w="9990" w:type="dxa"/>
        <w:jc w:val="left"/>
        <w:tblInd w:w="70" w:type="dxa"/>
        <w:tblBorders>
          <w:bottom w:val="single" w:sz="4" w:space="0" w:color="000000"/>
          <w:insideH w:val="single" w:sz="4" w:space="0" w:color="000000"/>
        </w:tblBorders>
        <w:tblCellMar>
          <w:top w:w="0" w:type="dxa"/>
          <w:left w:w="70" w:type="dxa"/>
          <w:bottom w:w="0" w:type="dxa"/>
          <w:right w:w="70" w:type="dxa"/>
        </w:tblCellMar>
      </w:tblPr>
      <w:tblGrid>
        <w:gridCol w:w="1365"/>
        <w:gridCol w:w="888"/>
        <w:gridCol w:w="938"/>
        <w:gridCol w:w="1366"/>
        <w:gridCol w:w="460"/>
        <w:gridCol w:w="1487"/>
        <w:gridCol w:w="967"/>
        <w:gridCol w:w="1022"/>
        <w:gridCol w:w="1497"/>
      </w:tblGrid>
      <w:tr>
        <w:trPr>
          <w:trHeight w:val="240" w:hRule="atLeast"/>
        </w:trPr>
        <w:tc>
          <w:tcPr>
            <w:tcW w:w="4557" w:type="dxa"/>
            <w:gridSpan w:val="4"/>
            <w:tcBorders>
              <w:bottom w:val="single" w:sz="4" w:space="0" w:color="000000"/>
              <w:insideH w:val="single" w:sz="4" w:space="0" w:color="000000"/>
            </w:tcBorders>
            <w:shd w:fill="95B3D7" w:val="cle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ENTREES du 01/10/18 au 30/09/19</w:t>
            </w:r>
          </w:p>
        </w:tc>
        <w:tc>
          <w:tcPr>
            <w:tcW w:w="460" w:type="dxa"/>
            <w:tcBorders/>
            <w:shd w:fill="auto" w:val="clear"/>
            <w:vAlign w:val="bottom"/>
          </w:tcPr>
          <w:p>
            <w:pPr>
              <w:pStyle w:val="Normal"/>
              <w:snapToGrid w:val="false"/>
              <w:spacing w:lineRule="auto" w:line="240" w:before="0" w:after="0"/>
              <w:jc w:val="center"/>
              <w:rPr>
                <w:b/>
                <w:b/>
                <w:bCs/>
                <w:i w:val="false"/>
                <w:i w:val="false"/>
                <w:iCs w:val="false"/>
                <w:color w:val="000000"/>
                <w:sz w:val="18"/>
                <w:szCs w:val="18"/>
              </w:rPr>
            </w:pPr>
            <w:r>
              <w:rPr>
                <w:b/>
                <w:bCs/>
                <w:i w:val="false"/>
                <w:iCs w:val="false"/>
                <w:color w:val="000000"/>
                <w:sz w:val="18"/>
                <w:szCs w:val="18"/>
              </w:rPr>
            </w:r>
          </w:p>
        </w:tc>
        <w:tc>
          <w:tcPr>
            <w:tcW w:w="4973"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SORTIES du 01/10/18 au 30/09/19</w:t>
            </w:r>
          </w:p>
        </w:tc>
      </w:tr>
      <w:tr>
        <w:trPr>
          <w:trHeight w:val="240" w:hRule="atLeast"/>
        </w:trPr>
        <w:tc>
          <w:tcPr>
            <w:tcW w:w="1365" w:type="dxa"/>
            <w:tcBorders>
              <w:top w:val="single" w:sz="4" w:space="0" w:color="000000"/>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Catégorie</w:t>
            </w:r>
          </w:p>
        </w:tc>
        <w:tc>
          <w:tcPr>
            <w:tcW w:w="888" w:type="dxa"/>
            <w:tcBorders>
              <w:top w:val="single" w:sz="4" w:space="0" w:color="000000"/>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Femmes</w:t>
            </w:r>
          </w:p>
        </w:tc>
        <w:tc>
          <w:tcPr>
            <w:tcW w:w="938" w:type="dxa"/>
            <w:tcBorders>
              <w:top w:val="single" w:sz="4" w:space="0" w:color="000000"/>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Hommes</w:t>
            </w:r>
          </w:p>
        </w:tc>
        <w:tc>
          <w:tcPr>
            <w:tcW w:w="1366" w:type="dxa"/>
            <w:tcBorders>
              <w:top w:val="single" w:sz="4" w:space="0" w:color="000000"/>
              <w:left w:val="single" w:sz="4" w:space="0" w:color="000000"/>
              <w:bottom w:val="single" w:sz="4" w:space="0" w:color="000000"/>
              <w:insideH w:val="single" w:sz="4" w:space="0" w:color="000000"/>
            </w:tcBorders>
            <w:shd w:fill="95B3D7"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Total général</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8"/>
                <w:szCs w:val="18"/>
              </w:rPr>
            </w:pPr>
            <w:r>
              <w:rPr>
                <w:b/>
                <w:bCs/>
                <w:i w:val="false"/>
                <w:iCs w:val="false"/>
                <w:color w:val="000000"/>
                <w:sz w:val="18"/>
                <w:szCs w:val="18"/>
              </w:rPr>
            </w:r>
          </w:p>
        </w:tc>
        <w:tc>
          <w:tcPr>
            <w:tcW w:w="1487"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Catégorie</w:t>
            </w:r>
          </w:p>
        </w:tc>
        <w:tc>
          <w:tcPr>
            <w:tcW w:w="967"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Femmes</w:t>
            </w:r>
          </w:p>
        </w:tc>
        <w:tc>
          <w:tcPr>
            <w:tcW w:w="1022"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Hommes</w:t>
            </w:r>
          </w:p>
        </w:tc>
        <w:tc>
          <w:tcPr>
            <w:tcW w:w="14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Total général</w:t>
            </w:r>
          </w:p>
        </w:tc>
      </w:tr>
      <w:tr>
        <w:trPr>
          <w:trHeight w:val="240" w:hRule="atLeast"/>
        </w:trPr>
        <w:tc>
          <w:tcPr>
            <w:tcW w:w="1365"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APP</w:t>
            </w:r>
          </w:p>
        </w:tc>
        <w:tc>
          <w:tcPr>
            <w:tcW w:w="88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w:t>
            </w:r>
          </w:p>
        </w:tc>
        <w:tc>
          <w:tcPr>
            <w:tcW w:w="93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4</w:t>
            </w:r>
          </w:p>
        </w:tc>
        <w:tc>
          <w:tcPr>
            <w:tcW w:w="1366"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5</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8"/>
                <w:szCs w:val="18"/>
              </w:rPr>
            </w:pPr>
            <w:r>
              <w:rPr>
                <w:b/>
                <w:bCs/>
                <w:i w:val="false"/>
                <w:iCs w:val="false"/>
                <w:color w:val="000000"/>
                <w:sz w:val="18"/>
                <w:szCs w:val="18"/>
              </w:rPr>
            </w:r>
          </w:p>
        </w:tc>
        <w:tc>
          <w:tcPr>
            <w:tcW w:w="148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APP</w:t>
            </w:r>
          </w:p>
        </w:tc>
        <w:tc>
          <w:tcPr>
            <w:tcW w:w="96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w:t>
            </w:r>
          </w:p>
        </w:tc>
        <w:tc>
          <w:tcPr>
            <w:tcW w:w="1022"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2</w:t>
            </w:r>
          </w:p>
        </w:tc>
        <w:tc>
          <w:tcPr>
            <w:tcW w:w="14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3</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(vide)</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4</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5</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(vide)</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w:t>
            </w:r>
          </w:p>
        </w:tc>
      </w:tr>
      <w:tr>
        <w:trPr>
          <w:trHeight w:val="240" w:hRule="atLeast"/>
        </w:trPr>
        <w:tc>
          <w:tcPr>
            <w:tcW w:w="1365"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Cadre</w:t>
            </w:r>
          </w:p>
        </w:tc>
        <w:tc>
          <w:tcPr>
            <w:tcW w:w="88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 </w:t>
            </w:r>
          </w:p>
        </w:tc>
        <w:tc>
          <w:tcPr>
            <w:tcW w:w="93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17</w:t>
            </w:r>
          </w:p>
        </w:tc>
        <w:tc>
          <w:tcPr>
            <w:tcW w:w="1366"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17</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8"/>
                <w:szCs w:val="18"/>
              </w:rPr>
            </w:pPr>
            <w:r>
              <w:rPr>
                <w:b/>
                <w:bCs/>
                <w:i w:val="false"/>
                <w:iCs w:val="false"/>
                <w:color w:val="000000"/>
                <w:sz w:val="18"/>
                <w:szCs w:val="18"/>
              </w:rPr>
            </w:r>
          </w:p>
        </w:tc>
        <w:tc>
          <w:tcPr>
            <w:tcW w:w="148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Cadre</w:t>
            </w:r>
          </w:p>
        </w:tc>
        <w:tc>
          <w:tcPr>
            <w:tcW w:w="96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 </w:t>
            </w:r>
          </w:p>
        </w:tc>
        <w:tc>
          <w:tcPr>
            <w:tcW w:w="1022"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6</w:t>
            </w:r>
          </w:p>
        </w:tc>
        <w:tc>
          <w:tcPr>
            <w:tcW w:w="14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6</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92</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5</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5</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100</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100</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6</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6</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108</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103</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114</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108</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135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114</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155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120</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Etam</w:t>
            </w:r>
          </w:p>
        </w:tc>
        <w:tc>
          <w:tcPr>
            <w:tcW w:w="96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w:t>
            </w:r>
          </w:p>
        </w:tc>
        <w:tc>
          <w:tcPr>
            <w:tcW w:w="1022"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7</w:t>
            </w:r>
          </w:p>
        </w:tc>
        <w:tc>
          <w:tcPr>
            <w:tcW w:w="14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8</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130</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255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Etam</w:t>
            </w:r>
          </w:p>
        </w:tc>
        <w:tc>
          <w:tcPr>
            <w:tcW w:w="88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4</w:t>
            </w:r>
          </w:p>
        </w:tc>
        <w:tc>
          <w:tcPr>
            <w:tcW w:w="93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12</w:t>
            </w:r>
          </w:p>
        </w:tc>
        <w:tc>
          <w:tcPr>
            <w:tcW w:w="1366"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16</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8"/>
                <w:szCs w:val="18"/>
              </w:rPr>
            </w:pPr>
            <w:r>
              <w:rPr>
                <w:b/>
                <w:bCs/>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270</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255</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285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285</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4</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5</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305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305</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4</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5</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315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335</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335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380</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370</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F</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395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Ouvrier</w:t>
            </w:r>
          </w:p>
        </w:tc>
        <w:tc>
          <w:tcPr>
            <w:tcW w:w="88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 </w:t>
            </w:r>
          </w:p>
        </w:tc>
        <w:tc>
          <w:tcPr>
            <w:tcW w:w="93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5</w:t>
            </w:r>
          </w:p>
        </w:tc>
        <w:tc>
          <w:tcPr>
            <w:tcW w:w="1366"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5</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8"/>
                <w:szCs w:val="18"/>
              </w:rPr>
            </w:pPr>
            <w:r>
              <w:rPr>
                <w:b/>
                <w:bCs/>
                <w:i w:val="false"/>
                <w:iCs w:val="false"/>
                <w:color w:val="000000"/>
                <w:sz w:val="18"/>
                <w:szCs w:val="18"/>
              </w:rPr>
            </w:r>
          </w:p>
        </w:tc>
        <w:tc>
          <w:tcPr>
            <w:tcW w:w="148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Ouvrier</w:t>
            </w:r>
          </w:p>
        </w:tc>
        <w:tc>
          <w:tcPr>
            <w:tcW w:w="96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 </w:t>
            </w:r>
          </w:p>
        </w:tc>
        <w:tc>
          <w:tcPr>
            <w:tcW w:w="1022"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6</w:t>
            </w:r>
          </w:p>
        </w:tc>
        <w:tc>
          <w:tcPr>
            <w:tcW w:w="14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6</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185</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185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230</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210</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240</w:t>
            </w:r>
          </w:p>
        </w:tc>
        <w:tc>
          <w:tcPr>
            <w:tcW w:w="88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938"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w:t>
            </w:r>
          </w:p>
        </w:tc>
        <w:tc>
          <w:tcPr>
            <w:tcW w:w="1366"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3</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i w:val="false"/>
                <w:i w:val="false"/>
                <w:iCs w:val="false"/>
                <w:color w:val="000000"/>
                <w:sz w:val="18"/>
                <w:szCs w:val="18"/>
              </w:rPr>
            </w:pPr>
            <w:r>
              <w:rPr>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215</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Total général</w:t>
            </w:r>
          </w:p>
        </w:tc>
        <w:tc>
          <w:tcPr>
            <w:tcW w:w="88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5</w:t>
            </w:r>
          </w:p>
        </w:tc>
        <w:tc>
          <w:tcPr>
            <w:tcW w:w="938"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38</w:t>
            </w:r>
          </w:p>
        </w:tc>
        <w:tc>
          <w:tcPr>
            <w:tcW w:w="1366"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43</w:t>
            </w:r>
          </w:p>
        </w:tc>
        <w:tc>
          <w:tcPr>
            <w:tcW w:w="460" w:type="dxa"/>
            <w:tcBorders>
              <w:left w:val="single" w:sz="4" w:space="0" w:color="000000"/>
            </w:tcBorders>
            <w:shd w:fill="auto" w:val="clear"/>
            <w:tcMar>
              <w:left w:w="65" w:type="dxa"/>
            </w:tcMar>
            <w:vAlign w:val="bottom"/>
          </w:tcPr>
          <w:p>
            <w:pPr>
              <w:pStyle w:val="Normal"/>
              <w:snapToGrid w:val="false"/>
              <w:spacing w:lineRule="auto" w:line="240" w:before="0" w:after="0"/>
              <w:jc w:val="center"/>
              <w:rPr>
                <w:b/>
                <w:b/>
                <w:bCs/>
                <w:i w:val="false"/>
                <w:i w:val="false"/>
                <w:iCs w:val="false"/>
                <w:color w:val="000000"/>
                <w:sz w:val="18"/>
                <w:szCs w:val="18"/>
              </w:rPr>
            </w:pPr>
            <w:r>
              <w:rPr>
                <w:b/>
                <w:bCs/>
                <w:i w:val="false"/>
                <w:iCs w:val="false"/>
                <w:color w:val="000000"/>
                <w:sz w:val="18"/>
                <w:szCs w:val="18"/>
              </w:rPr>
            </w:r>
          </w:p>
        </w:tc>
        <w:tc>
          <w:tcPr>
            <w:tcW w:w="148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270</w:t>
            </w:r>
          </w:p>
        </w:tc>
        <w:tc>
          <w:tcPr>
            <w:tcW w:w="967"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 </w:t>
            </w:r>
          </w:p>
        </w:tc>
        <w:tc>
          <w:tcPr>
            <w:tcW w:w="1022"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c>
          <w:tcPr>
            <w:tcW w:w="14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center"/>
              <w:rPr>
                <w:i w:val="false"/>
                <w:i w:val="false"/>
                <w:iCs w:val="false"/>
                <w:color w:val="000000"/>
                <w:sz w:val="18"/>
                <w:szCs w:val="18"/>
              </w:rPr>
            </w:pPr>
            <w:r>
              <w:rPr>
                <w:i w:val="false"/>
                <w:iCs w:val="false"/>
                <w:color w:val="000000"/>
                <w:sz w:val="18"/>
                <w:szCs w:val="18"/>
              </w:rPr>
              <w:t>1</w:t>
            </w:r>
          </w:p>
        </w:tc>
      </w:tr>
      <w:tr>
        <w:trPr>
          <w:trHeight w:val="240" w:hRule="atLeast"/>
        </w:trPr>
        <w:tc>
          <w:tcPr>
            <w:tcW w:w="1365"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color w:val="000000"/>
                <w:sz w:val="18"/>
                <w:szCs w:val="18"/>
              </w:rPr>
            </w:pPr>
            <w:r>
              <w:rPr>
                <w:rFonts w:cs="Times New Roman" w:ascii="Times New Roman" w:hAnsi="Times New Roman"/>
                <w:i w:val="false"/>
                <w:iCs w:val="false"/>
                <w:color w:val="000000"/>
                <w:sz w:val="18"/>
                <w:szCs w:val="18"/>
              </w:rPr>
            </w:r>
          </w:p>
        </w:tc>
        <w:tc>
          <w:tcPr>
            <w:tcW w:w="888" w:type="dxa"/>
            <w:tcBorders/>
            <w:shd w:fill="auto" w:val="clear"/>
            <w:vAlign w:val="bottom"/>
          </w:tcPr>
          <w:p>
            <w:pPr>
              <w:pStyle w:val="Normal"/>
              <w:spacing w:lineRule="auto" w:line="240" w:before="0" w:after="0"/>
              <w:jc w:val="center"/>
              <w:rPr>
                <w:i w:val="false"/>
                <w:i w:val="false"/>
                <w:iCs w:val="false"/>
                <w:sz w:val="18"/>
                <w:szCs w:val="18"/>
              </w:rPr>
            </w:pPr>
            <w:r>
              <w:rPr>
                <w:i w:val="false"/>
                <w:iCs w:val="false"/>
                <w:sz w:val="18"/>
                <w:szCs w:val="18"/>
              </w:rPr>
              <w:t>11.63%</w:t>
            </w:r>
          </w:p>
        </w:tc>
        <w:tc>
          <w:tcPr>
            <w:tcW w:w="938" w:type="dxa"/>
            <w:tcBorders/>
            <w:shd w:fill="auto" w:val="clear"/>
            <w:vAlign w:val="bottom"/>
          </w:tcPr>
          <w:p>
            <w:pPr>
              <w:pStyle w:val="Normal"/>
              <w:spacing w:lineRule="auto" w:line="240" w:before="0" w:after="0"/>
              <w:jc w:val="center"/>
              <w:rPr>
                <w:i w:val="false"/>
                <w:i w:val="false"/>
                <w:iCs w:val="false"/>
                <w:sz w:val="18"/>
                <w:szCs w:val="18"/>
              </w:rPr>
            </w:pPr>
            <w:r>
              <w:rPr>
                <w:i w:val="false"/>
                <w:iCs w:val="false"/>
                <w:sz w:val="18"/>
                <w:szCs w:val="18"/>
              </w:rPr>
              <w:t>88.37%</w:t>
            </w:r>
          </w:p>
        </w:tc>
        <w:tc>
          <w:tcPr>
            <w:tcW w:w="1366"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sz w:val="18"/>
                <w:szCs w:val="18"/>
              </w:rPr>
            </w:pPr>
            <w:r>
              <w:rPr>
                <w:rFonts w:cs="Times New Roman" w:ascii="Times New Roman" w:hAnsi="Times New Roman"/>
                <w:i w:val="false"/>
                <w:iCs w:val="false"/>
                <w:sz w:val="18"/>
                <w:szCs w:val="18"/>
              </w:rPr>
            </w:r>
          </w:p>
        </w:tc>
        <w:tc>
          <w:tcPr>
            <w:tcW w:w="460" w:type="dxa"/>
            <w:tcBorders/>
            <w:shd w:fill="auto" w:val="clear"/>
            <w:vAlign w:val="bottom"/>
          </w:tcPr>
          <w:p>
            <w:pPr>
              <w:pStyle w:val="Normal"/>
              <w:snapToGrid w:val="false"/>
              <w:spacing w:lineRule="auto" w:line="240" w:before="0" w:after="0"/>
              <w:jc w:val="center"/>
              <w:rPr>
                <w:rFonts w:ascii="Times New Roman" w:hAnsi="Times New Roman" w:cs="Times New Roman"/>
                <w:i w:val="false"/>
                <w:i w:val="false"/>
                <w:iCs w:val="false"/>
              </w:rPr>
            </w:pPr>
            <w:r>
              <w:rPr>
                <w:rFonts w:cs="Times New Roman" w:ascii="Times New Roman" w:hAnsi="Times New Roman"/>
                <w:i w:val="false"/>
                <w:iCs w:val="false"/>
              </w:rPr>
            </w:r>
          </w:p>
        </w:tc>
        <w:tc>
          <w:tcPr>
            <w:tcW w:w="148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rPr>
                <w:b/>
                <w:b/>
                <w:bCs/>
                <w:i w:val="false"/>
                <w:i w:val="false"/>
                <w:iCs w:val="false"/>
                <w:color w:val="000000"/>
                <w:sz w:val="18"/>
                <w:szCs w:val="18"/>
              </w:rPr>
            </w:pPr>
            <w:r>
              <w:rPr>
                <w:b/>
                <w:bCs/>
                <w:i w:val="false"/>
                <w:iCs w:val="false"/>
                <w:color w:val="000000"/>
                <w:sz w:val="18"/>
                <w:szCs w:val="18"/>
              </w:rPr>
              <w:t>Total général</w:t>
            </w:r>
          </w:p>
        </w:tc>
        <w:tc>
          <w:tcPr>
            <w:tcW w:w="967"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2</w:t>
            </w:r>
          </w:p>
        </w:tc>
        <w:tc>
          <w:tcPr>
            <w:tcW w:w="1022" w:type="dxa"/>
            <w:tcBorders>
              <w:top w:val="single" w:sz="4" w:space="0" w:color="000000"/>
              <w:left w:val="single" w:sz="4" w:space="0" w:color="000000"/>
              <w:bottom w:val="single" w:sz="4" w:space="0" w:color="000000"/>
              <w:insideH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21</w:t>
            </w:r>
          </w:p>
        </w:tc>
        <w:tc>
          <w:tcPr>
            <w:tcW w:w="14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DCE6F1" w:val="clear"/>
            <w:tcMar>
              <w:left w:w="65" w:type="dxa"/>
            </w:tcMar>
            <w:vAlign w:val="bottom"/>
          </w:tcPr>
          <w:p>
            <w:pPr>
              <w:pStyle w:val="Normal"/>
              <w:spacing w:lineRule="auto" w:line="240" w:before="0" w:after="0"/>
              <w:jc w:val="center"/>
              <w:rPr>
                <w:b/>
                <w:b/>
                <w:bCs/>
                <w:i w:val="false"/>
                <w:i w:val="false"/>
                <w:iCs w:val="false"/>
                <w:color w:val="000000"/>
                <w:sz w:val="18"/>
                <w:szCs w:val="18"/>
              </w:rPr>
            </w:pPr>
            <w:r>
              <w:rPr>
                <w:b/>
                <w:bCs/>
                <w:i w:val="false"/>
                <w:iCs w:val="false"/>
                <w:color w:val="000000"/>
                <w:sz w:val="18"/>
                <w:szCs w:val="18"/>
              </w:rPr>
              <w:t>23</w:t>
            </w:r>
          </w:p>
        </w:tc>
      </w:tr>
    </w:tbl>
    <w:p>
      <w:pPr>
        <w:pStyle w:val="Normal"/>
        <w:rPr/>
      </w:pPr>
      <w:r>
        <w:rPr/>
        <w:tab/>
        <w:tab/>
        <w:tab/>
        <w:tab/>
        <w:tab/>
        <w:tab/>
        <w:tab/>
        <w:tab/>
        <w:tab/>
        <w:t xml:space="preserve">          </w:t>
      </w:r>
      <w:r>
        <w:rPr>
          <w:i w:val="false"/>
          <w:sz w:val="18"/>
          <w:szCs w:val="18"/>
        </w:rPr>
        <w:t>8.70%              91.30%</w:t>
      </w:r>
    </w:p>
    <w:p>
      <w:pPr>
        <w:pStyle w:val="Normal"/>
        <w:rPr/>
      </w:pPr>
      <w:r>
        <w:rPr/>
        <w:tab/>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B – Conclusions. </w:t>
      </w:r>
    </w:p>
    <w:p>
      <w:pPr>
        <w:pStyle w:val="Sansinterligne"/>
        <w:rPr>
          <w:i w:val="false"/>
          <w:i w:val="false"/>
        </w:rPr>
      </w:pPr>
      <w:r>
        <w:rPr>
          <w:i w:val="false"/>
        </w:rPr>
        <w:t xml:space="preserve">Sur 43 embauches, 5 sont des femmes. Dont 3 au service administratif, 1 au bureau d’étude et 1 au service travaux. </w:t>
      </w:r>
    </w:p>
    <w:p>
      <w:pPr>
        <w:pStyle w:val="Sansinterligne"/>
        <w:rPr/>
      </w:pPr>
      <w:r>
        <w:rPr>
          <w:i w:val="false"/>
        </w:rPr>
        <w:t>On constate à nouveau que ces embauches ont été principalement effectuées au service administratif.</w:t>
      </w:r>
    </w:p>
    <w:p>
      <w:pPr>
        <w:pStyle w:val="Sansinterligne"/>
        <w:rPr>
          <w:i w:val="false"/>
          <w:i w:val="false"/>
        </w:rPr>
      </w:pPr>
      <w:r>
        <w:rPr>
          <w:i w:val="false"/>
        </w:rPr>
      </w:r>
    </w:p>
    <w:p>
      <w:pPr>
        <w:pStyle w:val="Sansinterligne"/>
        <w:jc w:val="both"/>
        <w:rPr/>
      </w:pPr>
      <w:r>
        <w:rPr>
          <w:rFonts w:cs="Arial"/>
          <w:i w:val="false"/>
        </w:rPr>
        <w:t>Le service travaux emploie 8 femmes, effectif qui tend à évoluer avec l’embauche d’une apprentie à compter de septembre, il en est de même pour le bureau d’étude.</w:t>
      </w:r>
    </w:p>
    <w:p>
      <w:pPr>
        <w:pStyle w:val="Sansinterligne"/>
        <w:rPr/>
      </w:pPr>
      <w:r>
        <w:rPr>
          <w:i w:val="false"/>
        </w:rPr>
        <w:t xml:space="preserve">Il est difficile de recruter dans les autres services car nous n’avons pas de candidate. </w:t>
      </w:r>
    </w:p>
    <w:p>
      <w:pPr>
        <w:pStyle w:val="Sansinterligne"/>
        <w:rPr>
          <w:rFonts w:cs="Arial"/>
        </w:rPr>
      </w:pPr>
      <w:r>
        <w:rPr>
          <w:rFonts w:cs="Arial"/>
        </w:rPr>
        <w:t xml:space="preserve">Exemple : aucune candidature féminine sur le poste de dessinateur projeteur mis en ligne il y a plusieurs mois. </w:t>
      </w:r>
    </w:p>
    <w:p>
      <w:pPr>
        <w:pStyle w:val="Sansinterligne"/>
        <w:rPr>
          <w:rFonts w:cs="Arial"/>
        </w:rPr>
      </w:pPr>
      <w:r>
        <w:rPr>
          <w:rFonts w:cs="Arial"/>
        </w:rPr>
        <w:t>Une seule candidate au poste d’assembleur/soudeur en intérim qui ne souhaite pas être titularisée.</w:t>
      </w:r>
    </w:p>
    <w:p>
      <w:pPr>
        <w:pStyle w:val="Sansinterligne"/>
        <w:rPr>
          <w:rFonts w:cs="Arial"/>
        </w:rPr>
      </w:pPr>
      <w:r>
        <w:rPr>
          <w:rFonts w:cs="Arial"/>
        </w:rPr>
      </w:r>
    </w:p>
    <w:p>
      <w:pPr>
        <w:pStyle w:val="Sansinterligne"/>
        <w:rPr>
          <w:rFonts w:cs="Arial"/>
          <w:b/>
          <w:b/>
          <w:i w:val="false"/>
          <w:i w:val="false"/>
        </w:rPr>
      </w:pPr>
      <w:r>
        <w:rPr>
          <w:rFonts w:cs="Arial"/>
          <w:b/>
          <w:i w:val="false"/>
        </w:rPr>
        <w:t>Un accord relatif à l’égalité professionnelle des hommes et des femmes a été conclu le 29/11/2019.</w:t>
      </w:r>
    </w:p>
    <w:p>
      <w:pPr>
        <w:pStyle w:val="Normal"/>
        <w:rPr>
          <w:rFonts w:ascii="Arial Narrow" w:hAnsi="Arial Narrow" w:cs="Arial Narrow"/>
          <w:b/>
          <w:b/>
          <w:i w:val="false"/>
          <w:i w:val="false"/>
        </w:rPr>
      </w:pPr>
      <w:r>
        <w:rPr>
          <w:rFonts w:cs="Arial Narrow" w:ascii="Arial Narrow" w:hAnsi="Arial Narrow"/>
          <w:b/>
          <w:i w:val="false"/>
        </w:rPr>
      </w:r>
    </w:p>
    <w:p>
      <w:pPr>
        <w:pStyle w:val="Normal"/>
        <w:pBdr>
          <w:top w:val="single" w:sz="4" w:space="1" w:color="000000"/>
          <w:left w:val="single" w:sz="4" w:space="4" w:color="000000"/>
          <w:bottom w:val="single" w:sz="4" w:space="1" w:color="000000"/>
          <w:right w:val="single" w:sz="4" w:space="4" w:color="000000"/>
        </w:pBdr>
        <w:jc w:val="both"/>
        <w:rPr/>
      </w:pPr>
      <w:r>
        <w:rPr>
          <w:rFonts w:cs="Arial"/>
          <w:b/>
          <w:bCs/>
          <w:i w:val="false"/>
          <w:smallCaps/>
          <w:sz w:val="28"/>
          <w:szCs w:val="28"/>
        </w:rPr>
        <w:t xml:space="preserve">6 – Autres informations : </w:t>
      </w:r>
    </w:p>
    <w:p>
      <w:pPr>
        <w:pStyle w:val="Normal"/>
        <w:spacing w:lineRule="auto" w:line="240" w:before="0" w:after="0"/>
        <w:jc w:val="both"/>
        <w:rPr>
          <w:rFonts w:ascii="Arial Narrow" w:hAnsi="Arial Narrow" w:cs="Arial"/>
          <w:b/>
          <w:b/>
          <w:bCs/>
          <w:i w:val="false"/>
          <w:i w:val="false"/>
          <w:smallCaps/>
          <w:sz w:val="24"/>
          <w:szCs w:val="24"/>
          <w:highlight w:val="yellow"/>
        </w:rPr>
      </w:pPr>
      <w:r>
        <w:rPr>
          <w:rFonts w:cs="Arial" w:ascii="Arial Narrow" w:hAnsi="Arial Narrow"/>
          <w:b/>
          <w:bCs/>
          <w:i w:val="false"/>
          <w:smallCaps/>
          <w:sz w:val="24"/>
          <w:szCs w:val="24"/>
          <w:highlight w:val="yellow"/>
        </w:rPr>
      </w:r>
    </w:p>
    <w:p>
      <w:pPr>
        <w:pStyle w:val="Citation"/>
        <w:rPr/>
      </w:pPr>
      <w:r>
        <w:rPr>
          <w:rStyle w:val="Emphasis"/>
          <w:rFonts w:cs="Calibri"/>
          <w:i w:val="false"/>
          <w:color w:val="000000"/>
          <w:sz w:val="22"/>
          <w:szCs w:val="22"/>
          <w:u w:val="single"/>
        </w:rPr>
        <w:t xml:space="preserve">A – Statistiques arrêts maladies. </w:t>
      </w:r>
    </w:p>
    <w:p>
      <w:pPr>
        <w:pStyle w:val="Sansinterligne"/>
        <w:jc w:val="both"/>
        <w:rPr>
          <w:i w:val="false"/>
          <w:i w:val="false"/>
        </w:rPr>
      </w:pPr>
      <w:r>
        <w:rPr>
          <w:i w:val="false"/>
        </w:rPr>
        <w:t xml:space="preserve">La mesure mise en place le 30 septembre 2014 visant la suppression du maintien de salaire des trois jours de carence de la sécurité sociale est un des éléments qui a permis de mettre un frein à la forte dérive du nombre d’arrêts constaté les années précédentes. </w:t>
      </w:r>
    </w:p>
    <w:p>
      <w:pPr>
        <w:pStyle w:val="Sansinterligne"/>
        <w:jc w:val="both"/>
        <w:rPr>
          <w:i w:val="false"/>
          <w:i w:val="false"/>
        </w:rPr>
      </w:pPr>
      <w:r>
        <w:rPr>
          <w:i w:val="false"/>
        </w:rPr>
      </w:r>
    </w:p>
    <w:p>
      <w:pPr>
        <w:pStyle w:val="Sansinterligne"/>
        <w:jc w:val="both"/>
        <w:rPr>
          <w:i w:val="false"/>
          <w:i w:val="false"/>
        </w:rPr>
      </w:pPr>
      <w:r>
        <w:rPr>
          <w:i w:val="false"/>
        </w:rPr>
        <w:t>En 2017, la Direction a accepté d’assouplir sa position et a proposé de maintenir le salaire des 3 jours de carence sur le 1</w:t>
      </w:r>
      <w:r>
        <w:rPr>
          <w:i w:val="false"/>
          <w:vertAlign w:val="superscript"/>
        </w:rPr>
        <w:t>er</w:t>
      </w:r>
      <w:r>
        <w:rPr>
          <w:i w:val="false"/>
        </w:rPr>
        <w:t xml:space="preserve"> arrêt (uniquement) et sur présentation d’un avis d’arrêt de travail établi par un médecin ou un établissement hospitalier. </w:t>
      </w:r>
    </w:p>
    <w:p>
      <w:pPr>
        <w:pStyle w:val="Sansinterligne"/>
        <w:jc w:val="both"/>
        <w:rPr/>
      </w:pPr>
      <w:r>
        <w:rPr>
          <w:i w:val="false"/>
        </w:rPr>
        <w:t>En 2019 cette mesure avait été reconduite dans les mêmes conditions.</w:t>
      </w:r>
    </w:p>
    <w:p>
      <w:pPr>
        <w:pStyle w:val="Sansinterligne"/>
        <w:rPr>
          <w:i w:val="false"/>
          <w:i w:val="false"/>
        </w:rPr>
      </w:pPr>
      <w:r>
        <w:rPr>
          <w:i w:val="false"/>
        </w:rPr>
      </w:r>
    </w:p>
    <w:p>
      <w:pPr>
        <w:pStyle w:val="Paragraphedeliste"/>
        <w:ind w:left="0" w:hanging="0"/>
        <w:rPr>
          <w:rFonts w:cs="Arial"/>
          <w:i w:val="false"/>
          <w:i w:val="false"/>
        </w:rPr>
      </w:pPr>
      <w:r>
        <w:rPr>
          <w:rFonts w:cs="Arial"/>
          <w:i w:val="false"/>
        </w:rPr>
        <w:t>Tableau d’analyse du nombre de jours indemnisés et du nombre total d’arrêts du 01/12/18 au 30/11/19.</w:t>
      </w:r>
    </w:p>
    <w:p>
      <w:pPr>
        <w:pStyle w:val="Normal"/>
        <w:spacing w:before="0" w:after="0"/>
        <w:rPr>
          <w:vanish/>
        </w:rPr>
      </w:pPr>
      <w:r>
        <w:rPr>
          <w:vanish/>
        </w:rPr>
      </w:r>
      <w:r>
        <mc:AlternateContent>
          <mc:Choice Requires="wps">
            <w:drawing>
              <wp:anchor behindDoc="0" distT="0" distB="0" distL="0" distR="89535" simplePos="0" locked="0" layoutInCell="1" allowOverlap="1" relativeHeight="6">
                <wp:simplePos x="0" y="0"/>
                <wp:positionH relativeFrom="margin">
                  <wp:posOffset>-47625</wp:posOffset>
                </wp:positionH>
                <wp:positionV relativeFrom="paragraph">
                  <wp:posOffset>117475</wp:posOffset>
                </wp:positionV>
                <wp:extent cx="2307590" cy="20955"/>
                <wp:effectExtent l="0" t="0" r="0" b="0"/>
                <wp:wrapSquare wrapText="bothSides"/>
                <wp:docPr id="5" name="Frame1"/>
                <a:graphic xmlns:a="http://schemas.openxmlformats.org/drawingml/2006/main">
                  <a:graphicData uri="http://schemas.microsoft.com/office/word/2010/wordprocessingShape">
                    <wps:wsp>
                      <wps:cNvSpPr txBox="1"/>
                      <wps:spPr>
                        <a:xfrm>
                          <a:off x="0" y="0"/>
                          <a:ext cx="2307590" cy="20955"/>
                        </a:xfrm>
                        <a:prstGeom prst="rect"/>
                        <a:solidFill>
                          <a:srgbClr val="FFFFFF">
                            <a:alpha val="0"/>
                          </a:srgbClr>
                        </a:solidFill>
                      </wps:spPr>
                      <wps:txbx>
                        <w:txbxContent>
                          <w:tbl>
                            <w:tblPr>
                              <w:tblW w:w="3634"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693"/>
                              <w:gridCol w:w="941"/>
                            </w:tblGrid>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rPr/>
                                  </w:pPr>
                                  <w:r>
                                    <w:rPr>
                                      <w:b/>
                                      <w:bCs/>
                                      <w:i w:val="false"/>
                                      <w:iCs w:val="false"/>
                                      <w:color w:val="000000"/>
                                      <w:sz w:val="22"/>
                                      <w:szCs w:val="22"/>
                                    </w:rPr>
                                    <w:t>Durée arrêt et carence 2018</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 xml:space="preserve">Nombre </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B7DEE8"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3 jours</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7DEE8"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27</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b/>
                                      <w:b/>
                                      <w:bCs/>
                                      <w:i w:val="false"/>
                                      <w:i w:val="false"/>
                                      <w:iCs w:val="false"/>
                                      <w:color w:val="000000"/>
                                      <w:sz w:val="22"/>
                                      <w:szCs w:val="22"/>
                                    </w:rPr>
                                  </w:pPr>
                                  <w:r>
                                    <w:rPr>
                                      <w:b/>
                                      <w:bCs/>
                                      <w:i w:val="false"/>
                                      <w:iCs w:val="false"/>
                                      <w:color w:val="000000"/>
                                      <w:sz w:val="22"/>
                                      <w:szCs w:val="22"/>
                                    </w:rPr>
                                    <w:t>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16</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b/>
                                      <w:b/>
                                      <w:bCs/>
                                      <w:i w:val="false"/>
                                      <w:i w:val="false"/>
                                      <w:iCs w:val="false"/>
                                      <w:color w:val="000000"/>
                                      <w:sz w:val="22"/>
                                      <w:szCs w:val="22"/>
                                    </w:rPr>
                                  </w:pPr>
                                  <w:r>
                                    <w:rPr>
                                      <w:b/>
                                      <w:bCs/>
                                      <w:i w:val="false"/>
                                      <w:iCs w:val="false"/>
                                      <w:color w:val="000000"/>
                                      <w:sz w:val="22"/>
                                      <w:szCs w:val="22"/>
                                    </w:rPr>
                                    <w:t>Non-paiement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11</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B7DEE8"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7DEE8"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73</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pPr>
                                  <w:r>
                                    <w:rPr>
                                      <w:b/>
                                      <w:bCs/>
                                      <w:i w:val="false"/>
                                      <w:iCs w:val="false"/>
                                      <w:color w:val="000000"/>
                                      <w:sz w:val="22"/>
                                      <w:szCs w:val="22"/>
                                    </w:rPr>
                                    <w:t>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46</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b/>
                                      <w:b/>
                                      <w:bCs/>
                                      <w:i w:val="false"/>
                                      <w:i w:val="false"/>
                                      <w:iCs w:val="false"/>
                                      <w:color w:val="000000"/>
                                      <w:sz w:val="22"/>
                                      <w:szCs w:val="22"/>
                                    </w:rPr>
                                  </w:pPr>
                                  <w:r>
                                    <w:rPr>
                                      <w:b/>
                                      <w:bCs/>
                                      <w:i w:val="false"/>
                                      <w:iCs w:val="false"/>
                                      <w:color w:val="000000"/>
                                      <w:sz w:val="22"/>
                                      <w:szCs w:val="22"/>
                                    </w:rPr>
                                    <w:t>Non-paiement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27</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rPr/>
                                  </w:pPr>
                                  <w:r>
                                    <w:rPr>
                                      <w:b/>
                                      <w:bCs/>
                                      <w:i w:val="false"/>
                                      <w:iCs w:val="false"/>
                                      <w:color w:val="000000"/>
                                      <w:sz w:val="22"/>
                                      <w:szCs w:val="22"/>
                                    </w:rPr>
                                    <w:t>Total général</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100</w:t>
                                  </w:r>
                                </w:p>
                              </w:tc>
                            </w:tr>
                          </w:tbl>
                        </w:txbxContent>
                      </wps:txbx>
                      <wps:bodyPr anchor="t">
                        <a:noAutofit/>
                      </wps:bodyPr>
                    </wps:wsp>
                  </a:graphicData>
                </a:graphic>
              </wp:anchor>
            </w:drawing>
          </mc:Choice>
          <mc:Fallback>
            <w:pict>
              <v:rect fillcolor="#FFFFFF" style="position:absolute;rotation:0;width:181.7pt;height:1.65pt;mso-wrap-distance-left:0pt;mso-wrap-distance-right:7.05pt;margin-top:9.25pt;mso-position-vertical-relative:text;margin-left:-3.75pt;mso-position-horizontal-relative:margin">
                <v:fill opacity="0f"/>
                <v:textbox>
                  <w:txbxContent>
                    <w:tbl>
                      <w:tblPr>
                        <w:tblW w:w="3634"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693"/>
                        <w:gridCol w:w="941"/>
                      </w:tblGrid>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rPr/>
                            </w:pPr>
                            <w:r>
                              <w:rPr>
                                <w:b/>
                                <w:bCs/>
                                <w:i w:val="false"/>
                                <w:iCs w:val="false"/>
                                <w:color w:val="000000"/>
                                <w:sz w:val="22"/>
                                <w:szCs w:val="22"/>
                              </w:rPr>
                              <w:t>Durée arrêt et carence 2018</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 xml:space="preserve">Nombre </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B7DEE8"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3 jours</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7DEE8"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27</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b/>
                                <w:b/>
                                <w:bCs/>
                                <w:i w:val="false"/>
                                <w:i w:val="false"/>
                                <w:iCs w:val="false"/>
                                <w:color w:val="000000"/>
                                <w:sz w:val="22"/>
                                <w:szCs w:val="22"/>
                              </w:rPr>
                            </w:pPr>
                            <w:r>
                              <w:rPr>
                                <w:b/>
                                <w:bCs/>
                                <w:i w:val="false"/>
                                <w:iCs w:val="false"/>
                                <w:color w:val="000000"/>
                                <w:sz w:val="22"/>
                                <w:szCs w:val="22"/>
                              </w:rPr>
                              <w:t>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16</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b/>
                                <w:b/>
                                <w:bCs/>
                                <w:i w:val="false"/>
                                <w:i w:val="false"/>
                                <w:iCs w:val="false"/>
                                <w:color w:val="000000"/>
                                <w:sz w:val="22"/>
                                <w:szCs w:val="22"/>
                              </w:rPr>
                            </w:pPr>
                            <w:r>
                              <w:rPr>
                                <w:b/>
                                <w:bCs/>
                                <w:i w:val="false"/>
                                <w:iCs w:val="false"/>
                                <w:color w:val="000000"/>
                                <w:sz w:val="22"/>
                                <w:szCs w:val="22"/>
                              </w:rPr>
                              <w:t>Non-paiement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11</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B7DEE8"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7DEE8"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73</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pPr>
                            <w:r>
                              <w:rPr>
                                <w:b/>
                                <w:bCs/>
                                <w:i w:val="false"/>
                                <w:iCs w:val="false"/>
                                <w:color w:val="000000"/>
                                <w:sz w:val="22"/>
                                <w:szCs w:val="22"/>
                              </w:rPr>
                              <w:t>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46</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220"/>
                              <w:rPr>
                                <w:b/>
                                <w:b/>
                                <w:bCs/>
                                <w:i w:val="false"/>
                                <w:i w:val="false"/>
                                <w:iCs w:val="false"/>
                                <w:color w:val="000000"/>
                                <w:sz w:val="22"/>
                                <w:szCs w:val="22"/>
                              </w:rPr>
                            </w:pPr>
                            <w:r>
                              <w:rPr>
                                <w:b/>
                                <w:bCs/>
                                <w:i w:val="false"/>
                                <w:iCs w:val="false"/>
                                <w:color w:val="000000"/>
                                <w:sz w:val="22"/>
                                <w:szCs w:val="22"/>
                              </w:rPr>
                              <w:t>Non-paiement carence</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27</w:t>
                            </w:r>
                          </w:p>
                        </w:tc>
                      </w:tr>
                      <w:tr>
                        <w:trPr>
                          <w:trHeight w:val="300" w:hRule="atLeast"/>
                        </w:trPr>
                        <w:tc>
                          <w:tcPr>
                            <w:tcW w:w="2693" w:type="dxa"/>
                            <w:tcBorders>
                              <w:top w:val="single" w:sz="4" w:space="0" w:color="000000"/>
                              <w:left w:val="single" w:sz="4" w:space="0" w:color="000000"/>
                              <w:bottom w:val="single" w:sz="4" w:space="0" w:color="000000"/>
                              <w:insideH w:val="single" w:sz="4" w:space="0" w:color="000000"/>
                            </w:tcBorders>
                            <w:shd w:fill="8DB4E2" w:val="clear"/>
                            <w:tcMar>
                              <w:left w:w="65" w:type="dxa"/>
                            </w:tcMar>
                            <w:vAlign w:val="bottom"/>
                          </w:tcPr>
                          <w:p>
                            <w:pPr>
                              <w:pStyle w:val="Normal"/>
                              <w:spacing w:lineRule="auto" w:line="240" w:before="0" w:after="0"/>
                              <w:rPr/>
                            </w:pPr>
                            <w:r>
                              <w:rPr>
                                <w:b/>
                                <w:bCs/>
                                <w:i w:val="false"/>
                                <w:iCs w:val="false"/>
                                <w:color w:val="000000"/>
                                <w:sz w:val="22"/>
                                <w:szCs w:val="22"/>
                              </w:rPr>
                              <w:t>Total général</w:t>
                            </w:r>
                          </w:p>
                        </w:tc>
                        <w:tc>
                          <w:tcPr>
                            <w:tcW w:w="94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8DB4E2"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100</w:t>
                            </w:r>
                          </w:p>
                        </w:tc>
                      </w:tr>
                    </w:tbl>
                  </w:txbxContent>
                </v:textbox>
                <w10:wrap type="square"/>
              </v:rect>
            </w:pict>
          </mc:Fallback>
        </mc:AlternateContent>
      </w:r>
    </w:p>
    <w:p>
      <w:pPr>
        <w:pStyle w:val="Paragraphedeliste"/>
        <w:rPr>
          <w:rFonts w:ascii="Arial Narrow" w:hAnsi="Arial Narrow" w:cs="Arial"/>
          <w:i w:val="false"/>
          <w:i w:val="false"/>
          <w:sz w:val="24"/>
          <w:szCs w:val="24"/>
        </w:rPr>
      </w:pPr>
      <w:r>
        <w:rPr>
          <w:rFonts w:cs="Arial" w:ascii="Arial Narrow" w:hAnsi="Arial Narrow"/>
          <w:i w:val="false"/>
          <w:sz w:val="24"/>
          <w:szCs w:val="24"/>
        </w:rPr>
        <w:tab/>
        <w:tab/>
        <w:tab/>
        <w:tab/>
        <w:tab/>
      </w:r>
      <w:r>
        <mc:AlternateContent>
          <mc:Choice Requires="wps">
            <w:drawing>
              <wp:anchor behindDoc="0" distT="0" distB="0" distL="89535" distR="89535" simplePos="0" locked="0" layoutInCell="1" allowOverlap="1" relativeHeight="7">
                <wp:simplePos x="0" y="0"/>
                <wp:positionH relativeFrom="page">
                  <wp:posOffset>3832860</wp:posOffset>
                </wp:positionH>
                <wp:positionV relativeFrom="paragraph">
                  <wp:posOffset>140335</wp:posOffset>
                </wp:positionV>
                <wp:extent cx="2470150" cy="1469390"/>
                <wp:effectExtent l="0" t="0" r="0" b="0"/>
                <wp:wrapSquare wrapText="bothSides"/>
                <wp:docPr id="6" name="Frame2"/>
                <a:graphic xmlns:a="http://schemas.openxmlformats.org/drawingml/2006/main">
                  <a:graphicData uri="http://schemas.microsoft.com/office/word/2010/wordprocessingShape">
                    <wps:wsp>
                      <wps:cNvSpPr txBox="1"/>
                      <wps:spPr>
                        <a:xfrm>
                          <a:off x="0" y="0"/>
                          <a:ext cx="2470150" cy="1469390"/>
                        </a:xfrm>
                        <a:prstGeom prst="rect"/>
                        <a:solidFill>
                          <a:srgbClr val="FFFFFF">
                            <a:alpha val="0"/>
                          </a:srgbClr>
                        </a:solidFill>
                      </wps:spPr>
                      <wps:txbx>
                        <w:txbxContent>
                          <w:tbl>
                            <w:tblPr>
                              <w:tblW w:w="389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920"/>
                              <w:gridCol w:w="970"/>
                            </w:tblGrid>
                            <w:tr>
                              <w:trPr>
                                <w:trHeight w:val="288" w:hRule="atLeast"/>
                              </w:trPr>
                              <w:tc>
                                <w:tcPr>
                                  <w:tcW w:w="2920" w:type="dxa"/>
                                  <w:tcBorders>
                                    <w:top w:val="single" w:sz="4" w:space="0" w:color="000000"/>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Début arrêt et carence 2019</w:t>
                                  </w:r>
                                </w:p>
                              </w:tc>
                              <w:tc>
                                <w:tcPr>
                                  <w:tcW w:w="9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Nombre</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19</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11</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8</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57</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17</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40</w:t>
                                  </w:r>
                                </w:p>
                              </w:tc>
                            </w:tr>
                            <w:tr>
                              <w:trPr>
                                <w:trHeight w:val="288" w:hRule="atLeast"/>
                              </w:trPr>
                              <w:tc>
                                <w:tcPr>
                                  <w:tcW w:w="2920" w:type="dxa"/>
                                  <w:tcBorders>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Total général</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76</w:t>
                                  </w:r>
                                </w:p>
                              </w:tc>
                            </w:tr>
                          </w:tbl>
                        </w:txbxContent>
                      </wps:txbx>
                      <wps:bodyPr anchor="t">
                        <a:noAutofit/>
                      </wps:bodyPr>
                    </wps:wsp>
                  </a:graphicData>
                </a:graphic>
              </wp:anchor>
            </w:drawing>
          </mc:Choice>
          <mc:Fallback>
            <w:pict>
              <v:rect fillcolor="#FFFFFF" style="position:absolute;rotation:0;width:194.5pt;height:115.7pt;mso-wrap-distance-left:7.05pt;mso-wrap-distance-right:7.05pt;margin-top:11.05pt;mso-position-vertical-relative:text;margin-left:301.8pt;mso-position-horizontal-relative:page">
                <v:fill opacity="0f"/>
                <v:textbox>
                  <w:txbxContent>
                    <w:tbl>
                      <w:tblPr>
                        <w:tblW w:w="3890" w:type="dxa"/>
                        <w:jc w:val="left"/>
                        <w:tblInd w:w="7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920"/>
                        <w:gridCol w:w="970"/>
                      </w:tblGrid>
                      <w:tr>
                        <w:trPr>
                          <w:trHeight w:val="288" w:hRule="atLeast"/>
                        </w:trPr>
                        <w:tc>
                          <w:tcPr>
                            <w:tcW w:w="2920" w:type="dxa"/>
                            <w:tcBorders>
                              <w:top w:val="single" w:sz="4" w:space="0" w:color="000000"/>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Début arrêt et carence 2019</w:t>
                            </w:r>
                          </w:p>
                        </w:tc>
                        <w:tc>
                          <w:tcPr>
                            <w:tcW w:w="9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Nombre</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&lt; =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19</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11</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8</w:t>
                            </w:r>
                          </w:p>
                        </w:tc>
                      </w:tr>
                      <w:tr>
                        <w:trPr>
                          <w:trHeight w:val="288" w:hRule="atLeast"/>
                        </w:trPr>
                        <w:tc>
                          <w:tcPr>
                            <w:tcW w:w="2920" w:type="dxa"/>
                            <w:tcBorders>
                              <w:left w:val="single" w:sz="4" w:space="0" w:color="000000"/>
                              <w:bottom w:val="single" w:sz="4" w:space="0" w:color="000000"/>
                              <w:insideH w:val="single" w:sz="4" w:space="0" w:color="000000"/>
                            </w:tcBorders>
                            <w:shd w:fill="DDEBF7"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&gt; 3 jours</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DDEBF7"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57</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17</w:t>
                            </w:r>
                          </w:p>
                        </w:tc>
                      </w:tr>
                      <w:tr>
                        <w:trPr>
                          <w:trHeight w:val="288" w:hRule="atLeast"/>
                        </w:trPr>
                        <w:tc>
                          <w:tcPr>
                            <w:tcW w:w="2920" w:type="dxa"/>
                            <w:tcBorders>
                              <w:left w:val="single" w:sz="4" w:space="0" w:color="000000"/>
                              <w:bottom w:val="single" w:sz="4" w:space="0" w:color="000000"/>
                              <w:insideH w:val="single" w:sz="4" w:space="0" w:color="000000"/>
                            </w:tcBorders>
                            <w:shd w:fill="auto" w:val="clear"/>
                            <w:tcMar>
                              <w:left w:w="65" w:type="dxa"/>
                            </w:tcMar>
                            <w:vAlign w:val="bottom"/>
                          </w:tcPr>
                          <w:p>
                            <w:pPr>
                              <w:pStyle w:val="Normal"/>
                              <w:spacing w:lineRule="auto" w:line="240" w:before="0" w:after="0"/>
                              <w:ind w:firstLine="440"/>
                              <w:rPr>
                                <w:b/>
                                <w:b/>
                                <w:bCs/>
                                <w:i w:val="false"/>
                                <w:i w:val="false"/>
                                <w:iCs w:val="false"/>
                                <w:color w:val="000000"/>
                                <w:sz w:val="22"/>
                                <w:szCs w:val="22"/>
                              </w:rPr>
                            </w:pPr>
                            <w:r>
                              <w:rPr>
                                <w:b/>
                                <w:bCs/>
                                <w:i w:val="false"/>
                                <w:iCs w:val="false"/>
                                <w:color w:val="000000"/>
                                <w:sz w:val="22"/>
                                <w:szCs w:val="22"/>
                              </w:rPr>
                              <w:t>Non-paiement carence</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40</w:t>
                            </w:r>
                          </w:p>
                        </w:tc>
                      </w:tr>
                      <w:tr>
                        <w:trPr>
                          <w:trHeight w:val="288" w:hRule="atLeast"/>
                        </w:trPr>
                        <w:tc>
                          <w:tcPr>
                            <w:tcW w:w="2920" w:type="dxa"/>
                            <w:tcBorders>
                              <w:left w:val="single" w:sz="4" w:space="0" w:color="000000"/>
                              <w:bottom w:val="single" w:sz="4" w:space="0" w:color="000000"/>
                              <w:insideH w:val="single" w:sz="4" w:space="0" w:color="000000"/>
                            </w:tcBorders>
                            <w:shd w:fill="9BC2E6" w:val="clear"/>
                            <w:tcMar>
                              <w:left w:w="65" w:type="dxa"/>
                            </w:tcMar>
                            <w:vAlign w:val="bottom"/>
                          </w:tcPr>
                          <w:p>
                            <w:pPr>
                              <w:pStyle w:val="Normal"/>
                              <w:spacing w:lineRule="auto" w:line="240" w:before="0" w:after="0"/>
                              <w:rPr>
                                <w:b/>
                                <w:b/>
                                <w:bCs/>
                                <w:i w:val="false"/>
                                <w:i w:val="false"/>
                                <w:iCs w:val="false"/>
                                <w:color w:val="000000"/>
                                <w:sz w:val="22"/>
                                <w:szCs w:val="22"/>
                              </w:rPr>
                            </w:pPr>
                            <w:r>
                              <w:rPr>
                                <w:b/>
                                <w:bCs/>
                                <w:i w:val="false"/>
                                <w:iCs w:val="false"/>
                                <w:color w:val="000000"/>
                                <w:sz w:val="22"/>
                                <w:szCs w:val="22"/>
                              </w:rPr>
                              <w:t>Total général</w:t>
                            </w:r>
                          </w:p>
                        </w:tc>
                        <w:tc>
                          <w:tcPr>
                            <w:tcW w:w="970" w:type="dxa"/>
                            <w:tcBorders>
                              <w:left w:val="single" w:sz="4" w:space="0" w:color="000000"/>
                              <w:bottom w:val="single" w:sz="4" w:space="0" w:color="000000"/>
                              <w:right w:val="single" w:sz="4" w:space="0" w:color="000000"/>
                              <w:insideH w:val="single" w:sz="4" w:space="0" w:color="000000"/>
                              <w:insideV w:val="single" w:sz="4" w:space="0" w:color="000000"/>
                            </w:tcBorders>
                            <w:shd w:fill="9BC2E6" w:val="clear"/>
                            <w:tcMar>
                              <w:left w:w="65" w:type="dxa"/>
                            </w:tcMar>
                            <w:vAlign w:val="bottom"/>
                          </w:tcPr>
                          <w:p>
                            <w:pPr>
                              <w:pStyle w:val="Normal"/>
                              <w:spacing w:lineRule="auto" w:line="240" w:before="0" w:after="0"/>
                              <w:jc w:val="right"/>
                              <w:rPr>
                                <w:b/>
                                <w:b/>
                                <w:bCs/>
                                <w:i w:val="false"/>
                                <w:i w:val="false"/>
                                <w:iCs w:val="false"/>
                                <w:color w:val="000000"/>
                                <w:sz w:val="22"/>
                                <w:szCs w:val="22"/>
                              </w:rPr>
                            </w:pPr>
                            <w:r>
                              <w:rPr>
                                <w:b/>
                                <w:bCs/>
                                <w:i w:val="false"/>
                                <w:iCs w:val="false"/>
                                <w:color w:val="000000"/>
                                <w:sz w:val="22"/>
                                <w:szCs w:val="22"/>
                              </w:rPr>
                              <w:t>76</w:t>
                            </w:r>
                          </w:p>
                        </w:tc>
                      </w:tr>
                    </w:tbl>
                  </w:txbxContent>
                </v:textbox>
                <w10:wrap type="square"/>
              </v:rect>
            </w:pict>
          </mc:Fallback>
        </mc:AlternateContent>
      </w:r>
    </w:p>
    <w:p>
      <w:pPr>
        <w:pStyle w:val="Paragraphedeliste"/>
        <w:rPr>
          <w:rFonts w:ascii="Arial Narrow" w:hAnsi="Arial Narrow" w:cs="Arial"/>
          <w:i w:val="false"/>
          <w:i w:val="false"/>
          <w:sz w:val="24"/>
          <w:szCs w:val="24"/>
        </w:rPr>
      </w:pPr>
      <w:r>
        <w:rPr>
          <w:rFonts w:cs="Arial" w:ascii="Arial Narrow" w:hAnsi="Arial Narrow"/>
          <w:i w:val="false"/>
          <w:sz w:val="24"/>
          <w:szCs w:val="24"/>
        </w:rPr>
      </w:r>
    </w:p>
    <w:p>
      <w:pPr>
        <w:pStyle w:val="Normal"/>
        <w:spacing w:before="0" w:after="0"/>
        <w:rPr>
          <w:rFonts w:ascii="Arial Narrow" w:hAnsi="Arial Narrow" w:cs="Arial"/>
          <w:i w:val="false"/>
          <w:i w:val="false"/>
          <w:vanish/>
          <w:sz w:val="24"/>
          <w:szCs w:val="24"/>
        </w:rPr>
      </w:pPr>
      <w:r>
        <w:rPr>
          <w:rFonts w:cs="Arial" w:ascii="Arial Narrow" w:hAnsi="Arial Narrow"/>
          <w:i w:val="false"/>
          <w:vanish/>
          <w:sz w:val="24"/>
          <w:szCs w:val="24"/>
        </w:rPr>
      </w:r>
    </w:p>
    <w:p>
      <w:pPr>
        <w:pStyle w:val="Paragraphedeliste"/>
        <w:rPr>
          <w:rFonts w:ascii="Arial Narrow" w:hAnsi="Arial Narrow" w:cs="Arial"/>
          <w:i w:val="false"/>
          <w:i w:val="false"/>
          <w:sz w:val="24"/>
          <w:szCs w:val="24"/>
        </w:rPr>
      </w:pPr>
      <w:r>
        <w:rPr>
          <w:rFonts w:cs="Arial" w:ascii="Arial Narrow" w:hAnsi="Arial Narrow"/>
          <w:i w:val="false"/>
          <w:sz w:val="24"/>
          <w:szCs w:val="24"/>
        </w:rPr>
        <w:tab/>
        <w:tab/>
      </w:r>
    </w:p>
    <w:p>
      <w:pPr>
        <w:pStyle w:val="Paragraphedeliste"/>
        <w:rPr>
          <w:rFonts w:ascii="Arial Narrow" w:hAnsi="Arial Narrow" w:cs="Arial"/>
          <w:i w:val="false"/>
          <w:i w:val="false"/>
          <w:sz w:val="24"/>
          <w:szCs w:val="24"/>
          <w:highlight w:val="yellow"/>
        </w:rPr>
      </w:pPr>
      <w:r>
        <w:rPr>
          <w:rFonts w:cs="Arial" w:ascii="Arial Narrow" w:hAnsi="Arial Narrow"/>
          <w:i w:val="false"/>
          <w:sz w:val="24"/>
          <w:szCs w:val="24"/>
          <w:highlight w:val="yellow"/>
        </w:rPr>
      </w:r>
    </w:p>
    <w:p>
      <w:pPr>
        <w:pStyle w:val="Paragraphedeliste"/>
        <w:rPr>
          <w:rFonts w:ascii="Arial Narrow" w:hAnsi="Arial Narrow" w:cs="Arial"/>
          <w:i w:val="false"/>
          <w:i w:val="false"/>
          <w:sz w:val="24"/>
          <w:szCs w:val="24"/>
          <w:highlight w:val="yellow"/>
        </w:rPr>
      </w:pPr>
      <w:r>
        <w:rPr>
          <w:rFonts w:cs="Arial" w:ascii="Arial Narrow" w:hAnsi="Arial Narrow"/>
          <w:i w:val="false"/>
          <w:sz w:val="24"/>
          <w:szCs w:val="24"/>
          <w:highlight w:val="yellow"/>
        </w:rPr>
      </w:r>
    </w:p>
    <w:p>
      <w:pPr>
        <w:pStyle w:val="Paragraphedeliste"/>
        <w:rPr>
          <w:rFonts w:ascii="Arial Narrow" w:hAnsi="Arial Narrow" w:cs="Arial"/>
          <w:i w:val="false"/>
          <w:i w:val="false"/>
          <w:sz w:val="24"/>
          <w:szCs w:val="24"/>
          <w:highlight w:val="yellow"/>
        </w:rPr>
      </w:pPr>
      <w:r>
        <w:rPr>
          <w:rFonts w:cs="Arial" w:ascii="Arial Narrow" w:hAnsi="Arial Narrow"/>
          <w:i w:val="false"/>
          <w:sz w:val="24"/>
          <w:szCs w:val="24"/>
          <w:highlight w:val="yellow"/>
        </w:rPr>
      </w:r>
    </w:p>
    <w:p>
      <w:pPr>
        <w:pStyle w:val="Paragraphedeliste"/>
        <w:rPr>
          <w:rFonts w:ascii="Arial Narrow" w:hAnsi="Arial Narrow" w:cs="Arial"/>
          <w:i w:val="false"/>
          <w:i w:val="false"/>
          <w:sz w:val="24"/>
          <w:szCs w:val="24"/>
          <w:highlight w:val="yellow"/>
        </w:rPr>
      </w:pPr>
      <w:r>
        <w:rPr>
          <w:rFonts w:cs="Arial" w:ascii="Arial Narrow" w:hAnsi="Arial Narrow"/>
          <w:i w:val="false"/>
          <w:sz w:val="24"/>
          <w:szCs w:val="24"/>
          <w:highlight w:val="yellow"/>
        </w:rPr>
      </w:r>
    </w:p>
    <w:p>
      <w:pPr>
        <w:pStyle w:val="Paragraphedeliste"/>
        <w:rPr>
          <w:rFonts w:ascii="Arial Narrow" w:hAnsi="Arial Narrow" w:cs="Arial"/>
          <w:i w:val="false"/>
          <w:i w:val="false"/>
          <w:sz w:val="24"/>
          <w:szCs w:val="24"/>
          <w:highlight w:val="yellow"/>
        </w:rPr>
      </w:pPr>
      <w:r>
        <w:rPr>
          <w:rFonts w:cs="Arial" w:ascii="Arial Narrow" w:hAnsi="Arial Narrow"/>
          <w:i w:val="false"/>
          <w:sz w:val="24"/>
          <w:szCs w:val="24"/>
          <w:highlight w:val="yellow"/>
        </w:rPr>
      </w:r>
    </w:p>
    <w:p>
      <w:pPr>
        <w:pStyle w:val="Citation"/>
        <w:rPr/>
      </w:pPr>
      <w:r>
        <w:rPr>
          <w:rStyle w:val="Emphasis"/>
          <w:rFonts w:cs="Calibri"/>
          <w:i w:val="false"/>
          <w:color w:val="000000"/>
          <w:sz w:val="22"/>
          <w:szCs w:val="22"/>
          <w:u w:val="single"/>
        </w:rPr>
        <w:t xml:space="preserve">B – Bilan entretiens. </w:t>
      </w:r>
    </w:p>
    <w:p>
      <w:pPr>
        <w:pStyle w:val="Normal"/>
        <w:numPr>
          <w:ilvl w:val="0"/>
          <w:numId w:val="8"/>
        </w:numPr>
        <w:spacing w:lineRule="auto" w:line="240" w:before="0" w:after="120"/>
        <w:jc w:val="both"/>
        <w:rPr>
          <w:rFonts w:ascii="Arial Narrow" w:hAnsi="Arial Narrow" w:cs="Arial"/>
          <w:b/>
          <w:b/>
          <w:i w:val="false"/>
          <w:i w:val="false"/>
          <w:sz w:val="24"/>
          <w:szCs w:val="24"/>
        </w:rPr>
      </w:pPr>
      <w:r>
        <w:rPr>
          <w:rFonts w:cs="Arial" w:ascii="Arial Narrow" w:hAnsi="Arial Narrow"/>
          <w:b/>
          <w:i w:val="false"/>
          <w:sz w:val="24"/>
          <w:szCs w:val="24"/>
        </w:rPr>
        <w:t xml:space="preserve">Situation entretiens Mi carrière – (30/11/19). </w:t>
      </w:r>
    </w:p>
    <w:p>
      <w:pPr>
        <w:pStyle w:val="Normal"/>
        <w:spacing w:lineRule="auto" w:line="240" w:before="0" w:after="120"/>
        <w:ind w:left="720" w:hanging="0"/>
        <w:jc w:val="both"/>
        <w:rPr>
          <w:rFonts w:ascii="Arial Narrow" w:hAnsi="Arial Narrow" w:cs="Arial"/>
          <w:b/>
          <w:b/>
          <w:i w:val="false"/>
          <w:i w:val="false"/>
          <w:sz w:val="24"/>
          <w:szCs w:val="24"/>
        </w:rPr>
      </w:pPr>
      <w:r>
        <w:rPr>
          <w:i w:val="false"/>
        </w:rPr>
        <w:t>L’accord sur les séniors conclu le 30 novembre 2009 visait à mettre en place un entretien de mi-carrière à 45 ans dans le but de faire un point sur les perspectives d’évolutions au sein de l’entreprise.</w:t>
      </w:r>
    </w:p>
    <w:p>
      <w:pPr>
        <w:pStyle w:val="Sansinterligne"/>
        <w:ind w:left="709" w:hanging="0"/>
        <w:rPr/>
      </w:pPr>
      <w:r>
        <w:rPr>
          <w:i w:val="false"/>
        </w:rPr>
        <w:t>Conformément à cet accord l’entretien peut se tenir à l’occasion de l’entretien professionnel.</w:t>
      </w:r>
    </w:p>
    <w:p>
      <w:pPr>
        <w:pStyle w:val="Sansinterligne"/>
        <w:ind w:left="709" w:hanging="0"/>
        <w:rPr>
          <w:i w:val="false"/>
          <w:i w:val="false"/>
        </w:rPr>
      </w:pPr>
      <w:r>
        <w:rPr>
          <w:i w:val="false"/>
        </w:rPr>
      </w:r>
    </w:p>
    <w:p>
      <w:pPr>
        <w:pStyle w:val="Sansinterligne"/>
        <w:ind w:left="709" w:hanging="0"/>
        <w:jc w:val="both"/>
        <w:rPr>
          <w:i w:val="false"/>
          <w:i w:val="false"/>
        </w:rPr>
      </w:pPr>
      <w:r>
        <w:rPr>
          <w:i w:val="false"/>
        </w:rPr>
        <w:t>Etant donné que l’entretien professionnel évoque en partie les mêmes thèmes, il est décidé pour 2020 d’adapter le support de l’entretien professionnel en vue d’accorder une attention particulière aux salariés en 2</w:t>
      </w:r>
      <w:r>
        <w:rPr>
          <w:i w:val="false"/>
          <w:vertAlign w:val="superscript"/>
        </w:rPr>
        <w:t>ème</w:t>
      </w:r>
      <w:r>
        <w:rPr>
          <w:i w:val="false"/>
        </w:rPr>
        <w:t xml:space="preserve"> partie de carrière. </w:t>
      </w:r>
    </w:p>
    <w:p>
      <w:pPr>
        <w:pStyle w:val="Sansinterligne"/>
        <w:ind w:firstLine="360"/>
        <w:rPr>
          <w:i w:val="false"/>
          <w:i w:val="false"/>
        </w:rPr>
      </w:pPr>
      <w:r>
        <w:rPr>
          <w:rFonts w:eastAsia="Calibri" w:cs="Calibri"/>
          <w:i w:val="false"/>
        </w:rPr>
        <w:t xml:space="preserve">  </w:t>
      </w:r>
    </w:p>
    <w:p>
      <w:pPr>
        <w:pStyle w:val="Normal"/>
        <w:spacing w:lineRule="auto" w:line="240" w:before="0" w:after="120"/>
        <w:ind w:left="709" w:hanging="0"/>
        <w:jc w:val="both"/>
        <w:rPr>
          <w:rFonts w:cs="Arial"/>
          <w:i w:val="false"/>
          <w:i w:val="false"/>
        </w:rPr>
      </w:pPr>
      <w:r>
        <w:rPr>
          <w:rFonts w:cs="Arial"/>
          <w:i w:val="false"/>
        </w:rPr>
        <w:t>En 2019, nous avons embauché 12 salariés de plus de 45 ans (dont 6 de plus de 50 ans).</w:t>
      </w:r>
    </w:p>
    <w:p>
      <w:pPr>
        <w:pStyle w:val="Normal"/>
        <w:spacing w:lineRule="auto" w:line="240" w:before="0" w:after="120"/>
        <w:ind w:left="709" w:hanging="0"/>
        <w:jc w:val="both"/>
        <w:rPr>
          <w:rFonts w:cs="Arial"/>
          <w:i w:val="false"/>
          <w:i w:val="false"/>
        </w:rPr>
      </w:pPr>
      <w:r>
        <w:rPr>
          <w:rFonts w:cs="Arial"/>
          <w:i w:val="false"/>
        </w:rPr>
      </w:r>
    </w:p>
    <w:p>
      <w:pPr>
        <w:pStyle w:val="Normal"/>
        <w:numPr>
          <w:ilvl w:val="0"/>
          <w:numId w:val="8"/>
        </w:numPr>
        <w:spacing w:lineRule="auto" w:line="240" w:before="0" w:after="120"/>
        <w:jc w:val="both"/>
        <w:rPr>
          <w:rFonts w:ascii="Arial Narrow" w:hAnsi="Arial Narrow" w:cs="Arial"/>
          <w:b/>
          <w:b/>
          <w:i w:val="false"/>
          <w:i w:val="false"/>
          <w:sz w:val="24"/>
          <w:szCs w:val="24"/>
        </w:rPr>
      </w:pPr>
      <w:r>
        <w:rPr>
          <w:rFonts w:cs="Arial" w:ascii="Arial Narrow" w:hAnsi="Arial Narrow"/>
          <w:b/>
          <w:i w:val="false"/>
          <w:sz w:val="24"/>
          <w:szCs w:val="24"/>
        </w:rPr>
        <w:t>Situation des entretiens annuels – professionnels - (30/11/19) :</w:t>
      </w:r>
    </w:p>
    <w:p>
      <w:pPr>
        <w:pStyle w:val="Normal"/>
        <w:spacing w:lineRule="auto" w:line="240" w:before="0" w:after="120"/>
        <w:ind w:left="360" w:hanging="0"/>
        <w:jc w:val="both"/>
        <w:rPr/>
      </w:pPr>
      <w:r>
        <w:rPr>
          <w:rFonts w:cs="Arial"/>
          <w:i w:val="false"/>
        </w:rPr>
        <w:tab/>
        <w:t xml:space="preserve">Il faut distinguer 2 types d’entretiens, l’entretien annuel d’évaluation qui permettent de fixer des objectifs et </w:t>
        <w:tab/>
        <w:t xml:space="preserve">de les évaluer ainsi que l’entretien professionnel (tous les 2 ans) qui permet d’échanger sur l’orientation </w:t>
        <w:tab/>
        <w:t>professionnelle à plus ou moins terme.</w:t>
      </w:r>
    </w:p>
    <w:p>
      <w:pPr>
        <w:pStyle w:val="Normal"/>
        <w:spacing w:lineRule="auto" w:line="240" w:before="0" w:after="120"/>
        <w:ind w:left="360" w:hanging="0"/>
        <w:jc w:val="both"/>
        <w:rPr/>
      </w:pPr>
      <w:r>
        <w:rPr>
          <w:rFonts w:cs="Arial"/>
          <w:i w:val="false"/>
        </w:rPr>
        <w:tab/>
        <w:t>Les 2 entretiens peuvent être effectués simultanément.</w:t>
      </w:r>
    </w:p>
    <w:p>
      <w:pPr>
        <w:pStyle w:val="Normal"/>
        <w:numPr>
          <w:ilvl w:val="0"/>
          <w:numId w:val="9"/>
        </w:numPr>
        <w:spacing w:lineRule="auto" w:line="240" w:before="0" w:after="120"/>
        <w:jc w:val="both"/>
        <w:rPr/>
      </w:pPr>
      <w:r>
        <w:rPr>
          <w:rFonts w:cs="Arial"/>
          <w:i w:val="false"/>
        </w:rPr>
        <w:t xml:space="preserve">En 2019, 30 entretiens professionnels ont été réalisés et 39 entretiens annuels </w:t>
      </w:r>
    </w:p>
    <w:p>
      <w:pPr>
        <w:pStyle w:val="Normal"/>
        <w:spacing w:lineRule="auto" w:line="240" w:before="0" w:after="120"/>
        <w:ind w:left="284" w:hanging="0"/>
        <w:jc w:val="both"/>
        <w:rPr>
          <w:rFonts w:cs="Arial"/>
          <w:i w:val="false"/>
          <w:i w:val="false"/>
        </w:rPr>
      </w:pPr>
      <w:r>
        <w:rPr>
          <w:rFonts w:cs="Arial"/>
          <w:i w:val="false"/>
        </w:rPr>
        <w:tab/>
        <w:t xml:space="preserve"> Tous les responsables de services ont reçu en novembre 2019 les nouveaux supports d’entretiens pour </w:t>
        <w:tab/>
        <w:t>lancer la campagne de 2020 (courant 1</w:t>
      </w:r>
      <w:r>
        <w:rPr>
          <w:rFonts w:cs="Arial"/>
          <w:i w:val="false"/>
          <w:vertAlign w:val="superscript"/>
        </w:rPr>
        <w:t>er</w:t>
      </w:r>
      <w:r>
        <w:rPr>
          <w:rFonts w:cs="Arial"/>
          <w:i w:val="false"/>
        </w:rPr>
        <w:t xml:space="preserve"> trimestre).</w:t>
      </w:r>
    </w:p>
    <w:p>
      <w:pPr>
        <w:pStyle w:val="Normal"/>
        <w:spacing w:lineRule="auto" w:line="240" w:before="0" w:after="120"/>
        <w:ind w:left="284" w:hanging="0"/>
        <w:jc w:val="both"/>
        <w:rPr>
          <w:rFonts w:cs="Arial"/>
          <w:i w:val="false"/>
          <w:i w:val="false"/>
        </w:rPr>
      </w:pPr>
      <w:r>
        <w:rPr>
          <w:rFonts w:cs="Arial"/>
          <w:i w:val="false"/>
        </w:rPr>
      </w:r>
    </w:p>
    <w:p>
      <w:pPr>
        <w:pStyle w:val="Citation"/>
        <w:rPr/>
      </w:pPr>
      <w:r>
        <w:rPr>
          <w:rStyle w:val="Emphasis"/>
          <w:rFonts w:cs="Calibri"/>
          <w:i w:val="false"/>
          <w:color w:val="000000"/>
          <w:sz w:val="22"/>
          <w:szCs w:val="22"/>
          <w:u w:val="single"/>
        </w:rPr>
        <w:t xml:space="preserve">C – RTT 2020. </w:t>
      </w:r>
    </w:p>
    <w:p>
      <w:pPr>
        <w:pStyle w:val="Sansinterligne"/>
        <w:ind w:left="360" w:hanging="0"/>
        <w:jc w:val="both"/>
        <w:rPr>
          <w:i w:val="false"/>
          <w:i w:val="false"/>
        </w:rPr>
      </w:pPr>
      <w:r>
        <w:rPr>
          <w:i w:val="false"/>
        </w:rPr>
        <w:t>Les salariés dont le forfait annuel des jours travaillés du 1</w:t>
      </w:r>
      <w:r>
        <w:rPr>
          <w:i w:val="false"/>
          <w:vertAlign w:val="superscript"/>
        </w:rPr>
        <w:t>er</w:t>
      </w:r>
      <w:r>
        <w:rPr>
          <w:i w:val="false"/>
        </w:rPr>
        <w:t xml:space="preserve"> janvier au 31 décembre est de 215, bénéficieront en 2020 de 14 jours de RTT. </w:t>
      </w:r>
    </w:p>
    <w:p>
      <w:pPr>
        <w:pStyle w:val="Sansinterligne"/>
        <w:ind w:left="360" w:hanging="0"/>
        <w:jc w:val="both"/>
        <w:rPr>
          <w:i w:val="false"/>
          <w:i w:val="false"/>
        </w:rPr>
      </w:pPr>
      <w:r>
        <w:rPr>
          <w:i w:val="false"/>
        </w:rPr>
        <w:t>Pour les salariés en forfait jours 227, il n’y a pas de RTT.</w:t>
      </w:r>
    </w:p>
    <w:p>
      <w:pPr>
        <w:pStyle w:val="Sansinterligne"/>
        <w:ind w:left="360" w:hanging="0"/>
        <w:jc w:val="both"/>
        <w:rPr>
          <w:i w:val="false"/>
          <w:i w:val="false"/>
        </w:rPr>
      </w:pPr>
      <w:r>
        <w:rPr>
          <w:i w:val="false"/>
        </w:rPr>
      </w:r>
    </w:p>
    <w:p>
      <w:pPr>
        <w:pStyle w:val="Sansinterligne"/>
        <w:ind w:left="360" w:hanging="0"/>
        <w:jc w:val="both"/>
        <w:rPr>
          <w:i w:val="false"/>
          <w:i w:val="false"/>
        </w:rPr>
      </w:pPr>
      <w:r>
        <w:rPr>
          <w:i w:val="false"/>
        </w:rPr>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D – Handicap et insertion. </w:t>
      </w:r>
    </w:p>
    <w:p>
      <w:pPr>
        <w:pStyle w:val="Normal"/>
        <w:numPr>
          <w:ilvl w:val="0"/>
          <w:numId w:val="8"/>
        </w:numPr>
        <w:rPr/>
      </w:pPr>
      <w:r>
        <w:rPr>
          <w:u w:val="single"/>
        </w:rPr>
        <w:t>handicap</w:t>
      </w:r>
    </w:p>
    <w:p>
      <w:pPr>
        <w:pStyle w:val="Normal"/>
        <w:spacing w:lineRule="auto" w:line="240" w:before="0" w:after="120"/>
        <w:ind w:left="360" w:hanging="0"/>
        <w:jc w:val="both"/>
        <w:rPr>
          <w:rFonts w:cs="Arial"/>
          <w:i w:val="false"/>
          <w:i w:val="false"/>
        </w:rPr>
      </w:pPr>
      <w:r>
        <w:rPr>
          <w:rFonts w:cs="Arial"/>
          <w:i w:val="false"/>
        </w:rPr>
        <w:t xml:space="preserve">La Direction continue son engagement en favorisant l’embauche de travailleurs handicapés. </w:t>
      </w:r>
    </w:p>
    <w:p>
      <w:pPr>
        <w:pStyle w:val="Normal"/>
        <w:spacing w:lineRule="auto" w:line="240" w:before="0" w:after="120"/>
        <w:ind w:firstLine="360"/>
        <w:jc w:val="both"/>
        <w:rPr>
          <w:rFonts w:cs="Arial"/>
          <w:i w:val="false"/>
          <w:i w:val="false"/>
        </w:rPr>
      </w:pPr>
      <w:r>
        <w:rPr>
          <w:rFonts w:cs="Arial"/>
          <w:i w:val="false"/>
        </w:rPr>
        <w:t xml:space="preserve">La déclaration de 2019 exigible au 28 févier 2020 n’est pas établie à ce jour. </w:t>
      </w:r>
    </w:p>
    <w:p>
      <w:pPr>
        <w:pStyle w:val="Normal"/>
        <w:spacing w:lineRule="auto" w:line="240" w:before="0" w:after="120"/>
        <w:ind w:left="360" w:hanging="0"/>
        <w:jc w:val="both"/>
        <w:rPr>
          <w:rFonts w:cs="Arial"/>
          <w:i w:val="false"/>
          <w:i w:val="false"/>
        </w:rPr>
      </w:pPr>
      <w:r>
        <w:rPr>
          <w:rFonts w:cs="Arial"/>
          <w:i w:val="false"/>
        </w:rPr>
        <w:t>Pour 2018, l’obligation d’emploi de travailleurs handicapés était </w:t>
      </w:r>
      <w:r>
        <w:rPr>
          <w:i w:val="false"/>
        </w:rPr>
        <w:t xml:space="preserve">de 17 unités (tout établissement confondus). </w:t>
      </w:r>
    </w:p>
    <w:p>
      <w:pPr>
        <w:pStyle w:val="Sansinterligne"/>
        <w:ind w:left="360" w:hanging="0"/>
        <w:jc w:val="both"/>
        <w:rPr>
          <w:i w:val="false"/>
          <w:i w:val="false"/>
        </w:rPr>
      </w:pPr>
      <w:r>
        <w:rPr>
          <w:i w:val="false"/>
        </w:rPr>
        <w:t>Compte tenu de l’effectif de travailleurs handicapés en CDI, l’emploi de salariés intérimaires et la prestation d’entretien des espaces verts, nous avons comptabilisé un effectif en unité de 16,46.</w:t>
      </w:r>
    </w:p>
    <w:p>
      <w:pPr>
        <w:pStyle w:val="Sansinterligne"/>
        <w:ind w:left="360" w:hanging="0"/>
        <w:jc w:val="both"/>
        <w:rPr>
          <w:i w:val="false"/>
          <w:i w:val="false"/>
        </w:rPr>
      </w:pPr>
      <w:r>
        <w:rPr>
          <w:i w:val="false"/>
        </w:rPr>
        <w:t>Il y a peu de candidat ayant une reconnaissance de travailleur handicapé, néanmoins en 2019 nous avons embauché un salarié au bureau d’étude.</w:t>
      </w:r>
    </w:p>
    <w:p>
      <w:pPr>
        <w:pStyle w:val="Sansinterligne"/>
        <w:ind w:left="360" w:hanging="0"/>
        <w:jc w:val="both"/>
        <w:rPr/>
      </w:pPr>
      <w:r>
        <w:rPr>
          <w:i w:val="false"/>
        </w:rPr>
        <w:t>Il nous manquait 0.54 unités en 2018.</w:t>
      </w:r>
    </w:p>
    <w:p>
      <w:pPr>
        <w:pStyle w:val="Sansinterligne"/>
        <w:rPr>
          <w:rFonts w:ascii="Arial Narrow" w:hAnsi="Arial Narrow" w:cs="Arial"/>
          <w:i w:val="false"/>
          <w:i w:val="false"/>
          <w:sz w:val="16"/>
          <w:szCs w:val="16"/>
        </w:rPr>
      </w:pPr>
      <w:r>
        <w:rPr>
          <w:rFonts w:cs="Arial" w:ascii="Arial Narrow" w:hAnsi="Arial Narrow"/>
          <w:i w:val="false"/>
          <w:sz w:val="16"/>
          <w:szCs w:val="16"/>
        </w:rPr>
      </w:r>
    </w:p>
    <w:p>
      <w:pPr>
        <w:pStyle w:val="Sansinterligne"/>
        <w:numPr>
          <w:ilvl w:val="0"/>
          <w:numId w:val="8"/>
        </w:numPr>
        <w:rPr>
          <w:rFonts w:cs="Arial"/>
          <w:u w:val="single"/>
        </w:rPr>
      </w:pPr>
      <w:r>
        <w:rPr>
          <w:rFonts w:cs="Arial"/>
          <w:u w:val="single"/>
        </w:rPr>
        <w:t>Insertion</w:t>
      </w:r>
    </w:p>
    <w:p>
      <w:pPr>
        <w:pStyle w:val="Sansinterligne"/>
        <w:ind w:left="720" w:hanging="0"/>
        <w:rPr>
          <w:rFonts w:ascii="Arial Narrow" w:hAnsi="Arial Narrow" w:cs="Arial"/>
          <w:i w:val="false"/>
          <w:i w:val="false"/>
          <w:u w:val="single"/>
        </w:rPr>
      </w:pPr>
      <w:r>
        <w:rPr>
          <w:rFonts w:cs="Arial" w:ascii="Arial Narrow" w:hAnsi="Arial Narrow"/>
          <w:i w:val="false"/>
          <w:u w:val="single"/>
        </w:rPr>
      </w:r>
    </w:p>
    <w:p>
      <w:pPr>
        <w:pStyle w:val="Sansinterligne"/>
        <w:ind w:left="360" w:hanging="0"/>
        <w:rPr>
          <w:i w:val="false"/>
          <w:i w:val="false"/>
        </w:rPr>
      </w:pPr>
      <w:r>
        <w:rPr>
          <w:i w:val="false"/>
        </w:rPr>
        <w:t>1 - L'insertion par l'activité professionnelle a pour objet de permettre à des personnes sans emploi rencontrant des difficultés sociales et professionnelles particulières de bénéficier d’un contrat de travail en vue de faciliter leur insertion dans la vie sociale et professionnelle.</w:t>
        <w:br/>
        <w:t>La clause d'insertion est une condition d'exécution du marché permettant de réserver une part des heures de travail à la réalisation d’une action d’insertion, imposée par le client.</w:t>
      </w:r>
    </w:p>
    <w:p>
      <w:pPr>
        <w:pStyle w:val="Sansinterligne"/>
        <w:ind w:left="360" w:hanging="0"/>
        <w:jc w:val="both"/>
        <w:rPr>
          <w:i w:val="false"/>
          <w:i w:val="false"/>
        </w:rPr>
      </w:pPr>
      <w:r>
        <w:rPr>
          <w:i w:val="false"/>
        </w:rPr>
      </w:r>
    </w:p>
    <w:p>
      <w:pPr>
        <w:pStyle w:val="Sansinterligne"/>
        <w:ind w:left="360" w:hanging="0"/>
        <w:jc w:val="both"/>
        <w:rPr/>
      </w:pPr>
      <w:r>
        <w:rPr>
          <w:i w:val="false"/>
        </w:rPr>
        <w:t>En 2019 nous avons eu 4 marchés avec des clauses d’insertion pour 1 350hrs.</w:t>
      </w:r>
    </w:p>
    <w:p>
      <w:pPr>
        <w:pStyle w:val="Sansinterligne"/>
        <w:ind w:left="360" w:hanging="0"/>
        <w:jc w:val="both"/>
        <w:rPr>
          <w:i w:val="false"/>
          <w:i w:val="false"/>
        </w:rPr>
      </w:pPr>
      <w:r>
        <w:rPr>
          <w:i w:val="false"/>
        </w:rPr>
        <w:t xml:space="preserve">Nous avons pu répondre favorablement à cette exigence avec les heures nécessaires à la réalisation des projets par des salariés handicapés, ainsi que par l’embauche à durée indéterminée d’intérimaires en difficulté sociales et/ou professionnelles. </w:t>
      </w:r>
    </w:p>
    <w:p>
      <w:pPr>
        <w:pStyle w:val="Sansinterligne"/>
        <w:ind w:left="360" w:hanging="0"/>
        <w:jc w:val="both"/>
        <w:rPr>
          <w:i w:val="false"/>
          <w:i w:val="false"/>
        </w:rPr>
      </w:pPr>
      <w:r>
        <w:rPr>
          <w:i w:val="false"/>
        </w:rPr>
      </w:r>
    </w:p>
    <w:p>
      <w:pPr>
        <w:pStyle w:val="Sansinterligne"/>
        <w:ind w:left="360" w:hanging="0"/>
        <w:jc w:val="both"/>
        <w:rPr>
          <w:i w:val="false"/>
          <w:i w:val="false"/>
        </w:rPr>
      </w:pPr>
      <w:r>
        <w:rPr>
          <w:i w:val="false"/>
        </w:rPr>
        <w:t>2 – « La France une chance, les entreprises s’engagent »</w:t>
      </w:r>
    </w:p>
    <w:p>
      <w:pPr>
        <w:pStyle w:val="Sansinterligne"/>
        <w:ind w:left="360" w:hanging="0"/>
        <w:jc w:val="both"/>
        <w:rPr>
          <w:i w:val="false"/>
          <w:i w:val="false"/>
        </w:rPr>
      </w:pPr>
      <w:r>
        <w:rPr>
          <w:i w:val="false"/>
        </w:rPr>
        <w:t>Castel et Fromaget a répondu favorablement à la DIRECCTE pour intégrer le club des entreprises inclusives dans le cadre de la démarche, qui a été lancé par le gouvernement sur tout le territoire national.</w:t>
      </w:r>
    </w:p>
    <w:p>
      <w:pPr>
        <w:pStyle w:val="Sansinterligne"/>
        <w:ind w:left="360" w:hanging="0"/>
        <w:jc w:val="both"/>
        <w:rPr>
          <w:i w:val="false"/>
          <w:i w:val="false"/>
        </w:rPr>
      </w:pPr>
      <w:r>
        <w:rPr>
          <w:i w:val="false"/>
        </w:rPr>
        <w:t>L’objectif de ce club est notamment de développer les initiatives et les bonnes pratiques favorisant l’accès à l’éducation ou à l’emploi des personnes les plus vulnérables ou les plus éloignés du marché du travail.</w:t>
      </w:r>
    </w:p>
    <w:p>
      <w:pPr>
        <w:pStyle w:val="Sansinterligne"/>
        <w:ind w:left="360" w:hanging="0"/>
        <w:jc w:val="both"/>
        <w:rPr>
          <w:i w:val="false"/>
          <w:i w:val="false"/>
        </w:rPr>
      </w:pPr>
      <w:r>
        <w:rPr>
          <w:i w:val="false"/>
        </w:rPr>
        <w:t>Une première réunion a eu lieu à la DIRECCTE le 1</w:t>
      </w:r>
      <w:r>
        <w:rPr>
          <w:i w:val="false"/>
          <w:vertAlign w:val="superscript"/>
        </w:rPr>
        <w:t>er</w:t>
      </w:r>
      <w:r>
        <w:rPr>
          <w:i w:val="false"/>
        </w:rPr>
        <w:t xml:space="preserve"> octobre 2019, la prochaine aura lieu le 30 janvier 2020.</w:t>
      </w:r>
    </w:p>
    <w:p>
      <w:pPr>
        <w:pStyle w:val="Normal"/>
        <w:jc w:val="both"/>
        <w:rPr>
          <w:rFonts w:ascii="Arial Narrow" w:hAnsi="Arial Narrow" w:cs="Arial"/>
          <w:i w:val="false"/>
          <w:i w:val="false"/>
          <w:sz w:val="16"/>
          <w:szCs w:val="16"/>
        </w:rPr>
      </w:pPr>
      <w:r>
        <w:rPr>
          <w:rFonts w:cs="Arial" w:ascii="Arial Narrow" w:hAnsi="Arial Narrow"/>
          <w:i w:val="false"/>
          <w:sz w:val="24"/>
          <w:szCs w:val="24"/>
        </w:rPr>
        <w:tab/>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E – Horaire de bureau (souhait d’aménagement). </w:t>
      </w:r>
    </w:p>
    <w:p>
      <w:pPr>
        <w:pStyle w:val="Citation"/>
        <w:rPr>
          <w:rFonts w:cs="Arial"/>
          <w:color w:val="000000"/>
        </w:rPr>
      </w:pPr>
      <w:r>
        <w:rPr>
          <w:rFonts w:cs="Arial"/>
          <w:color w:val="000000"/>
        </w:rPr>
        <w:t xml:space="preserve">Compte tenu du décalage horaire avec les DOM TOM (+/- 6 heures), nous ne pouvons travailler avec nos agences qu’à compter du début d’après-midi. Il est donc impossible que les services en relation avec les agences soient absents le vendredi après-midi. </w:t>
      </w:r>
    </w:p>
    <w:p>
      <w:pPr>
        <w:pStyle w:val="Citation"/>
        <w:rPr>
          <w:rFonts w:cs="Arial"/>
          <w:color w:val="000000"/>
        </w:rPr>
      </w:pPr>
      <w:r>
        <w:rPr>
          <w:rFonts w:cs="Arial"/>
          <w:color w:val="000000"/>
        </w:rPr>
        <w:t xml:space="preserve">Pour des raisons d’équité cet aménagement d’horaire ne sera pas mis en place au sein des autres services.   </w:t>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F – 13</w:t>
      </w:r>
      <w:r>
        <w:rPr>
          <w:rStyle w:val="Emphasis"/>
          <w:rFonts w:cs="Calibri"/>
          <w:i w:val="false"/>
          <w:color w:val="000000"/>
          <w:sz w:val="22"/>
          <w:szCs w:val="22"/>
          <w:u w:val="single"/>
          <w:vertAlign w:val="superscript"/>
        </w:rPr>
        <w:t>E</w:t>
      </w:r>
      <w:r>
        <w:rPr>
          <w:rStyle w:val="Emphasis"/>
          <w:rFonts w:cs="Calibri"/>
          <w:i w:val="false"/>
          <w:color w:val="000000"/>
          <w:sz w:val="22"/>
          <w:szCs w:val="22"/>
          <w:u w:val="single"/>
        </w:rPr>
        <w:t xml:space="preserve"> mois ou gratification équivalente. </w:t>
      </w:r>
    </w:p>
    <w:p>
      <w:pPr>
        <w:pStyle w:val="Normal"/>
        <w:spacing w:lineRule="auto" w:line="240" w:before="0" w:after="0"/>
        <w:jc w:val="both"/>
        <w:rPr>
          <w:i w:val="false"/>
          <w:i w:val="false"/>
          <w:iCs w:val="false"/>
        </w:rPr>
      </w:pPr>
      <w:r>
        <w:rPr>
          <w:i w:val="false"/>
          <w:iCs w:val="false"/>
        </w:rPr>
        <w:t>La Direction ne souhaite pas remplacer l’accord de gratification en vigueur par un 13</w:t>
      </w:r>
      <w:r>
        <w:rPr>
          <w:i w:val="false"/>
          <w:iCs w:val="false"/>
          <w:vertAlign w:val="superscript"/>
        </w:rPr>
        <w:t>ème</w:t>
      </w:r>
      <w:r>
        <w:rPr>
          <w:i w:val="false"/>
          <w:iCs w:val="false"/>
        </w:rPr>
        <w:t xml:space="preserve"> mois.</w:t>
      </w:r>
    </w:p>
    <w:p>
      <w:pPr>
        <w:pStyle w:val="Normal"/>
        <w:spacing w:lineRule="auto" w:line="240" w:before="0" w:after="0"/>
        <w:jc w:val="both"/>
        <w:rPr>
          <w:i w:val="false"/>
          <w:i w:val="false"/>
          <w:iCs w:val="false"/>
        </w:rPr>
      </w:pPr>
      <w:r>
        <w:rPr>
          <w:i w:val="false"/>
          <w:iCs w:val="false"/>
        </w:rPr>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G – Sous-traitance. </w:t>
      </w:r>
    </w:p>
    <w:p>
      <w:pPr>
        <w:pStyle w:val="Normal"/>
        <w:numPr>
          <w:ilvl w:val="0"/>
          <w:numId w:val="8"/>
        </w:numPr>
        <w:jc w:val="both"/>
        <w:rPr>
          <w:i w:val="false"/>
          <w:i w:val="false"/>
        </w:rPr>
      </w:pPr>
      <w:r>
        <w:rPr>
          <w:i w:val="false"/>
        </w:rPr>
        <w:t>Au niveau du bureau d’étude la sous-traitance représente 26.4% des affaires traitées.</w:t>
      </w:r>
    </w:p>
    <w:p>
      <w:pPr>
        <w:pStyle w:val="Normal"/>
        <w:numPr>
          <w:ilvl w:val="0"/>
          <w:numId w:val="8"/>
        </w:numPr>
        <w:jc w:val="both"/>
        <w:rPr>
          <w:i w:val="false"/>
          <w:i w:val="false"/>
        </w:rPr>
      </w:pPr>
      <w:r>
        <w:rPr>
          <w:i w:val="false"/>
        </w:rPr>
        <w:t xml:space="preserve">Sur chantier la sous-traitance représente 70%. Compte tenu de l’éloignement de nos chantiers (toute la France), il est difficile d’avoir plusieurs équipes simultanément en grands déplacements ou des équipes qui sont régulièrement en grands déplacements. On privilégie la proximité pour l’efficacité.  </w:t>
      </w:r>
    </w:p>
    <w:p>
      <w:pPr>
        <w:pStyle w:val="Sansinterligne"/>
        <w:ind w:left="360" w:firstLine="349"/>
        <w:rPr>
          <w:i w:val="false"/>
          <w:i w:val="false"/>
          <w:iCs w:val="false"/>
        </w:rPr>
      </w:pPr>
      <w:r>
        <w:rPr>
          <w:rFonts w:eastAsia="Calibri" w:cs="Calibri"/>
        </w:rPr>
        <w:t xml:space="preserve"> </w:t>
      </w:r>
    </w:p>
    <w:p>
      <w:pPr>
        <w:pStyle w:val="Citation"/>
        <w:rPr>
          <w:rStyle w:val="Emphasis"/>
          <w:rFonts w:ascii="Calibri" w:hAnsi="Calibri" w:cs="Calibri"/>
          <w:i w:val="false"/>
          <w:i w:val="false"/>
          <w:color w:val="000000"/>
          <w:sz w:val="22"/>
          <w:szCs w:val="22"/>
          <w:u w:val="single"/>
        </w:rPr>
      </w:pPr>
      <w:r>
        <w:rPr>
          <w:rStyle w:val="Emphasis"/>
          <w:rFonts w:cs="Calibri"/>
          <w:i w:val="false"/>
          <w:color w:val="000000"/>
          <w:sz w:val="22"/>
          <w:szCs w:val="22"/>
          <w:u w:val="single"/>
        </w:rPr>
        <w:t xml:space="preserve">H – Jours pour garde enfants. </w:t>
      </w:r>
    </w:p>
    <w:p>
      <w:pPr>
        <w:pStyle w:val="Citation"/>
        <w:rPr>
          <w:b/>
          <w:b/>
          <w:bCs/>
          <w:iCs/>
          <w:color w:val="000000"/>
          <w:sz w:val="22"/>
          <w:szCs w:val="22"/>
          <w:highlight w:val="red"/>
          <w:u w:val="single"/>
          <w:bdr w:val="single" w:sz="18" w:space="0" w:color="F2DBDB"/>
        </w:rPr>
      </w:pPr>
      <w:r>
        <w:rPr>
          <w:iCs/>
          <w:color w:val="000000"/>
        </w:rPr>
        <w:t>Ce point pourra faire l’objet d’une demande auprès de l’assureur lors de la présentation annuelle des comptes.</w:t>
      </w:r>
    </w:p>
    <w:p>
      <w:pPr>
        <w:pStyle w:val="Normal"/>
        <w:jc w:val="center"/>
        <w:rPr>
          <w:rFonts w:cs="Arial"/>
          <w:b/>
          <w:b/>
          <w:bCs/>
          <w:i w:val="false"/>
          <w:i w:val="false"/>
          <w:iCs w:val="false"/>
          <w:color w:val="0000FF"/>
          <w:sz w:val="32"/>
          <w:szCs w:val="32"/>
          <w:u w:val="single"/>
          <w:bdr w:val="single" w:sz="18" w:space="0" w:color="F2DBDB"/>
          <w:shd w:fill="F2DBDB" w:val="clear"/>
        </w:rPr>
      </w:pPr>
      <w:r>
        <w:rPr>
          <w:rFonts w:cs="Arial"/>
          <w:b/>
          <w:bCs/>
          <w:i w:val="false"/>
          <w:iCs w:val="false"/>
          <w:color w:val="0000FF"/>
          <w:sz w:val="32"/>
          <w:szCs w:val="32"/>
          <w:u w:val="single"/>
          <w:bdr w:val="single" w:sz="18" w:space="0" w:color="F2DBDB"/>
          <w:shd w:fill="F2DBDB" w:val="clear"/>
        </w:rPr>
      </w:r>
    </w:p>
    <w:p>
      <w:pPr>
        <w:pStyle w:val="Normal"/>
        <w:pBdr>
          <w:top w:val="single" w:sz="4" w:space="1" w:color="000000"/>
          <w:left w:val="single" w:sz="4" w:space="4" w:color="000000"/>
          <w:bottom w:val="single" w:sz="4" w:space="1" w:color="000000"/>
          <w:right w:val="single" w:sz="4" w:space="4" w:color="000000"/>
        </w:pBdr>
        <w:jc w:val="center"/>
        <w:rPr>
          <w:rFonts w:cs="Arial"/>
          <w:b/>
          <w:b/>
          <w:bCs/>
          <w:i w:val="false"/>
          <w:i w:val="false"/>
          <w:color w:val="0000FF"/>
          <w:sz w:val="32"/>
          <w:szCs w:val="32"/>
        </w:rPr>
      </w:pPr>
      <w:r>
        <w:rPr>
          <w:rFonts w:cs="Arial"/>
          <w:b/>
          <w:bCs/>
          <w:i w:val="false"/>
          <w:color w:val="0000FF"/>
          <w:sz w:val="32"/>
          <w:szCs w:val="32"/>
        </w:rPr>
        <w:t>PROTOCOLE D’ACCORD</w:t>
      </w:r>
    </w:p>
    <w:p>
      <w:pPr>
        <w:pStyle w:val="Sansinterligne"/>
        <w:rPr>
          <w:rFonts w:cs="Arial"/>
          <w:b/>
          <w:b/>
          <w:bCs/>
          <w:i w:val="false"/>
          <w:i w:val="false"/>
          <w:color w:val="0000FF"/>
          <w:sz w:val="32"/>
          <w:szCs w:val="32"/>
        </w:rPr>
      </w:pPr>
      <w:r>
        <w:rPr>
          <w:rFonts w:cs="Arial"/>
          <w:b/>
          <w:bCs/>
          <w:i w:val="false"/>
          <w:color w:val="0000FF"/>
          <w:sz w:val="32"/>
          <w:szCs w:val="32"/>
        </w:rPr>
      </w:r>
    </w:p>
    <w:p>
      <w:pPr>
        <w:pStyle w:val="Normal"/>
        <w:jc w:val="both"/>
        <w:rPr>
          <w:rFonts w:cs="Arial"/>
          <w:i w:val="false"/>
          <w:i w:val="false"/>
        </w:rPr>
      </w:pPr>
      <w:r>
        <w:rPr>
          <w:rFonts w:cs="Arial"/>
          <w:i w:val="false"/>
        </w:rPr>
        <w:t xml:space="preserve">A l’issue des réunions de négociations il a été convenu un accord entre : </w:t>
      </w:r>
    </w:p>
    <w:p>
      <w:pPr>
        <w:pStyle w:val="Normal"/>
        <w:numPr>
          <w:ilvl w:val="0"/>
          <w:numId w:val="11"/>
        </w:numPr>
        <w:jc w:val="both"/>
        <w:rPr/>
      </w:pPr>
      <w:r>
        <w:rPr>
          <w:rFonts w:cs="Arial"/>
          <w:i w:val="false"/>
        </w:rPr>
        <w:t xml:space="preserve">la société CASTEL &amp; FROMAGET représentée par le Directeur d’une part, </w:t>
      </w:r>
    </w:p>
    <w:p>
      <w:pPr>
        <w:pStyle w:val="Normal"/>
        <w:numPr>
          <w:ilvl w:val="0"/>
          <w:numId w:val="11"/>
        </w:numPr>
        <w:jc w:val="both"/>
        <w:rPr>
          <w:rFonts w:cs="Arial"/>
          <w:i w:val="false"/>
          <w:i w:val="false"/>
        </w:rPr>
      </w:pPr>
      <w:r>
        <w:rPr>
          <w:rFonts w:cs="Arial"/>
          <w:i w:val="false"/>
        </w:rPr>
        <w:t>les Organisations Syndicales d’autre part, représentées par le Délégué Syndical FO et le Délégué Syndical CGT</w:t>
      </w:r>
    </w:p>
    <w:p>
      <w:pPr>
        <w:pStyle w:val="Normal"/>
        <w:jc w:val="both"/>
        <w:rPr/>
      </w:pPr>
      <w:r>
        <w:rPr>
          <w:rFonts w:cs="Arial"/>
          <w:b/>
          <w:bCs/>
          <w:i w:val="false"/>
          <w:color w:val="0000FF"/>
          <w:sz w:val="24"/>
          <w:szCs w:val="24"/>
          <w:u w:val="single"/>
        </w:rPr>
        <w:t>ARTICLE 1</w:t>
      </w:r>
      <w:r>
        <w:rPr>
          <w:rFonts w:cs="Arial"/>
          <w:b/>
          <w:bCs/>
          <w:i w:val="false"/>
          <w:color w:val="0000FF"/>
          <w:sz w:val="24"/>
          <w:szCs w:val="24"/>
          <w:u w:val="single"/>
          <w:vertAlign w:val="superscript"/>
        </w:rPr>
        <w:t>er</w:t>
      </w:r>
      <w:r>
        <w:rPr>
          <w:rFonts w:cs="Arial"/>
          <w:b/>
          <w:bCs/>
          <w:i w:val="false"/>
          <w:color w:val="0000FF"/>
          <w:sz w:val="24"/>
          <w:szCs w:val="24"/>
          <w:u w:val="single"/>
        </w:rPr>
        <w:t xml:space="preserve"> – CHAMP D’APPLICATION DE L’ACCORD : </w:t>
      </w:r>
    </w:p>
    <w:p>
      <w:pPr>
        <w:pStyle w:val="Normal"/>
        <w:jc w:val="both"/>
        <w:rPr/>
      </w:pPr>
      <w:r>
        <w:rPr>
          <w:rFonts w:cs="Arial"/>
          <w:i w:val="false"/>
        </w:rPr>
        <w:t>Le présent accord s’applique à l’ensemble du personnel permanent travaillant dans l’entreprise CASTEL &amp; FROMAGET selon les dispositions qui suivent.</w:t>
      </w:r>
    </w:p>
    <w:p>
      <w:pPr>
        <w:pStyle w:val="Sansinterligne"/>
        <w:rPr>
          <w:rFonts w:cs="Arial"/>
          <w:i w:val="false"/>
          <w:i w:val="false"/>
        </w:rPr>
      </w:pPr>
      <w:r>
        <w:rPr>
          <w:rFonts w:cs="Arial"/>
          <w:i w:val="false"/>
        </w:rPr>
      </w:r>
    </w:p>
    <w:p>
      <w:pPr>
        <w:pStyle w:val="Normal"/>
        <w:jc w:val="both"/>
        <w:rPr>
          <w:rFonts w:cs="Arial"/>
          <w:b/>
          <w:b/>
          <w:bCs/>
          <w:i w:val="false"/>
          <w:i w:val="false"/>
          <w:color w:val="0000FF"/>
          <w:sz w:val="24"/>
          <w:szCs w:val="24"/>
          <w:u w:val="single"/>
        </w:rPr>
      </w:pPr>
      <w:r>
        <w:rPr>
          <w:rFonts w:cs="Arial"/>
          <w:b/>
          <w:bCs/>
          <w:i w:val="false"/>
          <w:color w:val="0000FF"/>
          <w:sz w:val="24"/>
          <w:szCs w:val="24"/>
          <w:u w:val="single"/>
        </w:rPr>
        <w:t xml:space="preserve">ARTICLE 2 – OBJET DE L’ACCORD : </w:t>
      </w:r>
    </w:p>
    <w:p>
      <w:pPr>
        <w:pStyle w:val="Normal"/>
        <w:jc w:val="both"/>
        <w:rPr>
          <w:rFonts w:cs="Arial"/>
          <w:i w:val="false"/>
          <w:i w:val="false"/>
        </w:rPr>
      </w:pPr>
      <w:r>
        <w:rPr>
          <w:rFonts w:cs="Arial"/>
          <w:i w:val="false"/>
        </w:rPr>
        <w:t xml:space="preserve">Les dispositions sont les suivantes : </w:t>
      </w:r>
    </w:p>
    <w:p>
      <w:pPr>
        <w:pStyle w:val="Normal"/>
        <w:jc w:val="both"/>
        <w:rPr/>
      </w:pPr>
      <w:r>
        <w:rPr>
          <w:rFonts w:cs="Arial"/>
          <w:b/>
          <w:bCs/>
          <w:i w:val="false"/>
        </w:rPr>
        <w:t xml:space="preserve">a)- </w:t>
      </w:r>
      <w:r>
        <w:rPr>
          <w:rFonts w:cs="Arial"/>
          <w:b/>
          <w:bCs/>
          <w:i w:val="false"/>
          <w:u w:val="single"/>
        </w:rPr>
        <w:t>Rémunération et avantages à effet au 1</w:t>
      </w:r>
      <w:r>
        <w:rPr>
          <w:rFonts w:cs="Arial"/>
          <w:b/>
          <w:bCs/>
          <w:i w:val="false"/>
          <w:u w:val="single"/>
          <w:vertAlign w:val="superscript"/>
        </w:rPr>
        <w:t>er</w:t>
      </w:r>
      <w:r>
        <w:rPr>
          <w:rFonts w:cs="Arial"/>
          <w:b/>
          <w:bCs/>
          <w:i w:val="false"/>
          <w:u w:val="single"/>
        </w:rPr>
        <w:t xml:space="preserve"> janvier 2020</w:t>
      </w:r>
      <w:r>
        <w:rPr>
          <w:rFonts w:cs="Arial"/>
          <w:b/>
          <w:bCs/>
          <w:i w:val="false"/>
        </w:rPr>
        <w:t xml:space="preserve"> : </w:t>
      </w:r>
    </w:p>
    <w:p>
      <w:pPr>
        <w:pStyle w:val="Normal"/>
        <w:numPr>
          <w:ilvl w:val="0"/>
          <w:numId w:val="12"/>
        </w:numPr>
        <w:jc w:val="both"/>
        <w:rPr>
          <w:rFonts w:cs="Arial"/>
          <w:i w:val="false"/>
          <w:i w:val="false"/>
        </w:rPr>
      </w:pPr>
      <w:r>
        <w:rPr>
          <w:rFonts w:cs="Arial"/>
          <w:i w:val="false"/>
        </w:rPr>
        <w:t>Une augmentation générale des salaires de base des Ouvriers, Etams et Cadres Castel &amp; Fromaget ayant au moins 3 mois d’ancienneté au 1</w:t>
      </w:r>
      <w:r>
        <w:rPr>
          <w:rFonts w:cs="Arial"/>
          <w:i w:val="false"/>
          <w:vertAlign w:val="superscript"/>
        </w:rPr>
        <w:t>er</w:t>
      </w:r>
      <w:r>
        <w:rPr>
          <w:rFonts w:cs="Arial"/>
          <w:i w:val="false"/>
        </w:rPr>
        <w:t xml:space="preserve"> janvier 2020 de </w:t>
      </w:r>
      <w:r>
        <w:rPr>
          <w:rFonts w:cs="Arial"/>
          <w:b/>
          <w:i w:val="false"/>
        </w:rPr>
        <w:t>1 %</w:t>
      </w:r>
      <w:r>
        <w:rPr>
          <w:rFonts w:cs="Arial"/>
          <w:i w:val="false"/>
        </w:rPr>
        <w:t xml:space="preserve"> du salaire de base.</w:t>
      </w:r>
    </w:p>
    <w:p>
      <w:pPr>
        <w:pStyle w:val="Normal"/>
        <w:numPr>
          <w:ilvl w:val="0"/>
          <w:numId w:val="12"/>
        </w:numPr>
        <w:jc w:val="both"/>
        <w:rPr>
          <w:rFonts w:cs="Arial"/>
          <w:i w:val="false"/>
          <w:i w:val="false"/>
        </w:rPr>
      </w:pPr>
      <w:r>
        <w:rPr>
          <w:rFonts w:cs="Arial"/>
          <w:i w:val="false"/>
        </w:rPr>
        <w:t>Une revalorisation des frais de grands et petits déplacements comme suit :</w:t>
      </w:r>
    </w:p>
    <w:p>
      <w:pPr>
        <w:pStyle w:val="Normal"/>
        <w:numPr>
          <w:ilvl w:val="1"/>
          <w:numId w:val="12"/>
        </w:numPr>
        <w:jc w:val="both"/>
        <w:rPr>
          <w:rFonts w:cs="Arial"/>
          <w:i w:val="false"/>
          <w:i w:val="false"/>
          <w:u w:val="single"/>
        </w:rPr>
      </w:pPr>
      <w:r>
        <w:rPr>
          <w:rFonts w:cs="Arial"/>
          <w:i w:val="false"/>
          <w:u w:val="single"/>
        </w:rPr>
        <w:t>Grands déplacements</w:t>
      </w:r>
    </w:p>
    <w:p>
      <w:pPr>
        <w:pStyle w:val="Sansinterligne"/>
        <w:numPr>
          <w:ilvl w:val="1"/>
          <w:numId w:val="9"/>
        </w:numPr>
        <w:jc w:val="both"/>
        <w:rPr>
          <w:i w:val="false"/>
          <w:i w:val="false"/>
        </w:rPr>
      </w:pPr>
      <w:r>
        <w:rPr>
          <w:i w:val="false"/>
        </w:rPr>
        <w:t xml:space="preserve">Indemnité forfaitaire de </w:t>
      </w:r>
      <w:r>
        <w:rPr>
          <w:b/>
          <w:i w:val="false"/>
        </w:rPr>
        <w:t>88.50 € net</w:t>
      </w:r>
      <w:r>
        <w:rPr>
          <w:i w:val="false"/>
        </w:rPr>
        <w:t xml:space="preserve"> par jour entier de déplacement incluant une nuit (logiciel Notilus)</w:t>
      </w:r>
    </w:p>
    <w:p>
      <w:pPr>
        <w:pStyle w:val="Sansinterligne"/>
        <w:numPr>
          <w:ilvl w:val="1"/>
          <w:numId w:val="9"/>
        </w:numPr>
        <w:jc w:val="both"/>
        <w:rPr/>
      </w:pPr>
      <w:r>
        <w:rPr>
          <w:i w:val="false"/>
        </w:rPr>
        <w:t xml:space="preserve">Indemnité forfaitaire nette de repas de </w:t>
      </w:r>
      <w:r>
        <w:rPr>
          <w:b/>
          <w:i w:val="false"/>
        </w:rPr>
        <w:t>17.50 €</w:t>
      </w:r>
      <w:r>
        <w:rPr>
          <w:i w:val="false"/>
        </w:rPr>
        <w:t xml:space="preserve"> le jour du retour (logiciel Notilus)</w:t>
      </w:r>
    </w:p>
    <w:p>
      <w:pPr>
        <w:pStyle w:val="Sansinterligne"/>
        <w:numPr>
          <w:ilvl w:val="1"/>
          <w:numId w:val="9"/>
        </w:numPr>
        <w:jc w:val="both"/>
        <w:rPr>
          <w:i w:val="false"/>
          <w:i w:val="false"/>
        </w:rPr>
      </w:pPr>
      <w:r>
        <w:rPr>
          <w:i w:val="false"/>
        </w:rPr>
        <w:t xml:space="preserve">Une indemnité forfaitaire de trajet/temps de voyage brute (soumis à cotisations) par aller/retour chantier / lieu de rattachement versé sur la paie du mois en cours de </w:t>
      </w:r>
      <w:r>
        <w:rPr>
          <w:b/>
          <w:i w:val="false"/>
        </w:rPr>
        <w:t>49.15€</w:t>
      </w:r>
      <w:r>
        <w:rPr>
          <w:i w:val="false"/>
        </w:rPr>
        <w:t xml:space="preserve">     </w:t>
      </w:r>
    </w:p>
    <w:p>
      <w:pPr>
        <w:pStyle w:val="Normal"/>
        <w:ind w:left="1866" w:hanging="0"/>
        <w:jc w:val="both"/>
        <w:rPr>
          <w:rFonts w:cs="Arial"/>
          <w:i w:val="false"/>
          <w:i w:val="false"/>
        </w:rPr>
      </w:pPr>
      <w:r>
        <w:rPr>
          <w:rFonts w:cs="Arial"/>
          <w:i w:val="false"/>
        </w:rPr>
      </w:r>
    </w:p>
    <w:p>
      <w:pPr>
        <w:pStyle w:val="Normal"/>
        <w:numPr>
          <w:ilvl w:val="1"/>
          <w:numId w:val="12"/>
        </w:numPr>
        <w:jc w:val="both"/>
        <w:rPr>
          <w:rFonts w:cs="Arial"/>
          <w:i w:val="false"/>
          <w:i w:val="false"/>
          <w:u w:val="single"/>
        </w:rPr>
      </w:pPr>
      <w:r>
        <w:rPr>
          <w:rFonts w:cs="Arial"/>
          <w:i w:val="false"/>
          <w:u w:val="single"/>
        </w:rPr>
        <w:t>Petits déplacements</w:t>
      </w:r>
    </w:p>
    <w:p>
      <w:pPr>
        <w:pStyle w:val="Normal"/>
        <w:numPr>
          <w:ilvl w:val="1"/>
          <w:numId w:val="9"/>
        </w:numPr>
        <w:jc w:val="both"/>
        <w:rPr>
          <w:rFonts w:cs="Arial"/>
          <w:i w:val="false"/>
          <w:i w:val="false"/>
        </w:rPr>
      </w:pPr>
      <w:r>
        <w:rPr>
          <w:rFonts w:cs="Arial"/>
          <w:i w:val="false"/>
        </w:rPr>
        <w:t>Augmentation de la grille de 2019 de 1%.</w:t>
      </w:r>
    </w:p>
    <w:p>
      <w:pPr>
        <w:pStyle w:val="Normal"/>
        <w:numPr>
          <w:ilvl w:val="1"/>
          <w:numId w:val="9"/>
        </w:numPr>
        <w:jc w:val="both"/>
        <w:rPr>
          <w:rFonts w:cs="Arial"/>
          <w:i w:val="false"/>
          <w:i w:val="false"/>
        </w:rPr>
      </w:pPr>
      <w:r>
        <w:rPr>
          <w:rFonts w:cs="Arial"/>
          <w:i w:val="false"/>
        </w:rPr>
        <w:t>Montant du panier : 10.35€ dont 1.05€ de soumis et 9.30€ non soumis.</w:t>
      </w:r>
    </w:p>
    <w:p>
      <w:pPr>
        <w:pStyle w:val="Normal"/>
        <w:numPr>
          <w:ilvl w:val="0"/>
          <w:numId w:val="12"/>
        </w:numPr>
        <w:jc w:val="both"/>
        <w:rPr>
          <w:rFonts w:cs="Arial"/>
          <w:i w:val="false"/>
          <w:i w:val="false"/>
        </w:rPr>
      </w:pPr>
      <w:r>
        <w:rPr>
          <w:rFonts w:cs="Arial"/>
          <w:i w:val="false"/>
        </w:rPr>
        <w:t>Les salariés exclus de l’accord sur les grands et petits déplacements sont remboursés aux frais réels dans la limite du barème URSSAF (19€ pour les frais de repas).</w:t>
      </w:r>
    </w:p>
    <w:p>
      <w:pPr>
        <w:pStyle w:val="Normal"/>
        <w:numPr>
          <w:ilvl w:val="0"/>
          <w:numId w:val="12"/>
        </w:numPr>
        <w:jc w:val="both"/>
        <w:rPr>
          <w:rFonts w:cs="Arial"/>
          <w:i w:val="false"/>
          <w:i w:val="false"/>
        </w:rPr>
      </w:pPr>
      <w:r>
        <w:rPr>
          <w:rFonts w:cs="Arial"/>
          <w:i w:val="false"/>
        </w:rPr>
        <w:t>Augmentation de la prime de panier pour les opérateurs des ateliers qui travaillent en équipe alternée (matin et après-midi) : 3€ net par jour.</w:t>
      </w:r>
    </w:p>
    <w:p>
      <w:pPr>
        <w:pStyle w:val="Normal"/>
        <w:numPr>
          <w:ilvl w:val="0"/>
          <w:numId w:val="12"/>
        </w:numPr>
        <w:jc w:val="both"/>
        <w:rPr>
          <w:rFonts w:cs="Arial"/>
          <w:i w:val="false"/>
          <w:i w:val="false"/>
        </w:rPr>
      </w:pPr>
      <w:r>
        <w:rPr>
          <w:rFonts w:cs="Arial"/>
          <w:i w:val="false"/>
        </w:rPr>
        <w:t xml:space="preserve">Mise en place d’une prime de « chef d’équipe montage » pour les salariés rattachés à la convention collective du bâtiment et ayants cette responsabilité de 5% du salaire brut de base (salaire brut pour 151.67Hrs). Cette prime sera proratisée en cas d’absence. Les « chef d’équipe montage » de la convention de la Métallurgie bénéficient de cette prime. </w:t>
      </w:r>
    </w:p>
    <w:p>
      <w:pPr>
        <w:pStyle w:val="Normal"/>
        <w:jc w:val="both"/>
        <w:rPr>
          <w:rFonts w:cs="Arial"/>
          <w:b/>
          <w:b/>
          <w:bCs/>
          <w:i w:val="false"/>
          <w:i w:val="false"/>
          <w:iCs w:val="false"/>
        </w:rPr>
      </w:pPr>
      <w:r>
        <w:rPr>
          <w:rFonts w:cs="Arial"/>
          <w:b/>
          <w:bCs/>
          <w:i w:val="false"/>
        </w:rPr>
        <w:t xml:space="preserve">b)- </w:t>
      </w:r>
      <w:r>
        <w:rPr>
          <w:rFonts w:cs="Arial"/>
          <w:b/>
          <w:bCs/>
          <w:i w:val="false"/>
          <w:iCs w:val="false"/>
        </w:rPr>
        <w:t xml:space="preserve"> </w:t>
      </w:r>
      <w:r>
        <w:rPr>
          <w:rFonts w:cs="Arial"/>
          <w:b/>
          <w:bCs/>
          <w:i w:val="false"/>
          <w:iCs w:val="false"/>
          <w:u w:val="single"/>
        </w:rPr>
        <w:t>Arrêts de travail pour maladie</w:t>
      </w:r>
      <w:r>
        <w:rPr>
          <w:rFonts w:cs="Arial"/>
          <w:b/>
          <w:bCs/>
          <w:i w:val="false"/>
          <w:iCs w:val="false"/>
        </w:rPr>
        <w:t xml:space="preserve"> : </w:t>
      </w:r>
    </w:p>
    <w:p>
      <w:pPr>
        <w:pStyle w:val="Normal"/>
        <w:jc w:val="both"/>
        <w:rPr/>
      </w:pPr>
      <w:r>
        <w:rPr>
          <w:rFonts w:cs="Arial"/>
          <w:bCs/>
          <w:i w:val="false"/>
          <w:iCs w:val="false"/>
        </w:rPr>
        <w:t>Maintien du p</w:t>
      </w:r>
      <w:r>
        <w:rPr>
          <w:rFonts w:cs="Arial"/>
          <w:i w:val="false"/>
          <w:iCs w:val="false"/>
        </w:rPr>
        <w:t>aiement des 3 jours de carence sur présentation d’un avis d’arrêt de travail établi par un médecin ou un établissement hospitalier, sur le 1</w:t>
      </w:r>
      <w:r>
        <w:rPr>
          <w:rFonts w:cs="Arial"/>
          <w:i w:val="false"/>
          <w:iCs w:val="false"/>
          <w:vertAlign w:val="superscript"/>
        </w:rPr>
        <w:t>er</w:t>
      </w:r>
      <w:r>
        <w:rPr>
          <w:rFonts w:cs="Arial"/>
          <w:i w:val="false"/>
          <w:iCs w:val="false"/>
        </w:rPr>
        <w:t xml:space="preserve"> arrêt uniquement, mesure identique à 2019. </w:t>
      </w:r>
    </w:p>
    <w:p>
      <w:pPr>
        <w:pStyle w:val="Normal"/>
        <w:jc w:val="both"/>
        <w:rPr>
          <w:rFonts w:cs="Arial"/>
          <w:b/>
          <w:b/>
          <w:bCs/>
          <w:i w:val="false"/>
          <w:i w:val="false"/>
          <w:color w:val="0000FF"/>
          <w:sz w:val="24"/>
          <w:szCs w:val="24"/>
          <w:u w:val="single"/>
        </w:rPr>
      </w:pPr>
      <w:r>
        <w:rPr>
          <w:rFonts w:cs="Arial"/>
          <w:b/>
          <w:bCs/>
          <w:i w:val="false"/>
          <w:color w:val="0000FF"/>
          <w:sz w:val="24"/>
          <w:szCs w:val="24"/>
          <w:u w:val="single"/>
        </w:rPr>
        <w:t xml:space="preserve">ARTICLE 3 – DUREE DE L’ACCORD : </w:t>
      </w:r>
    </w:p>
    <w:p>
      <w:pPr>
        <w:pStyle w:val="Normal"/>
        <w:jc w:val="both"/>
        <w:rPr>
          <w:rFonts w:cs="Arial"/>
          <w:i w:val="false"/>
          <w:i w:val="false"/>
        </w:rPr>
      </w:pPr>
      <w:r>
        <w:rPr>
          <w:i w:val="false"/>
        </w:rPr>
        <w:t>Le présent accord est conclu pour une durée déterminée correspondant à l’année 2020</w:t>
      </w:r>
    </w:p>
    <w:p>
      <w:pPr>
        <w:pStyle w:val="Normal"/>
        <w:jc w:val="both"/>
        <w:rPr>
          <w:rFonts w:cs="Arial"/>
          <w:b/>
          <w:b/>
          <w:bCs/>
          <w:i w:val="false"/>
          <w:i w:val="false"/>
          <w:color w:val="0000FF"/>
          <w:sz w:val="24"/>
          <w:szCs w:val="24"/>
          <w:u w:val="single"/>
        </w:rPr>
      </w:pPr>
      <w:r>
        <w:rPr>
          <w:rFonts w:cs="Arial"/>
          <w:b/>
          <w:bCs/>
          <w:i w:val="false"/>
          <w:color w:val="0000FF"/>
          <w:sz w:val="24"/>
          <w:szCs w:val="24"/>
          <w:u w:val="single"/>
        </w:rPr>
        <w:t>ARTICLE 4 – PUBLICITE DE L’ACCORD :</w:t>
      </w:r>
    </w:p>
    <w:p>
      <w:pPr>
        <w:pStyle w:val="Normal"/>
        <w:jc w:val="both"/>
        <w:rPr/>
      </w:pPr>
      <w:r>
        <w:rPr>
          <w:rFonts w:cs="Arial"/>
          <w:i w:val="false"/>
        </w:rPr>
        <w:t xml:space="preserve">Le présent accord sera déposé en un exemplaire papier et par courrier électronique à la Direction Départementale du Travail et de l’Emploi du Gers et en un exemplaire au secrétariat greffe du Conseil des Prud’hommes du Gers. </w:t>
      </w:r>
    </w:p>
    <w:p>
      <w:pPr>
        <w:pStyle w:val="Normal"/>
        <w:jc w:val="both"/>
        <w:rPr>
          <w:rFonts w:cs="Arial"/>
          <w:i w:val="false"/>
          <w:i w:val="false"/>
        </w:rPr>
      </w:pPr>
      <w:r>
        <w:rPr>
          <w:rFonts w:cs="Arial"/>
          <w:i w:val="false"/>
        </w:rPr>
        <w:t>Fait à FLEURANCE, le 22 janvier 2020</w:t>
      </w:r>
    </w:p>
    <w:p>
      <w:pPr>
        <w:pStyle w:val="Sansinterligne"/>
        <w:rPr>
          <w:i w:val="false"/>
          <w:i w:val="false"/>
        </w:rPr>
      </w:pPr>
      <w:r>
        <w:rPr>
          <w:i w:val="false"/>
        </w:rPr>
        <w:t xml:space="preserve">Pour l’entreprise CASTEL &amp; FROMAGET, </w:t>
        <w:tab/>
      </w:r>
    </w:p>
    <w:p>
      <w:pPr>
        <w:pStyle w:val="Sansinterligne"/>
        <w:rPr>
          <w:i w:val="false"/>
          <w:i w:val="false"/>
        </w:rPr>
      </w:pPr>
      <w:r>
        <w:rPr>
          <w:i w:val="false"/>
        </w:rPr>
        <w:tab/>
        <w:tab/>
      </w:r>
    </w:p>
    <w:p>
      <w:pPr>
        <w:pStyle w:val="Sansinterligne"/>
        <w:rPr/>
      </w:pPr>
      <w:r>
        <w:rPr>
          <w:b/>
          <w:i w:val="false"/>
        </w:rPr>
        <w:t>Le Directeur</w:t>
      </w:r>
    </w:p>
    <w:p>
      <w:pPr>
        <w:pStyle w:val="Normal"/>
        <w:jc w:val="both"/>
        <w:rPr>
          <w:rFonts w:cs="Arial"/>
          <w:i w:val="false"/>
          <w:i w:val="false"/>
        </w:rPr>
      </w:pPr>
      <w:r>
        <w:rPr>
          <w:rFonts w:eastAsia="Calibri" w:cs="Calibri"/>
          <w:i w:val="false"/>
        </w:rPr>
        <w:t xml:space="preserve"> </w:t>
      </w:r>
    </w:p>
    <w:p>
      <w:pPr>
        <w:pStyle w:val="Normal"/>
        <w:jc w:val="both"/>
        <w:rPr>
          <w:rFonts w:cs="Arial"/>
          <w:i w:val="false"/>
          <w:i w:val="false"/>
        </w:rPr>
      </w:pPr>
      <w:r>
        <w:rPr>
          <w:rFonts w:cs="Arial"/>
          <w:i w:val="false"/>
        </w:rPr>
        <w:tab/>
      </w:r>
    </w:p>
    <w:p>
      <w:pPr>
        <w:pStyle w:val="Sansinterligne"/>
        <w:rPr>
          <w:i w:val="false"/>
          <w:i w:val="false"/>
        </w:rPr>
      </w:pPr>
      <w:r>
        <w:rPr>
          <w:i w:val="false"/>
        </w:rPr>
        <w:t xml:space="preserve">Pour le Syndicat FO </w:t>
        <w:tab/>
        <w:tab/>
        <w:tab/>
        <w:tab/>
        <w:tab/>
        <w:tab/>
        <w:tab/>
        <w:tab/>
        <w:t>Pour le Syndicat CGT</w:t>
      </w:r>
    </w:p>
    <w:p>
      <w:pPr>
        <w:pStyle w:val="Sansinterligne"/>
        <w:rPr>
          <w:vanish/>
        </w:rPr>
      </w:pPr>
      <w:r>
        <w:rPr>
          <w:i w:val="false"/>
        </w:rPr>
        <w:tab/>
        <w:tab/>
        <w:tab/>
        <w:tab/>
        <w:tab/>
        <w:tab/>
        <w:tab/>
      </w:r>
      <w:bookmarkStart w:id="3" w:name="_PictureBullets"/>
      <w:bookmarkEnd w:id="3"/>
      <w:r>
        <w:rPr/>
        <w:tab/>
        <w:tab/>
        <w:tab/>
        <w:tab/>
        <w:tab/>
        <w:tab/>
        <w:tab/>
      </w:r>
    </w:p>
    <w:sectPr>
      <w:footerReference w:type="default" r:id="rId5"/>
      <w:type w:val="nextPage"/>
      <w:pgSz w:w="11906" w:h="16838"/>
      <w:pgMar w:left="1134" w:right="1134" w:header="0" w:top="720" w:footer="720" w:bottom="77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mbria">
    <w:charset w:val="00"/>
    <w:family w:val="roman"/>
    <w:pitch w:val="variable"/>
  </w:font>
  <w:font w:name="Symbol">
    <w:charset w:val="01"/>
    <w:family w:val="roman"/>
    <w:pitch w:val="variable"/>
  </w:font>
  <w:font w:name="Courier New">
    <w:charset w:val="00"/>
    <w:family w:val="modern"/>
    <w:pitch w:val="default"/>
  </w:font>
  <w:font w:name="Wingdings">
    <w:charset w:val="02"/>
    <w:family w:val="auto"/>
    <w:pitch w:val="variable"/>
  </w:font>
  <w:font w:name="Arial Narrow">
    <w:charset w:val="00"/>
    <w:family w:val="swiss"/>
    <w:pitch w:val="variable"/>
  </w:font>
  <w:font w:name="Monotype Sorts">
    <w:altName w:val="Symbol"/>
    <w:charset w:val="02"/>
    <w:family w:val="auto"/>
    <w:pitch w:val="variable"/>
  </w:font>
  <w:font w:name="Trebuchet MS">
    <w:charset w:val="00"/>
    <w:family w:val="swiss"/>
    <w:pitch w:val="variable"/>
  </w:font>
  <w:font w:name="Tahoma">
    <w:charset w:val="00"/>
    <w:family w:val="swiss"/>
    <w:pitch w:val="variable"/>
  </w:font>
  <w:font w:name="Symbol">
    <w:charset w:val="02"/>
    <w:family w:val="auto"/>
    <w:pitch w:val="default"/>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709"/>
      <w:rPr>
        <w:i w:val="false"/>
        <w:i w:val="false"/>
        <w:iCs w:val="false"/>
        <w:color w:val="333399"/>
        <w:sz w:val="13"/>
        <w:szCs w:val="13"/>
      </w:rPr>
    </w:pPr>
    <w:r>
      <w:rPr>
        <w:i w:val="false"/>
        <w:iCs w:val="false"/>
        <w:color w:val="333399"/>
        <w:sz w:val="13"/>
        <w:szCs w:val="13"/>
      </w:rPr>
    </w:r>
  </w:p>
  <w:p>
    <w:pPr>
      <w:pStyle w:val="Normal"/>
      <w:spacing w:lineRule="auto" w:line="240" w:before="0" w:after="0"/>
      <w:ind w:right="-853" w:hanging="0"/>
      <w:rPr>
        <w:i w:val="false"/>
        <w:i w:val="false"/>
        <w:iCs w:val="false"/>
        <w:color w:val="333399"/>
        <w:sz w:val="13"/>
        <w:szCs w:val="13"/>
      </w:rPr>
    </w:pPr>
    <w:r>
      <w:rPr>
        <w:i w:val="false"/>
        <w:iCs w:val="false"/>
        <w:color w:val="333399"/>
        <w:sz w:val="13"/>
        <w:szCs w:val="13"/>
      </w:rPr>
      <w:t xml:space="preserve">Siège Social : 35 avenue Clément Fayat – BP 22 – 32501 Fleurance cedex –Tél.: +33(0)5 62 67 45 45 –Fax: +33(0)5 62 67 45 08 – </w:t>
    </w:r>
    <w:hyperlink r:id="rId1">
      <w:r>
        <w:rPr>
          <w:rStyle w:val="InternetLink"/>
          <w:i w:val="false"/>
          <w:iCs w:val="false"/>
          <w:color w:val="333399"/>
          <w:sz w:val="13"/>
          <w:szCs w:val="13"/>
          <w:u w:val="single"/>
        </w:rPr>
        <w:t>infos@castel.fayat.com</w:t>
      </w:r>
    </w:hyperlink>
    <w:r>
      <w:rPr>
        <w:i w:val="false"/>
        <w:iCs w:val="false"/>
        <w:color w:val="333399"/>
        <w:sz w:val="13"/>
        <w:szCs w:val="13"/>
      </w:rPr>
      <w:t xml:space="preserve"> – </w:t>
    </w:r>
    <w:hyperlink r:id="rId2">
      <w:r>
        <w:rPr>
          <w:rStyle w:val="InternetLink"/>
          <w:i w:val="false"/>
          <w:iCs w:val="false"/>
          <w:color w:val="333399"/>
          <w:sz w:val="13"/>
          <w:szCs w:val="13"/>
          <w:u w:val="single"/>
        </w:rPr>
        <w:t>www.casteletfromaget.com</w:t>
      </w:r>
    </w:hyperlink>
  </w:p>
  <w:p>
    <w:pPr>
      <w:pStyle w:val="Normal"/>
      <w:spacing w:lineRule="auto" w:line="240" w:before="0" w:after="0"/>
      <w:rPr>
        <w:i w:val="false"/>
        <w:i w:val="false"/>
        <w:iCs w:val="false"/>
        <w:color w:val="333399"/>
        <w:sz w:val="13"/>
        <w:szCs w:val="13"/>
      </w:rPr>
    </w:pPr>
    <w:r>
      <w:rPr>
        <w:i w:val="false"/>
        <w:iCs w:val="false"/>
        <w:color w:val="333399"/>
        <w:sz w:val="13"/>
        <w:szCs w:val="13"/>
      </w:rPr>
      <w:t>RCS Auch B 342 732 351 – SIRET 342 732 351 000 16 – NAF 2511Z – N°TVA CEE FR 72 342 732 351                QUALIBAT : 2414 –3211 – 4413 – 4421 – 3811                ISO 9001</w:t>
      <w:tab/>
      <w:tab/>
    </w:r>
  </w:p>
  <w:p>
    <w:pPr>
      <w:pStyle w:val="Normal"/>
      <w:tabs>
        <w:tab w:val="center" w:pos="4536" w:leader="none"/>
        <w:tab w:val="right" w:pos="9072" w:leader="none"/>
      </w:tabs>
      <w:spacing w:lineRule="auto" w:line="240" w:before="0" w:after="0"/>
      <w:rPr>
        <w:rFonts w:ascii="Times New Roman" w:hAnsi="Times New Roman" w:cs="Times New Roman"/>
        <w:i w:val="false"/>
        <w:i w:val="false"/>
        <w:iCs w:val="false"/>
        <w:sz w:val="24"/>
        <w:szCs w:val="24"/>
      </w:rPr>
    </w:pPr>
    <w:r>
      <w:rPr>
        <w:i w:val="false"/>
        <w:iCs w:val="false"/>
        <w:color w:val="333399"/>
        <w:sz w:val="13"/>
        <w:szCs w:val="13"/>
      </w:rPr>
      <w:tab/>
    </w:r>
    <w:r>
      <w:rPr>
        <w:rFonts w:cs="Times New Roman" w:ascii="Times New Roman" w:hAnsi="Times New Roman"/>
        <w:i w:val="false"/>
        <w:iCs w:val="false"/>
        <w:sz w:val="24"/>
        <w:szCs w:val="24"/>
        <w:lang w:val="en-GB" w:eastAsia="en-GB"/>
      </w:rPr>
      <w:drawing>
        <wp:inline distT="0" distB="0" distL="0" distR="0">
          <wp:extent cx="1186180" cy="394970"/>
          <wp:effectExtent l="0" t="0" r="0" b="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3"/>
                  <a:stretch>
                    <a:fillRect/>
                  </a:stretch>
                </pic:blipFill>
                <pic:spPr bwMode="auto">
                  <a:xfrm>
                    <a:off x="0" y="0"/>
                    <a:ext cx="1186180" cy="394970"/>
                  </a:xfrm>
                  <a:prstGeom prst="rect">
                    <a:avLst/>
                  </a:prstGeom>
                </pic:spPr>
              </pic:pic>
            </a:graphicData>
          </a:graphic>
        </wp:inline>
      </w:drawing>
    </w:r>
    <w:r>
      <w:rPr>
        <w:i w:val="false"/>
        <w:iCs w:val="false"/>
        <w:color w:val="333399"/>
        <w:sz w:val="13"/>
        <w:szCs w:val="13"/>
      </w:rPr>
      <w:tab/>
    </w:r>
    <w:r>
      <w:rPr>
        <w:rFonts w:cs="Times New Roman" w:ascii="Times New Roman" w:hAnsi="Times New Roman"/>
        <w:i w:val="false"/>
        <w:iCs w:val="false"/>
        <w:sz w:val="24"/>
        <w:szCs w:val="24"/>
        <w:lang w:val="en-GB" w:eastAsia="en-GB"/>
      </w:rPr>
      <w:drawing>
        <wp:inline distT="0" distB="0" distL="0" distR="0">
          <wp:extent cx="458470" cy="434340"/>
          <wp:effectExtent l="0" t="0" r="0" b="0"/>
          <wp:docPr id="8"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 descr=""/>
                  <pic:cNvPicPr>
                    <a:picLocks noChangeAspect="1" noChangeArrowheads="1"/>
                  </pic:cNvPicPr>
                </pic:nvPicPr>
                <pic:blipFill>
                  <a:blip r:embed="rId4"/>
                  <a:stretch>
                    <a:fillRect/>
                  </a:stretch>
                </pic:blipFill>
                <pic:spPr bwMode="auto">
                  <a:xfrm>
                    <a:off x="0" y="0"/>
                    <a:ext cx="458470" cy="434340"/>
                  </a:xfrm>
                  <a:prstGeom prst="rect">
                    <a:avLst/>
                  </a:prstGeom>
                </pic:spPr>
              </pic:pic>
            </a:graphicData>
          </a:graphic>
        </wp:inline>
      </w:drawing>
    </w:r>
    <w:r>
      <w:rPr>
        <w:i w:val="false"/>
        <w:iCs w:val="false"/>
        <w:color w:val="333399"/>
        <w:sz w:val="13"/>
        <w:szCs w:val="13"/>
      </w:rPr>
      <w:tab/>
      <w:tab/>
      <w:tab/>
      <w:tab/>
    </w:r>
    <w:r>
      <w:rPr>
        <w:rFonts w:cs="Times New Roman" w:ascii="Times New Roman" w:hAnsi="Times New Roman"/>
        <w:i w:val="false"/>
        <w:iCs w:val="false"/>
        <w:sz w:val="24"/>
        <w:szCs w:val="24"/>
        <w:lang w:val="en-GB" w:eastAsia="en-GB"/>
      </w:rPr>
      <w:tab/>
      <w:t xml:space="preserve">                                     </w:t>
    </w:r>
  </w:p>
  <w:p>
    <w:pPr>
      <w:pStyle w:val="Footer"/>
      <w:tabs>
        <w:tab w:val="center" w:pos="4536" w:leader="none"/>
        <w:tab w:val="right" w:pos="9072" w:leader="none"/>
      </w:tabs>
      <w:spacing w:before="0" w:after="200"/>
      <w:rPr/>
    </w:pPr>
    <w:r>
      <w:rPr>
        <w:rFonts w:cs="Arial" w:ascii="Arial" w:hAnsi="Arial"/>
        <w:sz w:val="16"/>
        <w:szCs w:val="16"/>
      </w:rPr>
      <w:tab/>
      <w:tab/>
      <w:t xml:space="preserve">Page </w:t>
    </w:r>
    <w:r>
      <w:rPr>
        <w:rFonts w:cs="Arial" w:ascii="Arial" w:hAnsi="Arial"/>
        <w:sz w:val="16"/>
        <w:szCs w:val="16"/>
      </w:rPr>
      <w:fldChar w:fldCharType="begin"/>
    </w:r>
    <w:r>
      <w:instrText> PAGE </w:instrText>
    </w:r>
    <w:r>
      <w:fldChar w:fldCharType="separate"/>
    </w:r>
    <w:r>
      <w:t>14</w:t>
    </w:r>
    <w:r>
      <w:fldChar w:fldCharType="end"/>
    </w:r>
    <w:r>
      <w:rPr>
        <w:rFonts w:cs="Arial" w:ascii="Arial" w:hAnsi="Arial"/>
        <w:sz w:val="16"/>
        <w:szCs w:val="16"/>
      </w:rPr>
      <w:t>/</w:t>
    </w:r>
    <w:r>
      <w:rPr>
        <w:rFonts w:cs="Arial" w:ascii="Arial" w:hAnsi="Arial"/>
        <w:sz w:val="16"/>
        <w:szCs w:val="16"/>
      </w:rPr>
      <w:fldChar w:fldCharType="begin"/>
    </w:r>
    <w:r>
      <w:instrText> NUMPAGES \* ARABIC </w:instrText>
    </w:r>
    <w:r>
      <w:fldChar w:fldCharType="separate"/>
    </w:r>
    <w:r>
      <w:t>14</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11.25pt;height:11.25pt" o:bullet="t">
        <v:imagedata r:id="rId1" o:title=""/>
      </v:shape>
    </w:pict>
  </w:numPicBullet>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PicBulletId w:val="0"/>
      <w:lvlJc w:val="left"/>
      <w:pPr>
        <w:ind w:left="720" w:hanging="360"/>
      </w:pPr>
      <w:rPr>
        <w:rFonts w:ascii="Symbol" w:hAnsi="Symbol" w:cs="Symbol" w:hint="default"/>
        <w:rFonts w:cs="Symbol"/>
      </w:rPr>
    </w:lvl>
  </w:abstractNum>
  <w:abstractNum w:abstractNumId="3">
    <w:lvl w:ilvl="0">
      <w:start w:val="66"/>
      <w:numFmt w:val="bullet"/>
      <w:lvlText w:val="-"/>
      <w:lvlJc w:val="left"/>
      <w:pPr>
        <w:ind w:left="720" w:hanging="360"/>
      </w:pPr>
      <w:rPr>
        <w:rFonts w:ascii="Calibri" w:hAnsi="Calibri" w:cs="Calibri" w:hint="default"/>
        <w:szCs w:val="18"/>
        <w:rFonts w:cs="Arial"/>
      </w:rPr>
    </w:lvl>
  </w:abstractNum>
  <w:abstractNum w:abstractNumId="4">
    <w:lvl w:ilvl="0">
      <w:start w:val="1"/>
      <w:numFmt w:val="bullet"/>
      <w:lvlText w:val=""/>
      <w:lvlJc w:val="left"/>
      <w:pPr>
        <w:ind w:left="1800" w:hanging="360"/>
      </w:pPr>
      <w:rPr>
        <w:rFonts w:ascii="Wingdings" w:hAnsi="Wingdings" w:cs="Wingdings" w:hint="default"/>
        <w:rFonts w:cs="Wingdings"/>
      </w:rPr>
    </w:lvl>
  </w:abstractNum>
  <w:abstractNum w:abstractNumId="5">
    <w:lvl w:ilvl="0">
      <w:start w:val="1"/>
      <w:numFmt w:val="bullet"/>
      <w:lvlText w:val=""/>
      <w:lvlJc w:val="left"/>
      <w:pPr>
        <w:ind w:left="927" w:hanging="360"/>
      </w:pPr>
      <w:rPr>
        <w:rFonts w:ascii="Wingdings" w:hAnsi="Wingdings" w:cs="Wingdings" w:hint="default"/>
        <w:sz w:val="24"/>
        <w:szCs w:val="24"/>
        <w:rFonts w:cs="Wingdings"/>
      </w:rPr>
    </w:lvl>
  </w:abstractNum>
  <w:abstractNum w:abstractNumId="6">
    <w:lvl w:ilvl="0">
      <w:start w:val="1"/>
      <w:numFmt w:val="decimal"/>
      <w:lvlText w:val="%1)"/>
      <w:lvlJc w:val="left"/>
      <w:pPr>
        <w:ind w:left="720" w:hanging="360"/>
      </w:pPr>
      <w:rPr>
        <w:b/>
        <w:iCs w:val="false"/>
        <w:color w:val="0070C0"/>
      </w:rPr>
    </w:lvl>
  </w:abstractNum>
  <w:abstractNum w:abstractNumId="7">
    <w:lvl w:ilvl="0">
      <w:start w:val="1"/>
      <w:numFmt w:val="decimal"/>
      <w:lvlText w:val="%1)"/>
      <w:lvlJc w:val="left"/>
      <w:pPr>
        <w:ind w:left="720" w:hanging="360"/>
      </w:pPr>
      <w:rPr>
        <w:b/>
        <w:iCs w:val="false"/>
        <w:color w:val="4472C4"/>
      </w:rPr>
    </w:lvl>
  </w:abstractNum>
  <w:abstractNum w:abstractNumId="8">
    <w:lvl w:ilvl="0">
      <w:numFmt w:val="bullet"/>
      <w:lvlText w:val=""/>
      <w:lvlJc w:val="left"/>
      <w:pPr>
        <w:ind w:left="720" w:hanging="360"/>
      </w:pPr>
      <w:rPr>
        <w:rFonts w:ascii="Wingdings" w:hAnsi="Wingdings" w:cs="Wingdings" w:hint="default"/>
        <w:rFonts w:cs="Arial"/>
      </w:rPr>
    </w:lvl>
  </w:abstractNum>
  <w:abstractNum w:abstractNumId="9">
    <w:lvl w:ilvl="0">
      <w:start w:val="1"/>
      <w:numFmt w:val="bullet"/>
      <w:lvlText w:val=""/>
      <w:lvlPicBulletId w:val="0"/>
      <w:lvlJc w:val="left"/>
      <w:pPr>
        <w:ind w:left="1080" w:hanging="360"/>
      </w:pPr>
      <w:rPr>
        <w:rFonts w:ascii="Symbol" w:hAnsi="Symbol" w:cs="Symbol" w:hint="default"/>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abstractNum w:abstractNumId="10">
    <w:lvl w:ilvl="0">
      <w:start w:val="1"/>
      <w:numFmt w:val="bullet"/>
      <w:lvlText w:val=""/>
      <w:lvlJc w:val="left"/>
      <w:pPr>
        <w:ind w:left="720" w:hanging="360"/>
      </w:pPr>
      <w:rPr>
        <w:rFonts w:ascii="Wingdings" w:hAnsi="Wingdings" w:cs="Wingdings" w:hint="default"/>
        <w:rFonts w:cs="Arial"/>
      </w:rPr>
    </w:lvl>
  </w:abstractNum>
  <w:abstractNum w:abstractNumId="11">
    <w:lvl w:ilvl="0">
      <w:start w:val="2"/>
      <w:numFmt w:val="bullet"/>
      <w:lvlText w:val="-"/>
      <w:lvlJc w:val="left"/>
      <w:pPr>
        <w:tabs>
          <w:tab w:val="num" w:pos="720"/>
        </w:tabs>
        <w:ind w:left="720" w:hanging="360"/>
      </w:pPr>
      <w:rPr>
        <w:rFonts w:ascii="Trebuchet MS" w:hAnsi="Trebuchet MS" w:cs="Trebuchet MS" w:hint="default"/>
        <w:rFonts w:cs="Times New Roman"/>
      </w:rPr>
    </w:lvl>
  </w:abstractNum>
  <w:abstractNum w:abstractNumId="12">
    <w:lvl w:ilvl="0">
      <w:start w:val="1"/>
      <w:numFmt w:val="lowerLetter"/>
      <w:lvlText w:val="%1)"/>
      <w:lvlJc w:val="left"/>
      <w:pPr>
        <w:ind w:left="1069"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3">
    <w:lvl w:ilvl="0">
      <w:numFmt w:val="bullet"/>
      <w:lvlText w:val=""/>
      <w:lvlJc w:val="left"/>
      <w:pPr>
        <w:ind w:left="1080" w:hanging="360"/>
      </w:pPr>
      <w:rPr>
        <w:rFonts w:ascii="Symbol" w:hAnsi="Symbol" w:cs="Symbol" w:hint="default"/>
        <w:rFonts w:cs="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88" w:before="0" w:after="200"/>
    </w:pPr>
    <w:rPr>
      <w:rFonts w:ascii="Calibri" w:hAnsi="Calibri" w:eastAsia="Times New Roman" w:cs="Times New Roman"/>
      <w:i/>
      <w:iCs/>
      <w:color w:val="auto"/>
      <w:sz w:val="20"/>
      <w:szCs w:val="20"/>
      <w:lang w:val="fr-FR" w:bidi="ar-SA" w:eastAsia="zh-CN"/>
    </w:rPr>
  </w:style>
  <w:style w:type="paragraph" w:styleId="Heading1">
    <w:name w:val="Heading 1"/>
    <w:basedOn w:val="Normal"/>
    <w:next w:val="Normal"/>
    <w:qFormat/>
    <w:pPr>
      <w:numPr>
        <w:ilvl w:val="0"/>
        <w:numId w:val="1"/>
      </w:numPr>
      <w:pBdr>
        <w:top w:val="single" w:sz="8" w:space="0" w:color="C0504D"/>
        <w:left w:val="single" w:sz="8" w:space="0" w:color="C0504D"/>
        <w:bottom w:val="single" w:sz="8" w:space="0" w:color="C0504D"/>
        <w:right w:val="single" w:sz="8" w:space="0" w:color="C0504D"/>
      </w:pBdr>
      <w:shd w:fill="F2DBDB" w:val="clear"/>
      <w:spacing w:lineRule="auto" w:line="268" w:before="480" w:after="100"/>
      <w:contextualSpacing/>
      <w:outlineLvl w:val="0"/>
      <w:outlineLvl w:val="0"/>
    </w:pPr>
    <w:rPr>
      <w:rFonts w:ascii="Cambria" w:hAnsi="Cambria" w:eastAsia="Times New Roman" w:cs="Times New Roman"/>
      <w:b/>
      <w:bCs/>
      <w:color w:val="622423"/>
      <w:sz w:val="22"/>
      <w:szCs w:val="22"/>
    </w:rPr>
  </w:style>
  <w:style w:type="paragraph" w:styleId="Heading2">
    <w:name w:val="Heading 2"/>
    <w:basedOn w:val="Normal"/>
    <w:next w:val="Normal"/>
    <w:qFormat/>
    <w:pPr>
      <w:numPr>
        <w:ilvl w:val="1"/>
        <w:numId w:val="1"/>
      </w:numPr>
      <w:pBdr>
        <w:top w:val="single" w:sz="4" w:space="0" w:color="C0504D"/>
        <w:left w:val="single" w:sz="48" w:space="2" w:color="C0504D"/>
        <w:bottom w:val="single" w:sz="4" w:space="0" w:color="C0504D"/>
        <w:right w:val="single" w:sz="4" w:space="4" w:color="C0504D"/>
      </w:pBdr>
      <w:spacing w:lineRule="auto" w:line="268" w:before="200" w:after="100"/>
      <w:ind w:left="144" w:hanging="0"/>
      <w:contextualSpacing/>
      <w:outlineLvl w:val="1"/>
      <w:outlineLvl w:val="1"/>
    </w:pPr>
    <w:rPr>
      <w:rFonts w:ascii="Cambria" w:hAnsi="Cambria" w:eastAsia="Times New Roman" w:cs="Times New Roman"/>
      <w:b/>
      <w:bCs/>
      <w:color w:val="943634"/>
      <w:sz w:val="22"/>
      <w:szCs w:val="22"/>
    </w:rPr>
  </w:style>
  <w:style w:type="paragraph" w:styleId="Heading3">
    <w:name w:val="Heading 3"/>
    <w:basedOn w:val="Normal"/>
    <w:next w:val="Normal"/>
    <w:qFormat/>
    <w:pPr>
      <w:numPr>
        <w:ilvl w:val="2"/>
        <w:numId w:val="1"/>
      </w:numPr>
      <w:pBdr>
        <w:left w:val="single" w:sz="48" w:space="2" w:color="C0504D"/>
        <w:bottom w:val="single" w:sz="4" w:space="0" w:color="C0504D"/>
      </w:pBdr>
      <w:spacing w:lineRule="auto" w:line="240" w:before="200" w:after="100"/>
      <w:ind w:left="144" w:hanging="0"/>
      <w:contextualSpacing/>
      <w:outlineLvl w:val="2"/>
      <w:outlineLvl w:val="2"/>
    </w:pPr>
    <w:rPr>
      <w:rFonts w:ascii="Cambria" w:hAnsi="Cambria" w:eastAsia="Times New Roman" w:cs="Times New Roman"/>
      <w:b/>
      <w:bCs/>
      <w:color w:val="943634"/>
      <w:sz w:val="22"/>
      <w:szCs w:val="22"/>
    </w:rPr>
  </w:style>
  <w:style w:type="paragraph" w:styleId="Heading4">
    <w:name w:val="Heading 4"/>
    <w:basedOn w:val="Normal"/>
    <w:next w:val="Normal"/>
    <w:qFormat/>
    <w:pPr>
      <w:numPr>
        <w:ilvl w:val="3"/>
        <w:numId w:val="1"/>
      </w:numPr>
      <w:pBdr>
        <w:left w:val="single" w:sz="4" w:space="2" w:color="C0504D"/>
        <w:bottom w:val="single" w:sz="4" w:space="2" w:color="C0504D"/>
      </w:pBdr>
      <w:spacing w:lineRule="auto" w:line="240" w:before="200" w:after="100"/>
      <w:ind w:left="86" w:hanging="0"/>
      <w:contextualSpacing/>
      <w:outlineLvl w:val="3"/>
      <w:outlineLvl w:val="3"/>
    </w:pPr>
    <w:rPr>
      <w:rFonts w:ascii="Cambria" w:hAnsi="Cambria" w:eastAsia="Times New Roman" w:cs="Times New Roman"/>
      <w:b/>
      <w:bCs/>
      <w:color w:val="943634"/>
      <w:sz w:val="22"/>
      <w:szCs w:val="22"/>
    </w:rPr>
  </w:style>
  <w:style w:type="paragraph" w:styleId="Heading5">
    <w:name w:val="Heading 5"/>
    <w:basedOn w:val="Normal"/>
    <w:next w:val="Normal"/>
    <w:qFormat/>
    <w:pPr>
      <w:numPr>
        <w:ilvl w:val="4"/>
        <w:numId w:val="1"/>
      </w:numPr>
      <w:pBdr>
        <w:left w:val="dotted" w:sz="4" w:space="2" w:color="C0504D"/>
        <w:bottom w:val="dotted" w:sz="4" w:space="2" w:color="C0504D"/>
      </w:pBdr>
      <w:spacing w:lineRule="auto" w:line="240" w:before="200" w:after="100"/>
      <w:ind w:left="86" w:hanging="0"/>
      <w:contextualSpacing/>
      <w:outlineLvl w:val="4"/>
      <w:outlineLvl w:val="4"/>
    </w:pPr>
    <w:rPr>
      <w:rFonts w:ascii="Cambria" w:hAnsi="Cambria" w:eastAsia="Times New Roman" w:cs="Times New Roman"/>
      <w:b/>
      <w:bCs/>
      <w:color w:val="943634"/>
      <w:sz w:val="22"/>
      <w:szCs w:val="22"/>
    </w:rPr>
  </w:style>
  <w:style w:type="paragraph" w:styleId="Heading6">
    <w:name w:val="Heading 6"/>
    <w:basedOn w:val="Normal"/>
    <w:next w:val="Normal"/>
    <w:qFormat/>
    <w:pPr>
      <w:numPr>
        <w:ilvl w:val="5"/>
        <w:numId w:val="1"/>
      </w:numPr>
      <w:pBdr>
        <w:bottom w:val="single" w:sz="4" w:space="2" w:color="E5B8B7"/>
      </w:pBdr>
      <w:spacing w:lineRule="auto" w:line="240" w:before="200" w:after="100"/>
      <w:contextualSpacing/>
      <w:outlineLvl w:val="5"/>
      <w:outlineLvl w:val="5"/>
    </w:pPr>
    <w:rPr>
      <w:rFonts w:ascii="Cambria" w:hAnsi="Cambria" w:eastAsia="Times New Roman" w:cs="Times New Roman"/>
      <w:color w:val="943634"/>
      <w:sz w:val="22"/>
      <w:szCs w:val="22"/>
    </w:rPr>
  </w:style>
  <w:style w:type="paragraph" w:styleId="Heading7">
    <w:name w:val="Heading 7"/>
    <w:basedOn w:val="Normal"/>
    <w:next w:val="Normal"/>
    <w:qFormat/>
    <w:pPr>
      <w:numPr>
        <w:ilvl w:val="6"/>
        <w:numId w:val="1"/>
      </w:numPr>
      <w:pBdr>
        <w:bottom w:val="dotted" w:sz="4" w:space="2" w:color="D99594"/>
      </w:pBdr>
      <w:spacing w:lineRule="auto" w:line="240" w:before="200" w:after="100"/>
      <w:contextualSpacing/>
      <w:outlineLvl w:val="6"/>
      <w:outlineLvl w:val="6"/>
    </w:pPr>
    <w:rPr>
      <w:rFonts w:ascii="Cambria" w:hAnsi="Cambria" w:eastAsia="Times New Roman" w:cs="Times New Roman"/>
      <w:color w:val="943634"/>
      <w:sz w:val="22"/>
      <w:szCs w:val="22"/>
    </w:rPr>
  </w:style>
  <w:style w:type="paragraph" w:styleId="Heading8">
    <w:name w:val="Heading 8"/>
    <w:basedOn w:val="Normal"/>
    <w:next w:val="Normal"/>
    <w:qFormat/>
    <w:pPr>
      <w:numPr>
        <w:ilvl w:val="7"/>
        <w:numId w:val="1"/>
      </w:numPr>
      <w:spacing w:lineRule="auto" w:line="240" w:before="200" w:after="100"/>
      <w:contextualSpacing/>
      <w:outlineLvl w:val="7"/>
      <w:outlineLvl w:val="7"/>
    </w:pPr>
    <w:rPr>
      <w:rFonts w:ascii="Cambria" w:hAnsi="Cambria" w:eastAsia="Times New Roman" w:cs="Times New Roman"/>
      <w:color w:val="C0504D"/>
      <w:sz w:val="22"/>
      <w:szCs w:val="22"/>
    </w:rPr>
  </w:style>
  <w:style w:type="paragraph" w:styleId="Heading9">
    <w:name w:val="Heading 9"/>
    <w:basedOn w:val="Normal"/>
    <w:next w:val="Normal"/>
    <w:qFormat/>
    <w:pPr>
      <w:numPr>
        <w:ilvl w:val="8"/>
        <w:numId w:val="1"/>
      </w:numPr>
      <w:spacing w:lineRule="auto" w:line="240" w:before="200" w:after="100"/>
      <w:contextualSpacing/>
      <w:outlineLvl w:val="8"/>
      <w:outlineLvl w:val="8"/>
    </w:pPr>
    <w:rPr>
      <w:rFonts w:ascii="Cambria" w:hAnsi="Cambria" w:eastAsia="Times New Roman" w:cs="Times New Roman"/>
      <w:color w:val="C0504D"/>
    </w:rPr>
  </w:style>
  <w:style w:type="character" w:styleId="WW8Num1z0">
    <w:name w:val="WW8Num1z0"/>
    <w:qFormat/>
    <w:rPr>
      <w:b/>
      <w:color w:val="0070C0"/>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Calibri" w:hAnsi="Calibri" w:eastAsia="Times New Roman" w:cs="Arial"/>
      <w:szCs w:val="18"/>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sz w:val="24"/>
      <w:szCs w:val="24"/>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b/>
      <w:iCs w:val="false"/>
      <w:color w:val="0070C0"/>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b/>
      <w:iCs w:val="false"/>
      <w:color w:val="4472C4"/>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Wingdings" w:hAnsi="Wingdings"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Calibri" w:hAnsi="Calibri"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Wingdings" w:hAnsi="Wingdings"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rFonts w:ascii="Arial Narrow" w:hAnsi="Arial Narrow" w:eastAsia="Times New Roman"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Wingdings" w:hAnsi="Wingdings"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4z0">
    <w:name w:val="WW8Num24z0"/>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rFonts w:ascii="Monotype Sorts;Symbol" w:hAnsi="Monotype Sorts;Symbol" w:eastAsia="Times New Roman" w:cs="Ari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Trebuchet MS" w:hAnsi="Trebuchet MS"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Symbol" w:hAnsi="Symbol" w:eastAsia="Times New Roman" w:cs="Aria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Wingdings" w:hAnsi="Wingdings" w:cs="Wingdings"/>
    </w:rPr>
  </w:style>
  <w:style w:type="character" w:styleId="WW8Num30z1">
    <w:name w:val="WW8Num30z1"/>
    <w:qFormat/>
    <w:rPr>
      <w:rFonts w:ascii="Courier New" w:hAnsi="Courier New" w:cs="Courier New"/>
    </w:rPr>
  </w:style>
  <w:style w:type="character" w:styleId="WW8Num30z3">
    <w:name w:val="WW8Num30z3"/>
    <w:qFormat/>
    <w:rPr>
      <w:rFonts w:ascii="Symbol" w:hAnsi="Symbol" w:cs="Symbol"/>
    </w:rPr>
  </w:style>
  <w:style w:type="character" w:styleId="WW8Num31z0">
    <w:name w:val="WW8Num31z0"/>
    <w:qFormat/>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Policepardfaut">
    <w:name w:val="Police par défaut"/>
    <w:qFormat/>
    <w:rPr/>
  </w:style>
  <w:style w:type="character" w:styleId="PageNumber">
    <w:name w:val="Page Number"/>
    <w:basedOn w:val="Policepardfaut"/>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character" w:styleId="TitreCar">
    <w:name w:val="Titre Car"/>
    <w:qFormat/>
    <w:rPr>
      <w:rFonts w:ascii="Cambria" w:hAnsi="Cambria" w:eastAsia="Times New Roman" w:cs="Times New Roman"/>
      <w:i/>
      <w:iCs/>
      <w:color w:val="FFFFFF"/>
      <w:spacing w:val="10"/>
      <w:sz w:val="48"/>
      <w:szCs w:val="48"/>
      <w:shd w:fill="C0504D" w:val="clear"/>
    </w:rPr>
  </w:style>
  <w:style w:type="character" w:styleId="Titre1Car">
    <w:name w:val="Titre 1 Car"/>
    <w:qFormat/>
    <w:rPr>
      <w:rFonts w:ascii="Cambria" w:hAnsi="Cambria" w:eastAsia="Times New Roman" w:cs="Times New Roman"/>
      <w:b/>
      <w:bCs/>
      <w:i/>
      <w:iCs/>
      <w:color w:val="622423"/>
      <w:shd w:fill="F2DBDB" w:val="clear"/>
    </w:rPr>
  </w:style>
  <w:style w:type="character" w:styleId="Titre2Car">
    <w:name w:val="Titre 2 Car"/>
    <w:qFormat/>
    <w:rPr>
      <w:rFonts w:ascii="Cambria" w:hAnsi="Cambria" w:eastAsia="Times New Roman" w:cs="Times New Roman"/>
      <w:b/>
      <w:bCs/>
      <w:i/>
      <w:iCs/>
      <w:color w:val="943634"/>
    </w:rPr>
  </w:style>
  <w:style w:type="character" w:styleId="Titre3Car">
    <w:name w:val="Titre 3 Car"/>
    <w:qFormat/>
    <w:rPr>
      <w:rFonts w:ascii="Cambria" w:hAnsi="Cambria" w:eastAsia="Times New Roman" w:cs="Times New Roman"/>
      <w:b/>
      <w:bCs/>
      <w:i/>
      <w:iCs/>
      <w:color w:val="943634"/>
    </w:rPr>
  </w:style>
  <w:style w:type="character" w:styleId="Titre4Car">
    <w:name w:val="Titre 4 Car"/>
    <w:qFormat/>
    <w:rPr>
      <w:rFonts w:ascii="Cambria" w:hAnsi="Cambria" w:eastAsia="Times New Roman" w:cs="Times New Roman"/>
      <w:b/>
      <w:bCs/>
      <w:i/>
      <w:iCs/>
      <w:color w:val="943634"/>
    </w:rPr>
  </w:style>
  <w:style w:type="character" w:styleId="Titre5Car">
    <w:name w:val="Titre 5 Car"/>
    <w:qFormat/>
    <w:rPr>
      <w:rFonts w:ascii="Cambria" w:hAnsi="Cambria" w:eastAsia="Times New Roman" w:cs="Times New Roman"/>
      <w:b/>
      <w:bCs/>
      <w:i/>
      <w:iCs/>
      <w:color w:val="943634"/>
    </w:rPr>
  </w:style>
  <w:style w:type="character" w:styleId="Titre6Car">
    <w:name w:val="Titre 6 Car"/>
    <w:qFormat/>
    <w:rPr>
      <w:rFonts w:ascii="Cambria" w:hAnsi="Cambria" w:eastAsia="Times New Roman" w:cs="Times New Roman"/>
      <w:i/>
      <w:iCs/>
      <w:color w:val="943634"/>
    </w:rPr>
  </w:style>
  <w:style w:type="character" w:styleId="Titre7Car">
    <w:name w:val="Titre 7 Car"/>
    <w:qFormat/>
    <w:rPr>
      <w:rFonts w:ascii="Cambria" w:hAnsi="Cambria" w:eastAsia="Times New Roman" w:cs="Times New Roman"/>
      <w:i/>
      <w:iCs/>
      <w:color w:val="943634"/>
    </w:rPr>
  </w:style>
  <w:style w:type="character" w:styleId="Titre8Car">
    <w:name w:val="Titre 8 Car"/>
    <w:qFormat/>
    <w:rPr>
      <w:rFonts w:ascii="Cambria" w:hAnsi="Cambria" w:eastAsia="Times New Roman" w:cs="Times New Roman"/>
      <w:i/>
      <w:iCs/>
      <w:color w:val="C0504D"/>
    </w:rPr>
  </w:style>
  <w:style w:type="character" w:styleId="Titre9Car">
    <w:name w:val="Titre 9 Car"/>
    <w:qFormat/>
    <w:rPr>
      <w:rFonts w:ascii="Cambria" w:hAnsi="Cambria" w:eastAsia="Times New Roman" w:cs="Times New Roman"/>
      <w:i/>
      <w:iCs/>
      <w:color w:val="C0504D"/>
      <w:sz w:val="20"/>
      <w:szCs w:val="20"/>
    </w:rPr>
  </w:style>
  <w:style w:type="character" w:styleId="SoustitreCar">
    <w:name w:val="Sous-titre Car"/>
    <w:qFormat/>
    <w:rPr>
      <w:rFonts w:ascii="Cambria" w:hAnsi="Cambria" w:eastAsia="Times New Roman" w:cs="Times New Roman"/>
      <w:i/>
      <w:iCs/>
      <w:color w:val="622423"/>
      <w:sz w:val="24"/>
      <w:szCs w:val="24"/>
    </w:rPr>
  </w:style>
  <w:style w:type="character" w:styleId="StrongEmphasis">
    <w:name w:val="Strong Emphasis"/>
    <w:rPr>
      <w:b/>
      <w:bCs/>
      <w:spacing w:val="0"/>
    </w:rPr>
  </w:style>
  <w:style w:type="character" w:styleId="Emphasis">
    <w:name w:val="Emphasis"/>
    <w:qFormat/>
    <w:rPr>
      <w:rFonts w:ascii="Cambria" w:hAnsi="Cambria" w:eastAsia="Times New Roman" w:cs="Times New Roman"/>
      <w:b/>
      <w:bCs/>
      <w:i/>
      <w:iCs/>
      <w:color w:val="C0504D"/>
      <w:bdr w:val="single" w:sz="18" w:space="0" w:color="F2DBDB"/>
      <w:shd w:fill="F2DBDB" w:val="clear"/>
    </w:rPr>
  </w:style>
  <w:style w:type="character" w:styleId="CitationCar">
    <w:name w:val="Citation Car"/>
    <w:qFormat/>
    <w:rPr>
      <w:color w:val="943634"/>
      <w:sz w:val="20"/>
      <w:szCs w:val="20"/>
    </w:rPr>
  </w:style>
  <w:style w:type="character" w:styleId="CitationintenseCar">
    <w:name w:val="Citation intense Car"/>
    <w:qFormat/>
    <w:rPr>
      <w:rFonts w:ascii="Cambria" w:hAnsi="Cambria" w:eastAsia="Times New Roman" w:cs="Times New Roman"/>
      <w:b/>
      <w:bCs/>
      <w:i/>
      <w:iCs/>
      <w:color w:val="C0504D"/>
      <w:sz w:val="20"/>
      <w:szCs w:val="20"/>
    </w:rPr>
  </w:style>
  <w:style w:type="character" w:styleId="Emphaseple">
    <w:name w:val="Emphase pâle"/>
    <w:qFormat/>
    <w:rPr>
      <w:rFonts w:ascii="Cambria" w:hAnsi="Cambria" w:eastAsia="Times New Roman" w:cs="Times New Roman"/>
      <w:i/>
      <w:iCs/>
      <w:color w:val="C0504D"/>
    </w:rPr>
  </w:style>
  <w:style w:type="character" w:styleId="Emphaseintense">
    <w:name w:val="Emphase intense"/>
    <w:qFormat/>
    <w:rPr>
      <w:rFonts w:ascii="Cambria" w:hAnsi="Cambria" w:eastAsia="Times New Roman" w:cs="Times New Roman"/>
      <w:b/>
      <w:bCs/>
      <w:i/>
      <w:iCs/>
      <w:strike w:val="false"/>
      <w:dstrike w:val="false"/>
      <w:color w:val="FFFFFF"/>
      <w:position w:val="0"/>
      <w:sz w:val="24"/>
      <w:bdr w:val="single" w:sz="18" w:space="0" w:color="C0504D"/>
      <w:shd w:fill="C0504D" w:val="clear"/>
      <w:vertAlign w:val="baseline"/>
    </w:rPr>
  </w:style>
  <w:style w:type="character" w:styleId="Rfrenceple">
    <w:name w:val="Référence pâle"/>
    <w:qFormat/>
    <w:rPr>
      <w:i/>
      <w:iCs/>
      <w:smallCaps/>
      <w:color w:val="C0504D"/>
    </w:rPr>
  </w:style>
  <w:style w:type="character" w:styleId="Rfrenceintense">
    <w:name w:val="Référence intense"/>
    <w:qFormat/>
    <w:rPr>
      <w:b/>
      <w:bCs/>
      <w:i/>
      <w:iCs/>
      <w:smallCaps/>
      <w:color w:val="C0504D"/>
    </w:rPr>
  </w:style>
  <w:style w:type="character" w:styleId="Titredulivre">
    <w:name w:val="Titre du livre"/>
    <w:qFormat/>
    <w:rPr>
      <w:rFonts w:ascii="Cambria" w:hAnsi="Cambria" w:eastAsia="Times New Roman" w:cs="Times New Roman"/>
      <w:b/>
      <w:bCs/>
      <w:i/>
      <w:iCs/>
      <w:smallCaps/>
      <w:color w:val="943634"/>
      <w:u w:val="single"/>
    </w:rPr>
  </w:style>
  <w:style w:type="character" w:styleId="InternetLink">
    <w:name w:val="Internet Link"/>
    <w:rPr>
      <w:color w:val="000080"/>
      <w:u w:val="single"/>
      <w:lang w:val="zxx" w:eastAsia="zxx" w:bidi="zxx"/>
    </w:rPr>
  </w:style>
  <w:style w:type="paragraph" w:styleId="Heading">
    <w:name w:val="Heading"/>
    <w:basedOn w:val="Normal"/>
    <w:next w:val="Normal"/>
    <w:qFormat/>
    <w:pPr>
      <w:pBdr>
        <w:top w:val="single" w:sz="48" w:space="0" w:color="C0504D"/>
        <w:bottom w:val="single" w:sz="48" w:space="0" w:color="C0504D"/>
      </w:pBdr>
      <w:shd w:fill="C0504D" w:val="clear"/>
      <w:spacing w:lineRule="auto" w:line="240" w:before="0" w:after="0"/>
      <w:jc w:val="center"/>
    </w:pPr>
    <w:rPr>
      <w:rFonts w:ascii="Cambria" w:hAnsi="Cambria" w:eastAsia="Times New Roman" w:cs="Times New Roman"/>
      <w:color w:val="FFFFFF"/>
      <w:spacing w:val="10"/>
      <w:sz w:val="48"/>
      <w:szCs w:val="48"/>
    </w:rPr>
  </w:style>
  <w:style w:type="paragraph" w:styleId="TextBody">
    <w:name w:val="Text Body"/>
    <w:basedOn w:val="Normal"/>
    <w:pPr>
      <w:jc w:val="both"/>
    </w:pPr>
    <w:rPr>
      <w:sz w:val="24"/>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BodyIndent">
    <w:name w:val="Text Body Indent"/>
    <w:basedOn w:val="Normal"/>
    <w:pPr>
      <w:ind w:left="284" w:hanging="0"/>
    </w:pPr>
    <w:rPr>
      <w:sz w:val="24"/>
      <w:szCs w:val="24"/>
    </w:rPr>
  </w:style>
  <w:style w:type="paragraph" w:styleId="Retraitcorpsdetexte2">
    <w:name w:val="Retrait corps de texte 2"/>
    <w:basedOn w:val="Normal"/>
    <w:qFormat/>
    <w:pPr>
      <w:ind w:left="708" w:hanging="0"/>
      <w:jc w:val="both"/>
    </w:pPr>
    <w:rPr>
      <w:sz w:val="24"/>
      <w:szCs w:val="24"/>
    </w:rPr>
  </w:style>
  <w:style w:type="paragraph" w:styleId="Corpsdetexte2">
    <w:name w:val="Corps de texte 2"/>
    <w:basedOn w:val="Normal"/>
    <w:qFormat/>
    <w:pPr>
      <w:jc w:val="both"/>
    </w:pPr>
    <w:rPr>
      <w:b/>
      <w:bCs/>
      <w:sz w:val="24"/>
      <w:szCs w:val="24"/>
    </w:rPr>
  </w:style>
  <w:style w:type="paragraph" w:styleId="Footer">
    <w:name w:val="Footer"/>
    <w:basedOn w:val="Normal"/>
    <w:pPr>
      <w:tabs>
        <w:tab w:val="center" w:pos="4536" w:leader="none"/>
        <w:tab w:val="right" w:pos="9072" w:leader="none"/>
      </w:tabs>
    </w:pPr>
    <w:rPr/>
  </w:style>
  <w:style w:type="paragraph" w:styleId="Header">
    <w:name w:val="Head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Commentaire">
    <w:name w:val="Commentaire"/>
    <w:basedOn w:val="Normal"/>
    <w:qFormat/>
    <w:pPr/>
    <w:rPr/>
  </w:style>
  <w:style w:type="paragraph" w:styleId="Objetducommentaire">
    <w:name w:val="Objet du commentaire"/>
    <w:basedOn w:val="Commentaire"/>
    <w:next w:val="Commentaire"/>
    <w:qFormat/>
    <w:pPr/>
    <w:rPr>
      <w:b/>
      <w:bCs/>
    </w:rPr>
  </w:style>
  <w:style w:type="paragraph" w:styleId="Paragraphedeliste">
    <w:name w:val="Paragraphe de liste"/>
    <w:basedOn w:val="Normal"/>
    <w:qFormat/>
    <w:pPr>
      <w:spacing w:before="0" w:after="200"/>
      <w:ind w:left="720" w:hanging="0"/>
      <w:contextualSpacing/>
    </w:pPr>
    <w:rPr/>
  </w:style>
  <w:style w:type="paragraph" w:styleId="Lgende">
    <w:name w:val="Légende"/>
    <w:basedOn w:val="Normal"/>
    <w:next w:val="Normal"/>
    <w:qFormat/>
    <w:pPr/>
    <w:rPr>
      <w:b/>
      <w:bCs/>
      <w:color w:val="943634"/>
      <w:sz w:val="18"/>
      <w:szCs w:val="18"/>
    </w:rPr>
  </w:style>
  <w:style w:type="paragraph" w:styleId="Subtitle">
    <w:name w:val="Subtitle"/>
    <w:basedOn w:val="Normal"/>
    <w:next w:val="Normal"/>
    <w:qFormat/>
    <w:pPr>
      <w:pBdr>
        <w:bottom w:val="dotted" w:sz="8" w:space="10" w:color="C0504D"/>
      </w:pBdr>
      <w:spacing w:lineRule="auto" w:line="240" w:before="200" w:after="900"/>
      <w:jc w:val="center"/>
    </w:pPr>
    <w:rPr>
      <w:rFonts w:ascii="Cambria" w:hAnsi="Cambria" w:eastAsia="Times New Roman" w:cs="Times New Roman"/>
      <w:color w:val="622423"/>
      <w:sz w:val="24"/>
      <w:szCs w:val="24"/>
    </w:rPr>
  </w:style>
  <w:style w:type="paragraph" w:styleId="Sansinterligne">
    <w:name w:val="Sans interligne"/>
    <w:basedOn w:val="Normal"/>
    <w:qFormat/>
    <w:pPr>
      <w:spacing w:lineRule="auto" w:line="240" w:before="0" w:after="0"/>
    </w:pPr>
    <w:rPr/>
  </w:style>
  <w:style w:type="paragraph" w:styleId="Citation">
    <w:name w:val="Citation"/>
    <w:basedOn w:val="Normal"/>
    <w:next w:val="Normal"/>
    <w:qFormat/>
    <w:pPr/>
    <w:rPr>
      <w:i w:val="false"/>
      <w:iCs w:val="false"/>
      <w:color w:val="943634"/>
    </w:rPr>
  </w:style>
  <w:style w:type="paragraph" w:styleId="Citationintense">
    <w:name w:val="Citation intense"/>
    <w:basedOn w:val="Normal"/>
    <w:next w:val="Normal"/>
    <w:qFormat/>
    <w:pPr>
      <w:pBdr>
        <w:top w:val="dotted" w:sz="8" w:space="10" w:color="C0504D"/>
        <w:bottom w:val="dotted" w:sz="8" w:space="10" w:color="C0504D"/>
      </w:pBdr>
      <w:spacing w:lineRule="auto" w:line="300"/>
      <w:ind w:left="2160" w:right="2160" w:hanging="0"/>
      <w:jc w:val="center"/>
    </w:pPr>
    <w:rPr>
      <w:rFonts w:ascii="Cambria" w:hAnsi="Cambria" w:eastAsia="Times New Roman" w:cs="Times New Roman"/>
      <w:b/>
      <w:bCs/>
      <w:color w:val="C0504D"/>
    </w:rPr>
  </w:style>
  <w:style w:type="paragraph" w:styleId="Enttedetabledesmatires">
    <w:name w:val="En-tête de table des matières"/>
    <w:basedOn w:val="Heading1"/>
    <w:next w:val="Normal"/>
    <w:qFormat/>
    <w:pPr>
      <w:numPr>
        <w:ilvl w:val="0"/>
        <w:numId w:val="0"/>
      </w:numPr>
      <w:pBdr>
        <w:top w:val="single" w:sz="8" w:space="0" w:color="C0504D"/>
        <w:left w:val="single" w:sz="8" w:space="0" w:color="C0504D"/>
        <w:bottom w:val="single" w:sz="8" w:space="0" w:color="C0504D"/>
        <w:right w:val="single" w:sz="8" w:space="0" w:color="C0504D"/>
      </w:pBdr>
      <w:shd w:fill="F2DBDB" w:val="clear"/>
    </w:pPr>
    <w:rPr>
      <w:rFonts w:ascii="Cambria" w:hAnsi="Cambria" w:eastAsia="Times New Roman" w:cs="Times New Roman"/>
      <w:color w:val="622423"/>
      <w:lang w:bidi="en-U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hyperlink" Target="mailto:infos@castel.fayat.com" TargetMode="External"/><Relationship Id="rId2" Type="http://schemas.openxmlformats.org/officeDocument/2006/relationships/hyperlink" Target="http://www.casteletfromaget.com/" TargetMode="External"/><Relationship Id="rId3" Type="http://schemas.openxmlformats.org/officeDocument/2006/relationships/image" Target="media/image4.jpeg"/><Relationship Id="rId4" Type="http://schemas.openxmlformats.org/officeDocument/2006/relationships/image" Target="media/image5.jpeg"/>
</Relationships>
</file>

<file path=word/_rels/numbering.xml.rels><?xml version="1.0" encoding="UTF-8"?>
<Relationships xmlns="http://schemas.openxmlformats.org/package/2006/relationships"><Relationship Id="rId1"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16</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2020-02-28T10:32:00Z</dcterms:created>
  <dc:language>en-GB</dc:language>
  <cp:lastPrinted>2020-02-28T10:46:00Z</cp:lastPrinted>
  <dcterms:modified xsi:type="dcterms:W3CDTF">2020-02-28T10:47:00Z</dcterms:modified>
  <cp:revision>5</cp:revision>
  <dc:title>NEGOCIATIONS ANNUELLES</dc:title>
</cp:coreProperties>
</file>