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numbering.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3.png" ContentType="image/png"/>
  <Override PartName="/word/media/image12.jpeg" ContentType="image/jpeg"/>
  <Override PartName="/word/media/image1.jpeg" ContentType="image/jpeg"/>
  <Override PartName="/word/media/image6.png" ContentType="image/png"/>
  <Override PartName="/word/media/image2.png" ContentType="image/png"/>
  <Override PartName="/word/media/image3.png" ContentType="image/png"/>
  <Override PartName="/word/media/image11.jpeg" ContentType="image/jpeg"/>
  <Override PartName="/word/media/image4.png" ContentType="image/png"/>
  <Override PartName="/word/media/image5.png" ContentType="image/png"/>
  <Override PartName="/word/media/image7.png" ContentType="image/png"/>
  <Override PartName="/word/media/image8.png" ContentType="image/png"/>
  <Override PartName="/word/media/image10.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Arial" w:hAnsi="Arial" w:cs="Arial"/>
          <w:sz w:val="24"/>
        </w:rPr>
      </w:pPr>
      <w:r>
        <w:rPr/>
        <w:drawing>
          <wp:inline distT="0" distB="0" distL="0" distR="0">
            <wp:extent cx="4050665" cy="624205"/>
            <wp:effectExtent l="0" t="0" r="0" b="0"/>
            <wp:docPr id="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descr=""/>
                    <pic:cNvPicPr>
                      <a:picLocks noChangeAspect="1" noChangeArrowheads="1"/>
                    </pic:cNvPicPr>
                  </pic:nvPicPr>
                  <pic:blipFill>
                    <a:blip r:embed="rId2"/>
                    <a:srcRect l="-3" t="-23" r="-3" b="-23"/>
                    <a:stretch>
                      <a:fillRect/>
                    </a:stretch>
                  </pic:blipFill>
                  <pic:spPr bwMode="auto">
                    <a:xfrm>
                      <a:off x="0" y="0"/>
                      <a:ext cx="4050665" cy="624205"/>
                    </a:xfrm>
                    <a:prstGeom prst="rect">
                      <a:avLst/>
                    </a:prstGeom>
                  </pic:spPr>
                </pic:pic>
              </a:graphicData>
            </a:graphic>
          </wp:inline>
        </w:drawing>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Heading2"/>
        <w:numPr>
          <w:ilvl w:val="1"/>
          <w:numId w:val="1"/>
        </w:numPr>
        <w:ind w:left="144" w:hanging="0"/>
        <w:jc w:val="center"/>
        <w:rPr>
          <w:sz w:val="72"/>
          <w:szCs w:val="72"/>
        </w:rPr>
      </w:pPr>
      <w:r>
        <w:rPr>
          <w:sz w:val="72"/>
          <w:szCs w:val="72"/>
        </w:rPr>
        <w:t>NEGOCIATIONS ANNUELLES</w:t>
      </w:r>
    </w:p>
    <w:p>
      <w:pPr>
        <w:pStyle w:val="Heading2"/>
        <w:numPr>
          <w:ilvl w:val="1"/>
          <w:numId w:val="1"/>
        </w:numPr>
        <w:ind w:left="144" w:hanging="0"/>
        <w:jc w:val="center"/>
        <w:rPr>
          <w:sz w:val="72"/>
          <w:szCs w:val="72"/>
        </w:rPr>
      </w:pPr>
      <w:r>
        <w:rPr>
          <w:sz w:val="72"/>
          <w:szCs w:val="72"/>
        </w:rPr>
        <w:t>2023</w:t>
      </w:r>
    </w:p>
    <w:p>
      <w:pPr>
        <w:pStyle w:val="Normal"/>
        <w:jc w:val="both"/>
        <w:rPr>
          <w:rFonts w:ascii="Arial" w:hAnsi="Arial" w:cs="Arial"/>
          <w:sz w:val="24"/>
          <w:szCs w:val="72"/>
        </w:rPr>
      </w:pPr>
      <w:r>
        <w:rPr>
          <w:rFonts w:cs="Arial" w:ascii="Arial" w:hAnsi="Arial"/>
          <w:sz w:val="24"/>
          <w:szCs w:val="72"/>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Heading2"/>
        <w:numPr>
          <w:ilvl w:val="1"/>
          <w:numId w:val="1"/>
        </w:numPr>
        <w:ind w:left="144" w:hanging="0"/>
        <w:jc w:val="center"/>
        <w:rPr>
          <w:color w:val="404040"/>
        </w:rPr>
      </w:pPr>
      <w:r>
        <w:rPr>
          <w:color w:val="404040"/>
        </w:rPr>
        <w:pict>
          <v:shapetype id="shapetype_136" coordsize="21600,21600" o:spt="136" adj="10800" path="m@9,l@10,em@11,21600l@12,21600e">
            <v:stroke joinstyle="miter"/>
            <v:formulas>
              <v:f eqn="val #0"/>
              <v:f eqn="sum @0 0 10800"/>
              <v:f eqn="sum @0 0 0"/>
              <v:f eqn="sum width 0 @0"/>
              <v:f eqn="prod @2 2 1"/>
              <v:f eqn="prod @3 2 1"/>
              <v:f eqn="if @1 @5 @4"/>
              <v:f eqn="sum 0 @6 0"/>
              <v:f eqn="sum width 0 @6"/>
              <v:f eqn="if @1 0 @8"/>
              <v:f eqn="if @1 @7 width"/>
              <v:f eqn="if @1 @8 0"/>
              <v:f eqn="if @1 width @7"/>
            </v:formulas>
            <v:handles>
              <v:h position="@0,21600"/>
            </v:handles>
          </v:shapetype>
          <v:shape id="shape_0" fillcolor="yellow" stroked="t" style="position:absolute;margin-left:0pt;margin-top:-34.95pt;width:355.15pt;height:34.85pt;mso-position-vertical:top" type="shapetype_136">
            <v:path textpathok="t"/>
            <v:textpath on="t" fitshape="t" string="PROTOCOLE D’ACCORD" style="font-family:&quot;Cambria Math&quot;"/>
            <w10:wrap type="none"/>
            <v:fill o:detectmouseclick="t" color2="#006699"/>
            <v:stroke color="#92d050" weight="12600" joinstyle="miter" endcap="square"/>
            <v:shadow on="t" obscured="f" color="silver"/>
          </v:shape>
        </w:pict>
      </w:r>
    </w:p>
    <w:p>
      <w:pPr>
        <w:pStyle w:val="Normal"/>
        <w:jc w:val="both"/>
        <w:rPr>
          <w:rFonts w:ascii="Arial" w:hAnsi="Arial" w:cs="Arial"/>
          <w:color w:val="404040"/>
          <w:sz w:val="24"/>
        </w:rPr>
      </w:pPr>
      <w:r>
        <w:rPr>
          <w:rFonts w:cs="Arial" w:ascii="Arial" w:hAnsi="Arial"/>
          <w:color w:val="404040"/>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pBdr>
          <w:top w:val="single" w:sz="4" w:space="1" w:color="000000"/>
          <w:left w:val="single" w:sz="4" w:space="4" w:color="000000"/>
          <w:bottom w:val="single" w:sz="4" w:space="1" w:color="000000"/>
          <w:right w:val="single" w:sz="4" w:space="4" w:color="000000"/>
        </w:pBdr>
        <w:jc w:val="both"/>
        <w:rPr>
          <w:rFonts w:cs="Arial"/>
          <w:b/>
          <w:b/>
          <w:bCs/>
          <w:i w:val="false"/>
          <w:i w:val="false"/>
          <w:smallCaps/>
          <w:sz w:val="28"/>
          <w:szCs w:val="28"/>
        </w:rPr>
      </w:pPr>
      <w:r>
        <w:rPr>
          <w:rFonts w:cs="Arial"/>
          <w:b/>
          <w:bCs/>
          <w:i w:val="false"/>
          <w:smallCaps/>
          <w:sz w:val="28"/>
          <w:szCs w:val="28"/>
        </w:rPr>
        <w:t xml:space="preserve">1 - Préambule : </w:t>
      </w:r>
    </w:p>
    <w:p>
      <w:pPr>
        <w:pStyle w:val="Normal"/>
        <w:jc w:val="both"/>
        <w:rPr/>
      </w:pPr>
      <w:r>
        <w:rPr>
          <w:rFonts w:cs="Arial"/>
          <w:i w:val="false"/>
        </w:rPr>
        <w:t>En application des articles L2242-1 et suivants du Code du Travail, la première réunion de négociation a été effectuée le 18 novembre 2021.</w:t>
      </w:r>
    </w:p>
    <w:p>
      <w:pPr>
        <w:pStyle w:val="Normal"/>
        <w:jc w:val="both"/>
        <w:rPr/>
      </w:pPr>
      <w:r>
        <w:rPr>
          <w:rFonts w:cs="Arial"/>
          <w:i w:val="false"/>
        </w:rPr>
        <w:t>Réunion au cours de laquelle ont été évoqués les points suivants :</w:t>
      </w:r>
    </w:p>
    <w:p>
      <w:pPr>
        <w:pStyle w:val="Normal"/>
        <w:numPr>
          <w:ilvl w:val="0"/>
          <w:numId w:val="5"/>
        </w:numPr>
        <w:jc w:val="both"/>
        <w:rPr>
          <w:rFonts w:cs="Arial"/>
          <w:i w:val="false"/>
          <w:i w:val="false"/>
          <w:u w:val="single"/>
        </w:rPr>
      </w:pPr>
      <w:r>
        <w:rPr>
          <w:rFonts w:cs="Arial"/>
          <w:i w:val="false"/>
          <w:u w:val="single"/>
        </w:rPr>
        <w:t>Composition de la délégation.</w:t>
      </w:r>
    </w:p>
    <w:p>
      <w:pPr>
        <w:pStyle w:val="Normal"/>
        <w:numPr>
          <w:ilvl w:val="0"/>
          <w:numId w:val="10"/>
        </w:numPr>
        <w:jc w:val="both"/>
        <w:rPr>
          <w:rFonts w:cs="Arial"/>
          <w:i w:val="false"/>
          <w:i w:val="false"/>
        </w:rPr>
      </w:pPr>
      <w:r>
        <w:rPr>
          <w:rFonts w:cs="Arial"/>
          <w:i w:val="false"/>
        </w:rPr>
        <w:t xml:space="preserve">FO : </w:t>
      </w:r>
    </w:p>
    <w:p>
      <w:pPr>
        <w:pStyle w:val="Normal"/>
        <w:numPr>
          <w:ilvl w:val="0"/>
          <w:numId w:val="10"/>
        </w:numPr>
        <w:jc w:val="both"/>
        <w:rPr>
          <w:rFonts w:cs="Arial"/>
          <w:i w:val="false"/>
          <w:i w:val="false"/>
        </w:rPr>
      </w:pPr>
      <w:r>
        <w:rPr>
          <w:rFonts w:cs="Arial"/>
          <w:i w:val="false"/>
        </w:rPr>
        <w:t xml:space="preserve">PCGT : </w:t>
      </w:r>
    </w:p>
    <w:p>
      <w:pPr>
        <w:pStyle w:val="Normal"/>
        <w:numPr>
          <w:ilvl w:val="0"/>
          <w:numId w:val="5"/>
        </w:numPr>
        <w:jc w:val="both"/>
        <w:rPr>
          <w:rFonts w:cs="Arial"/>
          <w:i w:val="false"/>
          <w:i w:val="false"/>
          <w:u w:val="single"/>
        </w:rPr>
      </w:pPr>
      <w:r>
        <w:rPr>
          <w:rFonts w:cs="Arial"/>
          <w:i w:val="false"/>
          <w:u w:val="single"/>
        </w:rPr>
        <w:t>Calendrier.</w:t>
      </w:r>
    </w:p>
    <w:p>
      <w:pPr>
        <w:pStyle w:val="Normal"/>
        <w:numPr>
          <w:ilvl w:val="0"/>
          <w:numId w:val="10"/>
        </w:numPr>
        <w:jc w:val="both"/>
        <w:rPr>
          <w:rFonts w:cs="Arial"/>
          <w:i w:val="false"/>
          <w:i w:val="false"/>
        </w:rPr>
      </w:pPr>
      <w:r>
        <w:rPr>
          <w:rFonts w:cs="Arial"/>
          <w:i w:val="false"/>
        </w:rPr>
        <w:t>1</w:t>
      </w:r>
      <w:r>
        <w:rPr>
          <w:rFonts w:cs="Arial"/>
          <w:i w:val="false"/>
          <w:vertAlign w:val="superscript"/>
        </w:rPr>
        <w:t>ère</w:t>
      </w:r>
      <w:r>
        <w:rPr>
          <w:rFonts w:cs="Arial"/>
          <w:i w:val="false"/>
        </w:rPr>
        <w:t xml:space="preserve"> réunion le 18 novembre 2022 à 9h à Fleurance. 1 participant en visio.</w:t>
      </w:r>
    </w:p>
    <w:p>
      <w:pPr>
        <w:pStyle w:val="Normal"/>
        <w:numPr>
          <w:ilvl w:val="0"/>
          <w:numId w:val="10"/>
        </w:numPr>
        <w:jc w:val="both"/>
        <w:rPr>
          <w:rFonts w:cs="Arial"/>
          <w:i w:val="false"/>
          <w:i w:val="false"/>
        </w:rPr>
      </w:pPr>
      <w:r>
        <w:rPr>
          <w:rFonts w:cs="Arial"/>
          <w:i w:val="false"/>
        </w:rPr>
        <w:t>2</w:t>
      </w:r>
      <w:r>
        <w:rPr>
          <w:rFonts w:cs="Arial"/>
          <w:i w:val="false"/>
          <w:vertAlign w:val="superscript"/>
        </w:rPr>
        <w:t>ème</w:t>
      </w:r>
      <w:r>
        <w:rPr>
          <w:rFonts w:cs="Arial"/>
          <w:i w:val="false"/>
        </w:rPr>
        <w:t xml:space="preserve"> réunion le 13 décembre 2022 à 9h30 à Fleurance</w:t>
      </w:r>
    </w:p>
    <w:p>
      <w:pPr>
        <w:pStyle w:val="Normal"/>
        <w:numPr>
          <w:ilvl w:val="0"/>
          <w:numId w:val="10"/>
        </w:numPr>
        <w:jc w:val="both"/>
        <w:rPr>
          <w:rFonts w:cs="Arial"/>
          <w:i w:val="false"/>
          <w:i w:val="false"/>
        </w:rPr>
      </w:pPr>
      <w:r>
        <w:rPr>
          <w:rFonts w:cs="Arial"/>
          <w:i w:val="false"/>
        </w:rPr>
        <w:t>3</w:t>
      </w:r>
      <w:r>
        <w:rPr>
          <w:rFonts w:cs="Arial"/>
          <w:i w:val="false"/>
          <w:vertAlign w:val="superscript"/>
        </w:rPr>
        <w:t>ème</w:t>
      </w:r>
      <w:r>
        <w:rPr>
          <w:rFonts w:cs="Arial"/>
          <w:i w:val="false"/>
        </w:rPr>
        <w:t xml:space="preserve"> réunion  le 3 janvier 2023 à 11h à Fleurance</w:t>
      </w:r>
    </w:p>
    <w:p>
      <w:pPr>
        <w:pStyle w:val="Normal"/>
        <w:numPr>
          <w:ilvl w:val="0"/>
          <w:numId w:val="5"/>
        </w:numPr>
        <w:jc w:val="both"/>
        <w:rPr/>
      </w:pPr>
      <w:r>
        <w:rPr>
          <w:rFonts w:cs="Arial"/>
          <w:i w:val="false"/>
          <w:u w:val="single"/>
        </w:rPr>
        <w:t>Thèmes des négociations.</w:t>
      </w:r>
    </w:p>
    <w:p>
      <w:pPr>
        <w:pStyle w:val="Normal"/>
        <w:numPr>
          <w:ilvl w:val="0"/>
          <w:numId w:val="10"/>
        </w:numPr>
        <w:jc w:val="both"/>
        <w:rPr/>
      </w:pPr>
      <w:r>
        <w:rPr>
          <w:rFonts w:cs="Arial"/>
          <w:i w:val="false"/>
        </w:rPr>
        <w:t xml:space="preserve">Rémunération </w:t>
      </w:r>
    </w:p>
    <w:p>
      <w:pPr>
        <w:pStyle w:val="Normal"/>
        <w:numPr>
          <w:ilvl w:val="0"/>
          <w:numId w:val="10"/>
        </w:numPr>
        <w:jc w:val="both"/>
        <w:rPr/>
      </w:pPr>
      <w:r>
        <w:rPr>
          <w:rFonts w:cs="Arial"/>
          <w:i w:val="false"/>
        </w:rPr>
        <w:t>Durée et organisation du travail</w:t>
      </w:r>
    </w:p>
    <w:p>
      <w:pPr>
        <w:pStyle w:val="Normal"/>
        <w:numPr>
          <w:ilvl w:val="0"/>
          <w:numId w:val="10"/>
        </w:numPr>
        <w:jc w:val="both"/>
        <w:rPr>
          <w:rFonts w:cs="Arial"/>
          <w:i w:val="false"/>
          <w:i w:val="false"/>
        </w:rPr>
      </w:pPr>
      <w:r>
        <w:rPr>
          <w:rFonts w:cs="Arial"/>
          <w:i w:val="false"/>
        </w:rPr>
        <w:t>Egalité professionnelle H/F</w:t>
      </w:r>
    </w:p>
    <w:p>
      <w:pPr>
        <w:pStyle w:val="Normal"/>
        <w:numPr>
          <w:ilvl w:val="0"/>
          <w:numId w:val="10"/>
        </w:numPr>
        <w:jc w:val="both"/>
        <w:rPr>
          <w:rFonts w:cs="Arial"/>
          <w:i w:val="false"/>
          <w:i w:val="false"/>
        </w:rPr>
      </w:pPr>
      <w:r>
        <w:rPr>
          <w:rFonts w:cs="Arial"/>
          <w:i w:val="false"/>
        </w:rPr>
        <w:t>QVT</w:t>
      </w:r>
    </w:p>
    <w:p>
      <w:pPr>
        <w:pStyle w:val="Normal"/>
        <w:numPr>
          <w:ilvl w:val="0"/>
          <w:numId w:val="5"/>
        </w:numPr>
        <w:jc w:val="both"/>
        <w:rPr/>
      </w:pPr>
      <w:r>
        <w:rPr>
          <w:rFonts w:cs="Arial"/>
          <w:i w:val="false"/>
          <w:u w:val="single"/>
        </w:rPr>
        <w:t>Accord sur la journée de solidarité et les journées de ponts de 2023.</w:t>
      </w:r>
    </w:p>
    <w:p>
      <w:pPr>
        <w:pStyle w:val="Normal"/>
        <w:ind w:left="720" w:hanging="0"/>
        <w:jc w:val="both"/>
        <w:rPr/>
      </w:pPr>
      <w:r>
        <w:rPr>
          <w:rFonts w:cs="Arial"/>
          <w:i w:val="false"/>
        </w:rPr>
        <w:t>Les jours ont été définis comme suit :</w:t>
      </w:r>
    </w:p>
    <w:p>
      <w:pPr>
        <w:pStyle w:val="Normal"/>
        <w:numPr>
          <w:ilvl w:val="0"/>
          <w:numId w:val="10"/>
        </w:numPr>
        <w:jc w:val="both"/>
        <w:rPr>
          <w:rFonts w:cs="Arial"/>
          <w:i w:val="false"/>
          <w:i w:val="false"/>
        </w:rPr>
      </w:pPr>
      <w:r>
        <w:rPr>
          <w:rFonts w:cs="Arial"/>
          <w:i w:val="false"/>
        </w:rPr>
        <w:t>Ponts les 02/01/2023 – 19/05/2023 et 29/05/2023.</w:t>
      </w:r>
    </w:p>
    <w:p>
      <w:pPr>
        <w:pStyle w:val="Normal"/>
        <w:ind w:left="1080" w:hanging="0"/>
        <w:jc w:val="both"/>
        <w:rPr/>
      </w:pPr>
      <w:r>
        <w:rPr>
          <w:rFonts w:cs="Arial"/>
          <w:i w:val="false"/>
        </w:rPr>
        <w:t xml:space="preserve">La journée de solidarité étant fixée au Lundi 29 mai 2023. </w:t>
      </w:r>
    </w:p>
    <w:p>
      <w:pPr>
        <w:pStyle w:val="Normal"/>
        <w:jc w:val="both"/>
        <w:rPr>
          <w:rFonts w:cs="Arial"/>
          <w:i w:val="false"/>
          <w:i w:val="false"/>
        </w:rPr>
      </w:pPr>
      <w:r>
        <w:rPr>
          <w:rFonts w:cs="Arial"/>
          <w:i w:val="false"/>
        </w:rPr>
        <w:tab/>
        <w:t>Les CSEE de Monteils et Fleurance ont été informés des jours de ponts lors du CSEE du 24 novembre 2022.</w:t>
      </w:r>
    </w:p>
    <w:p>
      <w:pPr>
        <w:pStyle w:val="Normal"/>
        <w:jc w:val="both"/>
        <w:rPr/>
      </w:pPr>
      <w:r>
        <w:rPr>
          <w:rFonts w:cs="Arial"/>
          <w:b/>
          <w:bCs/>
          <w:i w:val="false"/>
          <w:smallCaps/>
          <w:u w:val="single"/>
        </w:rPr>
        <w:t>Etaient présents</w:t>
      </w:r>
      <w:r>
        <w:rPr>
          <w:rFonts w:cs="Arial"/>
          <w:b/>
          <w:bCs/>
          <w:i w:val="false"/>
        </w:rPr>
        <w:t xml:space="preserve"> : </w:t>
      </w:r>
    </w:p>
    <w:p>
      <w:pPr>
        <w:pStyle w:val="Sansinterligne"/>
        <w:rPr>
          <w:i w:val="false"/>
          <w:i w:val="false"/>
        </w:rPr>
      </w:pPr>
      <w:r>
        <w:rPr>
          <w:b/>
          <w:i w:val="false"/>
        </w:rPr>
        <w:t>La Direction représentée par</w:t>
      </w:r>
      <w:r>
        <w:rPr>
          <w:i w:val="false"/>
        </w:rPr>
        <w:t xml:space="preserve"> </w:t>
        <w:tab/>
        <w:tab/>
        <w:tab/>
        <w:tab/>
      </w:r>
      <w:r>
        <w:rPr>
          <w:b/>
          <w:i w:val="false"/>
        </w:rPr>
        <w:t>Le Délégué Syndical FO</w:t>
      </w:r>
    </w:p>
    <w:p>
      <w:pPr>
        <w:pStyle w:val="Sansinterligne"/>
        <w:rPr>
          <w:i w:val="false"/>
          <w:i w:val="false"/>
        </w:rPr>
      </w:pPr>
      <w:r>
        <w:rPr>
          <w:i w:val="false"/>
        </w:rPr>
        <w:tab/>
        <w:tab/>
        <w:tab/>
        <w:tab/>
      </w:r>
    </w:p>
    <w:p>
      <w:pPr>
        <w:pStyle w:val="Sansinterligne"/>
        <w:rPr>
          <w:i w:val="false"/>
          <w:i w:val="false"/>
        </w:rPr>
      </w:pPr>
      <w:r>
        <w:rPr>
          <w:i w:val="false"/>
        </w:rPr>
      </w:r>
    </w:p>
    <w:p>
      <w:pPr>
        <w:pStyle w:val="Sansinterligne"/>
        <w:rPr/>
      </w:pPr>
      <w:r>
        <w:rPr>
          <w:i w:val="false"/>
        </w:rPr>
        <w:tab/>
        <w:tab/>
        <w:tab/>
        <w:tab/>
        <w:tab/>
        <w:tab/>
        <w:tab/>
      </w:r>
      <w:r>
        <w:rPr>
          <w:b/>
          <w:i w:val="false"/>
        </w:rPr>
        <w:t>Le Délégué Syndical CGT</w:t>
      </w:r>
    </w:p>
    <w:p>
      <w:pPr>
        <w:pStyle w:val="Sansinterligne"/>
        <w:rPr>
          <w:i w:val="false"/>
          <w:i w:val="false"/>
        </w:rPr>
      </w:pPr>
      <w:r>
        <w:rPr>
          <w:rFonts w:eastAsia="Calibri" w:cs="Calibri"/>
          <w:i w:val="false"/>
        </w:rPr>
        <w:t xml:space="preserve"> </w:t>
      </w:r>
      <w:r>
        <w:rPr>
          <w:i w:val="false"/>
        </w:rPr>
        <w:tab/>
        <w:tab/>
        <w:t xml:space="preserve"> </w:t>
        <w:tab/>
        <w:tab/>
        <w:tab/>
        <w:tab/>
        <w:tab/>
      </w:r>
    </w:p>
    <w:p>
      <w:pPr>
        <w:pStyle w:val="Normal"/>
        <w:jc w:val="both"/>
        <w:rPr>
          <w:rFonts w:cs="Arial"/>
          <w:i w:val="false"/>
          <w:i w:val="false"/>
        </w:rPr>
      </w:pPr>
      <w:r>
        <w:rPr>
          <w:rFonts w:cs="Arial"/>
          <w:i w:val="false"/>
        </w:rPr>
      </w:r>
    </w:p>
    <w:p>
      <w:pPr>
        <w:pStyle w:val="Normal"/>
        <w:jc w:val="both"/>
        <w:rPr>
          <w:rFonts w:cs="Arial"/>
          <w:i w:val="false"/>
          <w:i w:val="false"/>
        </w:rPr>
      </w:pPr>
      <w:r>
        <w:rPr>
          <w:rFonts w:cs="Arial"/>
          <w:i w:val="false"/>
        </w:rPr>
      </w:r>
    </w:p>
    <w:p>
      <w:pPr>
        <w:pStyle w:val="Normal"/>
        <w:pBdr>
          <w:top w:val="single" w:sz="4" w:space="1" w:color="000000"/>
          <w:left w:val="single" w:sz="4" w:space="4" w:color="000000"/>
          <w:bottom w:val="single" w:sz="4" w:space="1" w:color="000000"/>
          <w:right w:val="single" w:sz="4" w:space="4" w:color="000000"/>
        </w:pBdr>
        <w:jc w:val="both"/>
        <w:rPr/>
      </w:pPr>
      <w:r>
        <w:rPr>
          <w:rFonts w:cs="Arial"/>
          <w:b/>
          <w:bCs/>
          <w:i w:val="false"/>
          <w:smallCaps/>
          <w:sz w:val="28"/>
          <w:szCs w:val="28"/>
        </w:rPr>
        <w:t xml:space="preserve">2 – Information sur la rémunération : </w:t>
      </w:r>
    </w:p>
    <w:p>
      <w:pPr>
        <w:pStyle w:val="Normal"/>
        <w:spacing w:before="0" w:after="0"/>
        <w:rPr>
          <w:vanish/>
        </w:rPr>
      </w:pPr>
      <w:r>
        <w:rPr>
          <w:vanish/>
        </w:rPr>
      </w:r>
      <w:r>
        <mc:AlternateContent>
          <mc:Choice Requires="wps">
            <w:drawing>
              <wp:anchor behindDoc="0" distT="0" distB="0" distL="0" distR="89535" simplePos="0" locked="0" layoutInCell="1" allowOverlap="1" relativeHeight="4">
                <wp:simplePos x="0" y="0"/>
                <wp:positionH relativeFrom="column">
                  <wp:align>left</wp:align>
                </wp:positionH>
                <wp:positionV relativeFrom="paragraph">
                  <wp:posOffset>635</wp:posOffset>
                </wp:positionV>
                <wp:extent cx="2711450" cy="20955"/>
                <wp:effectExtent l="0" t="0" r="0" b="0"/>
                <wp:wrapSquare wrapText="bothSides"/>
                <wp:docPr id="3" name="Frame1"/>
                <a:graphic xmlns:a="http://schemas.openxmlformats.org/drawingml/2006/main">
                  <a:graphicData uri="http://schemas.microsoft.com/office/word/2010/wordprocessingShape">
                    <wps:wsp>
                      <wps:cNvSpPr txBox="1"/>
                      <wps:spPr>
                        <a:xfrm>
                          <a:off x="0" y="0"/>
                          <a:ext cx="2711450" cy="20955"/>
                        </a:xfrm>
                        <a:prstGeom prst="rect"/>
                        <a:solidFill>
                          <a:srgbClr val="FFFFFF">
                            <a:alpha val="0"/>
                          </a:srgbClr>
                        </a:solidFill>
                      </wps:spPr>
                      <wps:txbx>
                        <w:txbxContent>
                          <w:tbl>
                            <w:tblPr>
                              <w:tblW w:w="4270"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1840"/>
                              <w:gridCol w:w="1120"/>
                              <w:gridCol w:w="600"/>
                              <w:gridCol w:w="710"/>
                            </w:tblGrid>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NBRE DE SALARIES</w:t>
                                  </w:r>
                                </w:p>
                              </w:tc>
                              <w:tc>
                                <w:tcPr>
                                  <w:tcW w:w="112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SEXES</w:t>
                                  </w:r>
                                </w:p>
                              </w:tc>
                              <w:tc>
                                <w:tcPr>
                                  <w:tcW w:w="60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 </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 </w:t>
                                  </w:r>
                                </w:p>
                              </w:tc>
                            </w:tr>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STATUT</w:t>
                                  </w:r>
                                </w:p>
                              </w:tc>
                              <w:tc>
                                <w:tcPr>
                                  <w:tcW w:w="112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Fémi</w:t>
                                  </w:r>
                                </w:p>
                              </w:tc>
                              <w:tc>
                                <w:tcPr>
                                  <w:tcW w:w="60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Masc</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TOTAL</w:t>
                                  </w:r>
                                </w:p>
                              </w:tc>
                            </w:tr>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CADRE</w:t>
                                  </w:r>
                                </w:p>
                              </w:tc>
                              <w:tc>
                                <w:tcPr>
                                  <w:tcW w:w="112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10</w:t>
                                  </w:r>
                                </w:p>
                              </w:tc>
                              <w:tc>
                                <w:tcPr>
                                  <w:tcW w:w="60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95</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105</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100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34</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41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108</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19</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20</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114</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120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130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4</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135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140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145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165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180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10</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10</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185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195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86</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92</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ETAM</w:t>
                                  </w:r>
                                </w:p>
                              </w:tc>
                              <w:tc>
                                <w:tcPr>
                                  <w:tcW w:w="112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22</w:t>
                                  </w:r>
                                </w:p>
                              </w:tc>
                              <w:tc>
                                <w:tcPr>
                                  <w:tcW w:w="60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77</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99</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225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240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255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270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8</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285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6</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305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26</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315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320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335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15</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360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365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6</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8</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370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380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395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225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OUVRIER</w:t>
                                  </w:r>
                                </w:p>
                              </w:tc>
                              <w:tc>
                                <w:tcPr>
                                  <w:tcW w:w="112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w:t>
                                  </w:r>
                                </w:p>
                              </w:tc>
                              <w:tc>
                                <w:tcPr>
                                  <w:tcW w:w="60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35</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36</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215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225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6</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230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240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12</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255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8</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8</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265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270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285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r>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TOTAL</w:t>
                                  </w:r>
                                </w:p>
                              </w:tc>
                              <w:tc>
                                <w:tcPr>
                                  <w:tcW w:w="112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33</w:t>
                                  </w:r>
                                </w:p>
                              </w:tc>
                              <w:tc>
                                <w:tcPr>
                                  <w:tcW w:w="60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207</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240</w:t>
                                  </w:r>
                                </w:p>
                              </w:tc>
                            </w:tr>
                          </w:tbl>
                        </w:txbxContent>
                      </wps:txbx>
                      <wps:bodyPr anchor="t">
                        <a:noAutofit/>
                      </wps:bodyPr>
                    </wps:wsp>
                  </a:graphicData>
                </a:graphic>
              </wp:anchor>
            </w:drawing>
          </mc:Choice>
          <mc:Fallback>
            <w:pict>
              <v:rect fillcolor="#FFFFFF" style="position:absolute;rotation:0;width:213.5pt;height:1.65pt;mso-wrap-distance-left:0pt;mso-wrap-distance-right:7.05pt;margin-top:0.05pt;mso-position-vertical-relative:text;margin-left:0pt;mso-position-horizontal:left;mso-position-horizontal-relative:text">
                <v:fill opacity="0f"/>
                <v:textbox>
                  <w:txbxContent>
                    <w:tbl>
                      <w:tblPr>
                        <w:tblW w:w="4270"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1840"/>
                        <w:gridCol w:w="1120"/>
                        <w:gridCol w:w="600"/>
                        <w:gridCol w:w="710"/>
                      </w:tblGrid>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NBRE DE SALARIES</w:t>
                            </w:r>
                          </w:p>
                        </w:tc>
                        <w:tc>
                          <w:tcPr>
                            <w:tcW w:w="112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SEXES</w:t>
                            </w:r>
                          </w:p>
                        </w:tc>
                        <w:tc>
                          <w:tcPr>
                            <w:tcW w:w="60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 </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 </w:t>
                            </w:r>
                          </w:p>
                        </w:tc>
                      </w:tr>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STATUT</w:t>
                            </w:r>
                          </w:p>
                        </w:tc>
                        <w:tc>
                          <w:tcPr>
                            <w:tcW w:w="112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Fémi</w:t>
                            </w:r>
                          </w:p>
                        </w:tc>
                        <w:tc>
                          <w:tcPr>
                            <w:tcW w:w="60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Masc</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TOTAL</w:t>
                            </w:r>
                          </w:p>
                        </w:tc>
                      </w:tr>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CADRE</w:t>
                            </w:r>
                          </w:p>
                        </w:tc>
                        <w:tc>
                          <w:tcPr>
                            <w:tcW w:w="112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10</w:t>
                            </w:r>
                          </w:p>
                        </w:tc>
                        <w:tc>
                          <w:tcPr>
                            <w:tcW w:w="60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95</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105</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100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34</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41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108</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19</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20</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114</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120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130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4</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135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140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145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165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180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10</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10</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185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195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86</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92</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ETAM</w:t>
                            </w:r>
                          </w:p>
                        </w:tc>
                        <w:tc>
                          <w:tcPr>
                            <w:tcW w:w="112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22</w:t>
                            </w:r>
                          </w:p>
                        </w:tc>
                        <w:tc>
                          <w:tcPr>
                            <w:tcW w:w="60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77</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99</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225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240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255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270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8</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285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6</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305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26</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315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320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335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15</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360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365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6</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8</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370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380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395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225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OUVRIER</w:t>
                            </w:r>
                          </w:p>
                        </w:tc>
                        <w:tc>
                          <w:tcPr>
                            <w:tcW w:w="112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w:t>
                            </w:r>
                          </w:p>
                        </w:tc>
                        <w:tc>
                          <w:tcPr>
                            <w:tcW w:w="60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35</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36</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215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225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5</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6</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230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240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12</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255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8</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8</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265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270</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39" w:hRule="atLeast"/>
                        </w:trPr>
                        <w:tc>
                          <w:tcPr>
                            <w:tcW w:w="18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285</w:t>
                            </w:r>
                          </w:p>
                        </w:tc>
                        <w:tc>
                          <w:tcPr>
                            <w:tcW w:w="11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6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71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r>
                      <w:tr>
                        <w:trPr>
                          <w:trHeight w:val="239" w:hRule="atLeast"/>
                        </w:trPr>
                        <w:tc>
                          <w:tcPr>
                            <w:tcW w:w="184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TOTAL</w:t>
                            </w:r>
                          </w:p>
                        </w:tc>
                        <w:tc>
                          <w:tcPr>
                            <w:tcW w:w="112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33</w:t>
                            </w:r>
                          </w:p>
                        </w:tc>
                        <w:tc>
                          <w:tcPr>
                            <w:tcW w:w="60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207</w:t>
                            </w:r>
                          </w:p>
                        </w:tc>
                        <w:tc>
                          <w:tcPr>
                            <w:tcW w:w="7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240</w:t>
                            </w:r>
                          </w:p>
                        </w:tc>
                      </w:tr>
                    </w:tbl>
                  </w:txbxContent>
                </v:textbox>
                <w10:wrap type="square"/>
              </v:rect>
            </w:pict>
          </mc:Fallback>
        </mc:AlternateContent>
      </w:r>
    </w:p>
    <w:tbl>
      <w:tblPr>
        <w:tblW w:w="4472" w:type="dxa"/>
        <w:jc w:val="left"/>
        <w:tblInd w:w="349"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2268"/>
        <w:gridCol w:w="709"/>
        <w:gridCol w:w="534"/>
        <w:gridCol w:w="961"/>
      </w:tblGrid>
      <w:tr>
        <w:trPr>
          <w:trHeight w:val="287" w:hRule="atLeast"/>
        </w:trPr>
        <w:tc>
          <w:tcPr>
            <w:tcW w:w="2268"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sz w:val="18"/>
                <w:szCs w:val="18"/>
              </w:rPr>
              <w:tab/>
            </w:r>
            <w:r>
              <w:rPr>
                <w:rFonts w:cs="Calibri"/>
                <w:b/>
                <w:bCs/>
                <w:i w:val="false"/>
                <w:iCs w:val="false"/>
                <w:color w:val="000000"/>
                <w:sz w:val="18"/>
                <w:szCs w:val="18"/>
              </w:rPr>
              <w:t>NBRE DE SALARIES</w:t>
            </w:r>
          </w:p>
        </w:tc>
        <w:tc>
          <w:tcPr>
            <w:tcW w:w="709"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SEXE</w:t>
            </w:r>
          </w:p>
        </w:tc>
        <w:tc>
          <w:tcPr>
            <w:tcW w:w="534"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 </w:t>
            </w:r>
          </w:p>
        </w:tc>
        <w:tc>
          <w:tcPr>
            <w:tcW w:w="9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 </w:t>
            </w:r>
          </w:p>
        </w:tc>
      </w:tr>
      <w:tr>
        <w:trPr>
          <w:trHeight w:val="287" w:hRule="atLeast"/>
        </w:trPr>
        <w:tc>
          <w:tcPr>
            <w:tcW w:w="2268"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Statut</w:t>
            </w:r>
          </w:p>
        </w:tc>
        <w:tc>
          <w:tcPr>
            <w:tcW w:w="709"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Fémi</w:t>
            </w:r>
          </w:p>
        </w:tc>
        <w:tc>
          <w:tcPr>
            <w:tcW w:w="534"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Masc</w:t>
            </w:r>
          </w:p>
        </w:tc>
        <w:tc>
          <w:tcPr>
            <w:tcW w:w="9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TOTAL</w:t>
            </w:r>
          </w:p>
        </w:tc>
      </w:tr>
      <w:tr>
        <w:trPr>
          <w:trHeight w:val="287" w:hRule="atLeast"/>
        </w:trPr>
        <w:tc>
          <w:tcPr>
            <w:tcW w:w="2268"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CADRE</w:t>
            </w:r>
          </w:p>
        </w:tc>
        <w:tc>
          <w:tcPr>
            <w:tcW w:w="709"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w:t>
            </w:r>
          </w:p>
        </w:tc>
        <w:tc>
          <w:tcPr>
            <w:tcW w:w="534"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10</w:t>
            </w:r>
          </w:p>
        </w:tc>
        <w:tc>
          <w:tcPr>
            <w:tcW w:w="9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11</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100</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2</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103</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108</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130</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135</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70</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90</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87" w:hRule="atLeast"/>
        </w:trPr>
        <w:tc>
          <w:tcPr>
            <w:tcW w:w="2268"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ETAM</w:t>
            </w:r>
          </w:p>
        </w:tc>
        <w:tc>
          <w:tcPr>
            <w:tcW w:w="709"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w:t>
            </w:r>
          </w:p>
        </w:tc>
        <w:tc>
          <w:tcPr>
            <w:tcW w:w="534"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14</w:t>
            </w:r>
          </w:p>
        </w:tc>
        <w:tc>
          <w:tcPr>
            <w:tcW w:w="9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15</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 </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14</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15</w:t>
            </w:r>
          </w:p>
        </w:tc>
      </w:tr>
      <w:tr>
        <w:trPr>
          <w:trHeight w:val="287" w:hRule="atLeast"/>
        </w:trPr>
        <w:tc>
          <w:tcPr>
            <w:tcW w:w="2268"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OUVRIER</w:t>
            </w:r>
          </w:p>
        </w:tc>
        <w:tc>
          <w:tcPr>
            <w:tcW w:w="709"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 </w:t>
            </w:r>
          </w:p>
        </w:tc>
        <w:tc>
          <w:tcPr>
            <w:tcW w:w="534"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22</w:t>
            </w:r>
          </w:p>
        </w:tc>
        <w:tc>
          <w:tcPr>
            <w:tcW w:w="9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22</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185</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1</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210</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7</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220</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230</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8</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8</w:t>
            </w:r>
          </w:p>
        </w:tc>
      </w:tr>
      <w:tr>
        <w:trPr>
          <w:trHeight w:val="287" w:hRule="atLeast"/>
        </w:trPr>
        <w:tc>
          <w:tcPr>
            <w:tcW w:w="22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80"/>
              <w:rPr>
                <w:rFonts w:cs="Calibri"/>
                <w:i w:val="false"/>
                <w:i w:val="false"/>
                <w:iCs w:val="false"/>
                <w:color w:val="000000"/>
                <w:sz w:val="18"/>
                <w:szCs w:val="18"/>
              </w:rPr>
            </w:pPr>
            <w:r>
              <w:rPr>
                <w:rFonts w:cs="Calibri"/>
                <w:i w:val="false"/>
                <w:iCs w:val="false"/>
                <w:color w:val="000000"/>
                <w:sz w:val="18"/>
                <w:szCs w:val="18"/>
              </w:rPr>
              <w:t>240</w:t>
            </w:r>
          </w:p>
        </w:tc>
        <w:tc>
          <w:tcPr>
            <w:tcW w:w="70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 </w:t>
            </w:r>
          </w:p>
        </w:tc>
        <w:tc>
          <w:tcPr>
            <w:tcW w:w="53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c>
          <w:tcPr>
            <w:tcW w:w="961"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cs="Calibri"/>
                <w:i w:val="false"/>
                <w:iCs w:val="false"/>
                <w:color w:val="000000"/>
                <w:sz w:val="18"/>
                <w:szCs w:val="18"/>
              </w:rPr>
              <w:t>3</w:t>
            </w:r>
          </w:p>
        </w:tc>
      </w:tr>
      <w:tr>
        <w:trPr>
          <w:trHeight w:val="287" w:hRule="atLeast"/>
        </w:trPr>
        <w:tc>
          <w:tcPr>
            <w:tcW w:w="2268"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TOTAL</w:t>
            </w:r>
          </w:p>
        </w:tc>
        <w:tc>
          <w:tcPr>
            <w:tcW w:w="709"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2</w:t>
            </w:r>
          </w:p>
        </w:tc>
        <w:tc>
          <w:tcPr>
            <w:tcW w:w="534"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46</w:t>
            </w:r>
          </w:p>
        </w:tc>
        <w:tc>
          <w:tcPr>
            <w:tcW w:w="9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48</w:t>
            </w:r>
          </w:p>
        </w:tc>
      </w:tr>
    </w:tbl>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pPr>
      <w:r>
        <w:rPr>
          <w:i w:val="false"/>
        </w:rPr>
        <w:t>Soit un effectif féminin de 12.15%</w:t>
      </w:r>
    </w:p>
    <w:p>
      <w:pPr>
        <w:pStyle w:val="Sansinterligne"/>
        <w:jc w:val="both"/>
        <w:rPr>
          <w:i w:val="false"/>
          <w:i w:val="false"/>
        </w:rPr>
      </w:pPr>
      <w:r>
        <w:rPr>
          <w:i w:val="false"/>
        </w:rPr>
      </w:r>
    </w:p>
    <w:p>
      <w:pPr>
        <w:pStyle w:val="Sansinterligne"/>
        <w:jc w:val="both"/>
        <w:rPr>
          <w:i w:val="false"/>
          <w:i w:val="false"/>
        </w:rPr>
      </w:pPr>
      <w:r>
        <w:rPr>
          <w:i w:val="false"/>
        </w:rPr>
      </w:r>
    </w:p>
    <w:p>
      <w:pPr>
        <w:pStyle w:val="Sansinterligne"/>
        <w:jc w:val="both"/>
        <w:rPr>
          <w:i w:val="false"/>
          <w:i w:val="false"/>
        </w:rPr>
      </w:pPr>
      <w:r>
        <w:rPr>
          <w:i w:val="false"/>
        </w:rPr>
        <w:t>L’effectif pris en considération pour l’analyse des rémunérations comparées des hommes et des femmes ne tient pas compte des alternants.</w:t>
      </w:r>
    </w:p>
    <w:p>
      <w:pPr>
        <w:pStyle w:val="Sansinterligne"/>
        <w:jc w:val="both"/>
        <w:rPr>
          <w:i w:val="false"/>
          <w:i w:val="false"/>
        </w:rPr>
      </w:pPr>
      <w:r>
        <w:rPr>
          <w:i w:val="false"/>
        </w:rPr>
      </w:r>
    </w:p>
    <w:p>
      <w:pPr>
        <w:pStyle w:val="Sansinterligne"/>
        <w:jc w:val="both"/>
        <w:rPr>
          <w:rFonts w:cs="Arial"/>
          <w:i w:val="false"/>
          <w:i w:val="false"/>
        </w:rPr>
      </w:pPr>
      <w:r>
        <w:rPr>
          <w:rFonts w:cs="Arial"/>
          <w:i w:val="false"/>
        </w:rPr>
        <w:t>Le % d’effectif féminin est identique à celui de 2021.</w:t>
      </w:r>
    </w:p>
    <w:p>
      <w:pPr>
        <w:pStyle w:val="Sansinterligne"/>
        <w:jc w:val="both"/>
        <w:rPr>
          <w:rFonts w:cs="Arial"/>
          <w:i w:val="false"/>
          <w:i w:val="false"/>
        </w:rPr>
      </w:pPr>
      <w:r>
        <w:rPr>
          <w:rFonts w:cs="Arial"/>
          <w:i w:val="false"/>
        </w:rPr>
      </w:r>
    </w:p>
    <w:p>
      <w:pPr>
        <w:pStyle w:val="Sansinterligne"/>
        <w:jc w:val="both"/>
        <w:rPr>
          <w:rFonts w:cs="Arial"/>
          <w:i w:val="false"/>
          <w:i w:val="false"/>
        </w:rPr>
      </w:pPr>
      <w:r>
        <w:rPr>
          <w:rFonts w:cs="Arial"/>
          <w:i w:val="false"/>
        </w:rPr>
        <w:t>Seuls les services exportation, achat, travaux, bureau d’étude et administratif comptent dans leur effectif des femmes. A l’atelier nous avons embauché une salariée après quelques en intérim.</w:t>
      </w:r>
    </w:p>
    <w:p>
      <w:pPr>
        <w:pStyle w:val="Sansinterligne"/>
        <w:jc w:val="both"/>
        <w:rPr>
          <w:rFonts w:cs="Arial"/>
          <w:i w:val="false"/>
          <w:i w:val="false"/>
        </w:rPr>
      </w:pPr>
      <w:r>
        <w:rPr>
          <w:rFonts w:cs="Arial"/>
          <w:i w:val="false"/>
        </w:rPr>
      </w:r>
    </w:p>
    <w:p>
      <w:pPr>
        <w:pStyle w:val="Sansinterligne"/>
        <w:jc w:val="both"/>
        <w:rPr>
          <w:rFonts w:cs="Arial"/>
          <w:i w:val="false"/>
          <w:i w:val="false"/>
        </w:rPr>
      </w:pPr>
      <w:r>
        <w:rPr>
          <w:rFonts w:cs="Arial"/>
          <w:i w:val="false"/>
        </w:rPr>
        <w:t xml:space="preserve">La comparaison des rémunérations de base à statut équivalent n’est pas pertinente sur l’ensemble de la société du fait de la très faible présence des femmes sur la majorité des services. </w:t>
      </w:r>
    </w:p>
    <w:p>
      <w:pPr>
        <w:pStyle w:val="Sansinterligne"/>
        <w:jc w:val="both"/>
        <w:rPr>
          <w:rFonts w:cs="Arial"/>
          <w:i w:val="false"/>
          <w:i w:val="false"/>
        </w:rPr>
      </w:pPr>
      <w:r>
        <w:rPr>
          <w:rFonts w:cs="Arial"/>
          <w:i w:val="false"/>
        </w:rPr>
        <w:t>Sur le statut ETAM dans lequel les femmes sont le plus représentées, la répartition par coefficient reste comparable à celle des hommes au regard des postes.</w:t>
      </w:r>
    </w:p>
    <w:p>
      <w:pPr>
        <w:pStyle w:val="Sansinterligne"/>
        <w:rPr>
          <w:rFonts w:cs="Arial"/>
          <w:i w:val="false"/>
          <w:i w:val="false"/>
        </w:rPr>
      </w:pPr>
      <w:r>
        <w:rPr>
          <w:rFonts w:cs="Arial"/>
          <w:i w:val="false"/>
        </w:rPr>
      </w:r>
    </w:p>
    <w:p>
      <w:pPr>
        <w:pStyle w:val="Sansinterligne"/>
        <w:rPr>
          <w:rFonts w:cs="Arial"/>
          <w:i w:val="false"/>
          <w:i w:val="false"/>
        </w:rPr>
      </w:pPr>
      <w:r>
        <w:rPr>
          <w:rFonts w:cs="Arial"/>
          <w:i w:val="false"/>
        </w:rPr>
      </w:r>
    </w:p>
    <w:p>
      <w:pPr>
        <w:pStyle w:val="Citation"/>
        <w:rPr/>
      </w:pPr>
      <w:r>
        <w:rPr>
          <w:rStyle w:val="Emphasis"/>
          <w:rFonts w:cs="Calibri"/>
          <w:i w:val="false"/>
          <w:color w:val="000000"/>
          <w:sz w:val="22"/>
          <w:szCs w:val="22"/>
          <w:u w:val="single"/>
        </w:rPr>
        <w:t xml:space="preserve">B – Montant de la prime exceptionnelle payée au titre de l’exercice 2019/2020. </w:t>
      </w:r>
    </w:p>
    <w:tbl>
      <w:tblPr>
        <w:tblW w:w="6270" w:type="dxa"/>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1556"/>
        <w:gridCol w:w="2018"/>
        <w:gridCol w:w="2696"/>
      </w:tblGrid>
      <w:tr>
        <w:trPr>
          <w:trHeight w:val="301" w:hRule="atLeast"/>
        </w:trPr>
        <w:tc>
          <w:tcPr>
            <w:tcW w:w="6270"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4C6E7"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PRIMES PAYEES EN DECEMBRE 2021</w:t>
            </w:r>
          </w:p>
        </w:tc>
      </w:tr>
      <w:tr>
        <w:trPr>
          <w:trHeight w:val="301" w:hRule="atLeast"/>
        </w:trPr>
        <w:tc>
          <w:tcPr>
            <w:tcW w:w="1556"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Département</w:t>
            </w:r>
          </w:p>
        </w:tc>
        <w:tc>
          <w:tcPr>
            <w:tcW w:w="2018"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Prime except BRUTE</w:t>
            </w:r>
          </w:p>
        </w:tc>
        <w:tc>
          <w:tcPr>
            <w:tcW w:w="26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cs="Calibri"/>
                <w:b/>
                <w:bCs/>
                <w:i w:val="false"/>
                <w:iCs w:val="false"/>
                <w:color w:val="000000"/>
                <w:sz w:val="18"/>
                <w:szCs w:val="18"/>
              </w:rPr>
              <w:t>Prime pouvoir achat NETTE</w:t>
            </w:r>
          </w:p>
        </w:tc>
      </w:tr>
      <w:tr>
        <w:trPr>
          <w:trHeight w:val="301" w:hRule="atLeast"/>
        </w:trPr>
        <w:tc>
          <w:tcPr>
            <w:tcW w:w="155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rFonts w:cs="Calibri"/>
                <w:i w:val="false"/>
                <w:i w:val="false"/>
                <w:iCs w:val="false"/>
                <w:color w:val="000000"/>
                <w:sz w:val="18"/>
                <w:szCs w:val="18"/>
              </w:rPr>
            </w:pPr>
            <w:r>
              <w:rPr>
                <w:rFonts w:cs="Calibri"/>
                <w:i w:val="false"/>
                <w:iCs w:val="false"/>
                <w:color w:val="000000"/>
                <w:sz w:val="18"/>
                <w:szCs w:val="18"/>
              </w:rPr>
              <w:t>ADMINISTRATIF</w:t>
            </w:r>
          </w:p>
        </w:tc>
        <w:tc>
          <w:tcPr>
            <w:tcW w:w="201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17 741.26 </w:t>
            </w:r>
          </w:p>
        </w:tc>
        <w:tc>
          <w:tcPr>
            <w:tcW w:w="2696"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22 389.36 </w:t>
            </w:r>
          </w:p>
        </w:tc>
      </w:tr>
      <w:tr>
        <w:trPr>
          <w:trHeight w:val="301" w:hRule="atLeast"/>
        </w:trPr>
        <w:tc>
          <w:tcPr>
            <w:tcW w:w="155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rFonts w:cs="Calibri"/>
                <w:i w:val="false"/>
                <w:i w:val="false"/>
                <w:iCs w:val="false"/>
                <w:color w:val="000000"/>
                <w:sz w:val="18"/>
                <w:szCs w:val="18"/>
              </w:rPr>
            </w:pPr>
            <w:r>
              <w:rPr>
                <w:rFonts w:cs="Calibri"/>
                <w:i w:val="false"/>
                <w:iCs w:val="false"/>
                <w:color w:val="000000"/>
                <w:sz w:val="18"/>
                <w:szCs w:val="18"/>
              </w:rPr>
              <w:t>ATELIER</w:t>
            </w:r>
          </w:p>
        </w:tc>
        <w:tc>
          <w:tcPr>
            <w:tcW w:w="201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15 903.47 </w:t>
            </w:r>
          </w:p>
        </w:tc>
        <w:tc>
          <w:tcPr>
            <w:tcW w:w="2696"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68 258.56 </w:t>
            </w:r>
          </w:p>
        </w:tc>
      </w:tr>
      <w:tr>
        <w:trPr>
          <w:trHeight w:val="301" w:hRule="atLeast"/>
        </w:trPr>
        <w:tc>
          <w:tcPr>
            <w:tcW w:w="155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rFonts w:cs="Calibri"/>
                <w:i w:val="false"/>
                <w:i w:val="false"/>
                <w:iCs w:val="false"/>
                <w:color w:val="000000"/>
                <w:sz w:val="18"/>
                <w:szCs w:val="18"/>
              </w:rPr>
            </w:pPr>
            <w:r>
              <w:rPr>
                <w:rFonts w:cs="Calibri"/>
                <w:i w:val="false"/>
                <w:iCs w:val="false"/>
                <w:color w:val="000000"/>
                <w:sz w:val="18"/>
                <w:szCs w:val="18"/>
              </w:rPr>
              <w:t>BUREAU ETUDE</w:t>
            </w:r>
          </w:p>
        </w:tc>
        <w:tc>
          <w:tcPr>
            <w:tcW w:w="201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32 132.30 </w:t>
            </w:r>
          </w:p>
        </w:tc>
        <w:tc>
          <w:tcPr>
            <w:tcW w:w="2696"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39 262.98 </w:t>
            </w:r>
          </w:p>
        </w:tc>
      </w:tr>
      <w:tr>
        <w:trPr>
          <w:trHeight w:val="301" w:hRule="atLeast"/>
        </w:trPr>
        <w:tc>
          <w:tcPr>
            <w:tcW w:w="155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rFonts w:cs="Calibri"/>
                <w:i w:val="false"/>
                <w:i w:val="false"/>
                <w:iCs w:val="false"/>
                <w:color w:val="000000"/>
                <w:sz w:val="18"/>
                <w:szCs w:val="18"/>
              </w:rPr>
            </w:pPr>
            <w:r>
              <w:rPr>
                <w:rFonts w:cs="Calibri"/>
                <w:i w:val="false"/>
                <w:iCs w:val="false"/>
                <w:color w:val="000000"/>
                <w:sz w:val="18"/>
                <w:szCs w:val="18"/>
              </w:rPr>
              <w:t>COMMERCE</w:t>
            </w:r>
          </w:p>
        </w:tc>
        <w:tc>
          <w:tcPr>
            <w:tcW w:w="201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26 046.72 </w:t>
            </w:r>
          </w:p>
        </w:tc>
        <w:tc>
          <w:tcPr>
            <w:tcW w:w="2696"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16 527.14 </w:t>
            </w:r>
          </w:p>
        </w:tc>
      </w:tr>
      <w:tr>
        <w:trPr>
          <w:trHeight w:val="301" w:hRule="atLeast"/>
        </w:trPr>
        <w:tc>
          <w:tcPr>
            <w:tcW w:w="155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rFonts w:cs="Calibri"/>
                <w:i w:val="false"/>
                <w:i w:val="false"/>
                <w:iCs w:val="false"/>
                <w:color w:val="000000"/>
                <w:sz w:val="18"/>
                <w:szCs w:val="18"/>
              </w:rPr>
            </w:pPr>
            <w:r>
              <w:rPr>
                <w:rFonts w:cs="Calibri"/>
                <w:i w:val="false"/>
                <w:iCs w:val="false"/>
                <w:color w:val="000000"/>
                <w:sz w:val="18"/>
                <w:szCs w:val="18"/>
              </w:rPr>
              <w:t>EXPORT</w:t>
            </w:r>
          </w:p>
        </w:tc>
        <w:tc>
          <w:tcPr>
            <w:tcW w:w="201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8 619.37 </w:t>
            </w:r>
          </w:p>
        </w:tc>
        <w:tc>
          <w:tcPr>
            <w:tcW w:w="2696"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4 000.00 </w:t>
            </w:r>
          </w:p>
        </w:tc>
      </w:tr>
      <w:tr>
        <w:trPr>
          <w:trHeight w:val="301" w:hRule="atLeast"/>
        </w:trPr>
        <w:tc>
          <w:tcPr>
            <w:tcW w:w="155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rFonts w:cs="Calibri"/>
                <w:i w:val="false"/>
                <w:i w:val="false"/>
                <w:iCs w:val="false"/>
                <w:color w:val="000000"/>
                <w:sz w:val="18"/>
                <w:szCs w:val="18"/>
              </w:rPr>
            </w:pPr>
            <w:r>
              <w:rPr>
                <w:rFonts w:cs="Calibri"/>
                <w:i w:val="false"/>
                <w:iCs w:val="false"/>
                <w:color w:val="000000"/>
                <w:sz w:val="18"/>
                <w:szCs w:val="18"/>
              </w:rPr>
              <w:t>MONTAGE</w:t>
            </w:r>
          </w:p>
        </w:tc>
        <w:tc>
          <w:tcPr>
            <w:tcW w:w="201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10 825.02 </w:t>
            </w:r>
          </w:p>
        </w:tc>
        <w:tc>
          <w:tcPr>
            <w:tcW w:w="2696"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27 933.63 </w:t>
            </w:r>
          </w:p>
        </w:tc>
      </w:tr>
      <w:tr>
        <w:trPr>
          <w:trHeight w:val="301" w:hRule="atLeast"/>
        </w:trPr>
        <w:tc>
          <w:tcPr>
            <w:tcW w:w="155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rFonts w:cs="Calibri"/>
                <w:i w:val="false"/>
                <w:i w:val="false"/>
                <w:iCs w:val="false"/>
                <w:color w:val="000000"/>
                <w:sz w:val="18"/>
                <w:szCs w:val="18"/>
              </w:rPr>
            </w:pPr>
            <w:r>
              <w:rPr>
                <w:rFonts w:cs="Calibri"/>
                <w:i w:val="false"/>
                <w:iCs w:val="false"/>
                <w:color w:val="000000"/>
                <w:sz w:val="18"/>
                <w:szCs w:val="18"/>
              </w:rPr>
              <w:t>TRAVAUX</w:t>
            </w:r>
          </w:p>
        </w:tc>
        <w:tc>
          <w:tcPr>
            <w:tcW w:w="201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66 740.18 </w:t>
            </w:r>
          </w:p>
        </w:tc>
        <w:tc>
          <w:tcPr>
            <w:tcW w:w="2696"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sz w:val="18"/>
                <w:szCs w:val="18"/>
              </w:rPr>
            </w:pPr>
            <w:r>
              <w:rPr>
                <w:rFonts w:eastAsia="Calibri" w:cs="Calibri"/>
                <w:i w:val="false"/>
                <w:iCs w:val="false"/>
                <w:color w:val="000000"/>
                <w:sz w:val="18"/>
                <w:szCs w:val="18"/>
              </w:rPr>
              <w:t xml:space="preserve">                             </w:t>
            </w:r>
            <w:r>
              <w:rPr>
                <w:rFonts w:cs="Calibri"/>
                <w:i w:val="false"/>
                <w:iCs w:val="false"/>
                <w:color w:val="000000"/>
                <w:sz w:val="18"/>
                <w:szCs w:val="18"/>
              </w:rPr>
              <w:t xml:space="preserve">48 370.31 </w:t>
            </w:r>
          </w:p>
        </w:tc>
      </w:tr>
      <w:tr>
        <w:trPr>
          <w:trHeight w:val="301" w:hRule="atLeast"/>
        </w:trPr>
        <w:tc>
          <w:tcPr>
            <w:tcW w:w="1556"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rFonts w:cs="Calibri"/>
                <w:b/>
                <w:b/>
                <w:bCs/>
                <w:i w:val="false"/>
                <w:i w:val="false"/>
                <w:iCs w:val="false"/>
                <w:color w:val="000000"/>
                <w:sz w:val="18"/>
                <w:szCs w:val="18"/>
              </w:rPr>
            </w:pPr>
            <w:r>
              <w:rPr>
                <w:rFonts w:cs="Calibri"/>
                <w:b/>
                <w:bCs/>
                <w:i w:val="false"/>
                <w:iCs w:val="false"/>
                <w:color w:val="000000"/>
                <w:sz w:val="18"/>
                <w:szCs w:val="18"/>
              </w:rPr>
              <w:t>Total général</w:t>
            </w:r>
          </w:p>
        </w:tc>
        <w:tc>
          <w:tcPr>
            <w:tcW w:w="2018"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eastAsia="Calibri" w:cs="Calibri"/>
                <w:b/>
                <w:bCs/>
                <w:i w:val="false"/>
                <w:iCs w:val="false"/>
                <w:color w:val="000000"/>
                <w:sz w:val="18"/>
                <w:szCs w:val="18"/>
              </w:rPr>
              <w:t xml:space="preserve">                </w:t>
            </w:r>
            <w:r>
              <w:rPr>
                <w:rFonts w:cs="Calibri"/>
                <w:b/>
                <w:bCs/>
                <w:i w:val="false"/>
                <w:iCs w:val="false"/>
                <w:color w:val="000000"/>
                <w:sz w:val="18"/>
                <w:szCs w:val="18"/>
              </w:rPr>
              <w:t xml:space="preserve">178 008.32 </w:t>
            </w:r>
          </w:p>
        </w:tc>
        <w:tc>
          <w:tcPr>
            <w:tcW w:w="26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rFonts w:cs="Calibri"/>
                <w:b/>
                <w:b/>
                <w:bCs/>
                <w:i w:val="false"/>
                <w:i w:val="false"/>
                <w:iCs w:val="false"/>
                <w:color w:val="000000"/>
                <w:sz w:val="18"/>
                <w:szCs w:val="18"/>
              </w:rPr>
            </w:pPr>
            <w:r>
              <w:rPr>
                <w:rFonts w:eastAsia="Calibri" w:cs="Calibri"/>
                <w:b/>
                <w:bCs/>
                <w:i w:val="false"/>
                <w:iCs w:val="false"/>
                <w:color w:val="000000"/>
                <w:sz w:val="18"/>
                <w:szCs w:val="18"/>
              </w:rPr>
              <w:t xml:space="preserve">                           </w:t>
            </w:r>
            <w:r>
              <w:rPr>
                <w:rFonts w:cs="Calibri"/>
                <w:b/>
                <w:bCs/>
                <w:i w:val="false"/>
                <w:iCs w:val="false"/>
                <w:color w:val="000000"/>
                <w:sz w:val="18"/>
                <w:szCs w:val="18"/>
              </w:rPr>
              <w:t xml:space="preserve">226 741.98 </w:t>
            </w:r>
          </w:p>
        </w:tc>
      </w:tr>
    </w:tbl>
    <w:p>
      <w:pPr>
        <w:pStyle w:val="Normal"/>
        <w:jc w:val="both"/>
        <w:rPr/>
      </w:pPr>
      <w:r>
        <w:rPr>
          <w:rFonts w:cs="Arial"/>
          <w:i w:val="false"/>
        </w:rPr>
        <w:t>Par ailleurs il a été versé sur la paye du mois de décembre une « prime transport » pour un montant maximum de 200€ par bénéficiaires pour tous les salariés qui utilisent leur véhicule personnel pour les déplacements entre leur domicile et le lieu de travail.</w:t>
      </w:r>
    </w:p>
    <w:p>
      <w:pPr>
        <w:pStyle w:val="Citation"/>
        <w:rPr/>
      </w:pPr>
      <w:r>
        <w:rPr>
          <w:rStyle w:val="Emphasis"/>
          <w:rFonts w:cs="Calibri"/>
          <w:i w:val="false"/>
          <w:color w:val="000000"/>
          <w:sz w:val="22"/>
          <w:szCs w:val="22"/>
          <w:u w:val="single"/>
        </w:rPr>
        <w:t>C – Masse salariale par année comptable.</w:t>
      </w:r>
      <w:r>
        <w:rPr/>
        <w:t xml:space="preserve"> </w:t>
      </w:r>
    </w:p>
    <w:tbl>
      <w:tblPr>
        <w:tblW w:w="9327" w:type="dxa"/>
        <w:jc w:val="left"/>
        <w:tblInd w:w="45"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1791"/>
        <w:gridCol w:w="1367"/>
        <w:gridCol w:w="1640"/>
        <w:gridCol w:w="1640"/>
        <w:gridCol w:w="1640"/>
        <w:gridCol w:w="1239"/>
        <w:gridCol w:w="10"/>
      </w:tblGrid>
      <w:tr>
        <w:trPr>
          <w:trHeight w:val="613" w:hRule="atLeast"/>
        </w:trPr>
        <w:tc>
          <w:tcPr>
            <w:tcW w:w="1791" w:type="dxa"/>
            <w:vMerge w:val="restart"/>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pacing w:lineRule="auto" w:line="240" w:before="0" w:after="0"/>
              <w:jc w:val="center"/>
              <w:rPr>
                <w:b/>
                <w:b/>
                <w:i w:val="false"/>
                <w:i w:val="false"/>
                <w:iCs w:val="false"/>
                <w:color w:val="000000"/>
                <w:sz w:val="18"/>
                <w:szCs w:val="18"/>
              </w:rPr>
            </w:pPr>
            <w:r>
              <w:rPr>
                <w:b/>
                <w:i w:val="false"/>
                <w:iCs w:val="false"/>
                <w:color w:val="000000"/>
                <w:sz w:val="18"/>
                <w:szCs w:val="18"/>
              </w:rPr>
              <w:t xml:space="preserve">ANNEES </w:t>
            </w:r>
          </w:p>
        </w:tc>
        <w:tc>
          <w:tcPr>
            <w:tcW w:w="1367" w:type="dxa"/>
            <w:vMerge w:val="restart"/>
            <w:tcBorders>
              <w:top w:val="single" w:sz="4" w:space="0" w:color="000000"/>
              <w:left w:val="double" w:sz="6" w:space="0" w:color="000000"/>
              <w:bottom w:val="single" w:sz="4" w:space="0" w:color="000000"/>
              <w:insideH w:val="single" w:sz="4" w:space="0" w:color="000000"/>
            </w:tcBorders>
            <w:shd w:fill="B8CCE4" w:val="clear"/>
            <w:tcMar>
              <w:left w:w="47" w:type="dxa"/>
            </w:tcMar>
            <w:vAlign w:val="center"/>
          </w:tcPr>
          <w:p>
            <w:pPr>
              <w:pStyle w:val="Normal"/>
              <w:spacing w:lineRule="auto" w:line="240" w:before="0" w:after="0"/>
              <w:jc w:val="center"/>
              <w:rPr/>
            </w:pPr>
            <w:r>
              <w:rPr>
                <w:b/>
                <w:i w:val="false"/>
                <w:iCs w:val="false"/>
                <w:color w:val="000000"/>
                <w:sz w:val="18"/>
                <w:szCs w:val="18"/>
              </w:rPr>
              <w:t>EFFECTIF MOYEN GLOBAL</w:t>
            </w:r>
          </w:p>
          <w:p>
            <w:pPr>
              <w:pStyle w:val="Normal"/>
              <w:spacing w:lineRule="auto" w:line="240" w:before="0" w:after="0"/>
              <w:jc w:val="center"/>
              <w:rPr>
                <w:b/>
                <w:b/>
                <w:i w:val="false"/>
                <w:i w:val="false"/>
                <w:iCs w:val="false"/>
                <w:color w:val="000000"/>
                <w:sz w:val="18"/>
                <w:szCs w:val="18"/>
              </w:rPr>
            </w:pPr>
            <w:r>
              <w:rPr>
                <w:b/>
                <w:i w:val="false"/>
                <w:iCs w:val="false"/>
                <w:color w:val="000000"/>
                <w:sz w:val="18"/>
                <w:szCs w:val="18"/>
              </w:rPr>
              <w:t xml:space="preserve">DADS </w:t>
            </w:r>
          </w:p>
        </w:tc>
        <w:tc>
          <w:tcPr>
            <w:tcW w:w="1640" w:type="dxa"/>
            <w:vMerge w:val="restart"/>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pacing w:lineRule="auto" w:line="240" w:before="0" w:after="0"/>
              <w:jc w:val="center"/>
              <w:rPr/>
            </w:pPr>
            <w:r>
              <w:rPr>
                <w:b/>
                <w:i w:val="false"/>
                <w:iCs w:val="false"/>
                <w:color w:val="000000"/>
                <w:sz w:val="18"/>
                <w:szCs w:val="18"/>
              </w:rPr>
              <w:t>SALAIRE NET</w:t>
            </w:r>
          </w:p>
        </w:tc>
        <w:tc>
          <w:tcPr>
            <w:tcW w:w="1640" w:type="dxa"/>
            <w:vMerge w:val="restart"/>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pacing w:lineRule="auto" w:line="240" w:before="0" w:after="0"/>
              <w:jc w:val="center"/>
              <w:rPr>
                <w:b/>
                <w:b/>
                <w:i w:val="false"/>
                <w:i w:val="false"/>
                <w:iCs w:val="false"/>
                <w:color w:val="000000"/>
                <w:sz w:val="18"/>
                <w:szCs w:val="18"/>
              </w:rPr>
            </w:pPr>
            <w:r>
              <w:rPr>
                <w:b/>
                <w:i w:val="false"/>
                <w:iCs w:val="false"/>
                <w:color w:val="000000"/>
                <w:sz w:val="18"/>
                <w:szCs w:val="18"/>
              </w:rPr>
              <w:t>SALAIRE BRUT</w:t>
            </w:r>
          </w:p>
        </w:tc>
        <w:tc>
          <w:tcPr>
            <w:tcW w:w="1640" w:type="dxa"/>
            <w:vMerge w:val="restart"/>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pacing w:lineRule="auto" w:line="240" w:before="0" w:after="0"/>
              <w:jc w:val="center"/>
              <w:rPr/>
            </w:pPr>
            <w:r>
              <w:rPr>
                <w:b/>
                <w:i w:val="false"/>
                <w:iCs w:val="false"/>
                <w:color w:val="000000"/>
                <w:sz w:val="18"/>
                <w:szCs w:val="18"/>
              </w:rPr>
              <w:t xml:space="preserve">SALAIRE BRUT CHARGE </w:t>
            </w:r>
          </w:p>
          <w:p>
            <w:pPr>
              <w:pStyle w:val="Normal"/>
              <w:spacing w:lineRule="auto" w:line="240" w:before="0" w:after="0"/>
              <w:jc w:val="center"/>
              <w:rPr>
                <w:b/>
                <w:b/>
                <w:i w:val="false"/>
                <w:i w:val="false"/>
                <w:iCs w:val="false"/>
                <w:color w:val="000000"/>
                <w:sz w:val="18"/>
                <w:szCs w:val="18"/>
              </w:rPr>
            </w:pPr>
            <w:r>
              <w:rPr>
                <w:b/>
                <w:i w:val="false"/>
                <w:iCs w:val="false"/>
                <w:color w:val="000000"/>
                <w:sz w:val="18"/>
                <w:szCs w:val="18"/>
              </w:rPr>
              <w:t>(brut + Charges Patronales)</w:t>
            </w:r>
          </w:p>
        </w:tc>
        <w:tc>
          <w:tcPr>
            <w:tcW w:w="1239" w:type="dxa"/>
            <w:vMerge w:val="restart"/>
            <w:tcBorders>
              <w:top w:val="single" w:sz="4" w:space="0" w:color="000000"/>
              <w:left w:val="double" w:sz="6" w:space="0" w:color="000000"/>
              <w:bottom w:val="single" w:sz="4" w:space="0" w:color="000000"/>
              <w:right w:val="single" w:sz="4" w:space="0" w:color="000000"/>
              <w:insideH w:val="single" w:sz="4" w:space="0" w:color="000000"/>
              <w:insideV w:val="single" w:sz="4" w:space="0" w:color="000000"/>
            </w:tcBorders>
            <w:shd w:fill="B8CCE4" w:val="clear"/>
            <w:tcMar>
              <w:left w:w="47" w:type="dxa"/>
            </w:tcMar>
            <w:vAlign w:val="center"/>
          </w:tcPr>
          <w:p>
            <w:pPr>
              <w:pStyle w:val="Normal"/>
              <w:spacing w:lineRule="auto" w:line="240" w:before="0" w:after="0"/>
              <w:jc w:val="center"/>
              <w:rPr>
                <w:b/>
                <w:b/>
                <w:i w:val="false"/>
                <w:i w:val="false"/>
                <w:iCs w:val="false"/>
                <w:color w:val="000000"/>
                <w:sz w:val="18"/>
                <w:szCs w:val="18"/>
              </w:rPr>
            </w:pPr>
            <w:r>
              <w:rPr>
                <w:b/>
                <w:i w:val="false"/>
                <w:iCs w:val="false"/>
                <w:color w:val="000000"/>
                <w:sz w:val="18"/>
                <w:szCs w:val="18"/>
              </w:rPr>
              <w:t>%</w:t>
            </w:r>
          </w:p>
        </w:tc>
      </w:tr>
      <w:tr>
        <w:trPr>
          <w:trHeight w:val="368" w:hRule="atLeast"/>
        </w:trPr>
        <w:tc>
          <w:tcPr>
            <w:tcW w:w="1791" w:type="dxa"/>
            <w:vMerge w:val="continue"/>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napToGrid w:val="false"/>
              <w:spacing w:lineRule="auto" w:line="240" w:before="0" w:after="0"/>
              <w:rPr>
                <w:b/>
                <w:b/>
                <w:i w:val="false"/>
                <w:i w:val="false"/>
                <w:iCs w:val="false"/>
                <w:color w:val="000000"/>
                <w:sz w:val="18"/>
                <w:szCs w:val="18"/>
              </w:rPr>
            </w:pPr>
            <w:r>
              <w:rPr>
                <w:b/>
                <w:i w:val="false"/>
                <w:iCs w:val="false"/>
                <w:color w:val="000000"/>
                <w:sz w:val="18"/>
                <w:szCs w:val="18"/>
              </w:rPr>
            </w:r>
          </w:p>
        </w:tc>
        <w:tc>
          <w:tcPr>
            <w:tcW w:w="1367" w:type="dxa"/>
            <w:vMerge w:val="continue"/>
            <w:tcBorders>
              <w:top w:val="single" w:sz="4" w:space="0" w:color="000000"/>
              <w:left w:val="double" w:sz="6" w:space="0" w:color="000000"/>
              <w:bottom w:val="single" w:sz="4" w:space="0" w:color="000000"/>
              <w:insideH w:val="single" w:sz="4" w:space="0" w:color="000000"/>
            </w:tcBorders>
            <w:shd w:fill="B8CCE4" w:val="clear"/>
            <w:tcMar>
              <w:left w:w="47" w:type="dxa"/>
            </w:tcMar>
            <w:vAlign w:val="center"/>
          </w:tcPr>
          <w:p>
            <w:pPr>
              <w:pStyle w:val="Normal"/>
              <w:snapToGrid w:val="false"/>
              <w:spacing w:lineRule="auto" w:line="240" w:before="0" w:after="0"/>
              <w:rPr>
                <w:i w:val="false"/>
                <w:i w:val="false"/>
                <w:iCs w:val="false"/>
                <w:color w:val="000000"/>
                <w:sz w:val="18"/>
                <w:szCs w:val="18"/>
              </w:rPr>
            </w:pPr>
            <w:r>
              <w:rPr>
                <w:i w:val="false"/>
                <w:iCs w:val="false"/>
                <w:color w:val="000000"/>
                <w:sz w:val="18"/>
                <w:szCs w:val="18"/>
              </w:rPr>
            </w:r>
          </w:p>
        </w:tc>
        <w:tc>
          <w:tcPr>
            <w:tcW w:w="1640" w:type="dxa"/>
            <w:vMerge w:val="continue"/>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napToGrid w:val="false"/>
              <w:spacing w:lineRule="auto" w:line="240" w:before="0" w:after="0"/>
              <w:rPr>
                <w:i w:val="false"/>
                <w:i w:val="false"/>
                <w:iCs w:val="false"/>
                <w:color w:val="000000"/>
                <w:sz w:val="18"/>
                <w:szCs w:val="18"/>
              </w:rPr>
            </w:pPr>
            <w:r>
              <w:rPr>
                <w:i w:val="false"/>
                <w:iCs w:val="false"/>
                <w:color w:val="000000"/>
                <w:sz w:val="18"/>
                <w:szCs w:val="18"/>
              </w:rPr>
            </w:r>
          </w:p>
        </w:tc>
        <w:tc>
          <w:tcPr>
            <w:tcW w:w="1640" w:type="dxa"/>
            <w:vMerge w:val="continue"/>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napToGrid w:val="false"/>
              <w:spacing w:lineRule="auto" w:line="240" w:before="0" w:after="0"/>
              <w:rPr>
                <w:i w:val="false"/>
                <w:i w:val="false"/>
                <w:iCs w:val="false"/>
                <w:color w:val="000000"/>
                <w:sz w:val="18"/>
                <w:szCs w:val="18"/>
              </w:rPr>
            </w:pPr>
            <w:r>
              <w:rPr>
                <w:i w:val="false"/>
                <w:iCs w:val="false"/>
                <w:color w:val="000000"/>
                <w:sz w:val="18"/>
                <w:szCs w:val="18"/>
              </w:rPr>
            </w:r>
          </w:p>
        </w:tc>
        <w:tc>
          <w:tcPr>
            <w:tcW w:w="1640" w:type="dxa"/>
            <w:vMerge w:val="continue"/>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napToGrid w:val="false"/>
              <w:spacing w:lineRule="auto" w:line="240" w:before="0" w:after="0"/>
              <w:rPr>
                <w:i w:val="false"/>
                <w:i w:val="false"/>
                <w:iCs w:val="false"/>
                <w:color w:val="000000"/>
                <w:sz w:val="18"/>
                <w:szCs w:val="18"/>
              </w:rPr>
            </w:pPr>
            <w:r>
              <w:rPr>
                <w:i w:val="false"/>
                <w:iCs w:val="false"/>
                <w:color w:val="000000"/>
                <w:sz w:val="18"/>
                <w:szCs w:val="18"/>
              </w:rPr>
            </w:r>
          </w:p>
        </w:tc>
        <w:tc>
          <w:tcPr>
            <w:tcW w:w="1239" w:type="dxa"/>
            <w:vMerge w:val="continue"/>
            <w:tcBorders>
              <w:top w:val="single" w:sz="4" w:space="0" w:color="000000"/>
              <w:left w:val="double" w:sz="6" w:space="0" w:color="000000"/>
              <w:bottom w:val="single" w:sz="4" w:space="0" w:color="000000"/>
              <w:right w:val="single" w:sz="4" w:space="0" w:color="000000"/>
              <w:insideH w:val="single" w:sz="4" w:space="0" w:color="000000"/>
              <w:insideV w:val="single" w:sz="4" w:space="0" w:color="000000"/>
            </w:tcBorders>
            <w:shd w:fill="B8CCE4" w:val="clear"/>
            <w:tcMar>
              <w:left w:w="47" w:type="dxa"/>
            </w:tcMar>
            <w:vAlign w:val="center"/>
          </w:tcPr>
          <w:p>
            <w:pPr>
              <w:pStyle w:val="Normal"/>
              <w:snapToGrid w:val="false"/>
              <w:spacing w:lineRule="auto" w:line="240" w:before="0" w:after="0"/>
              <w:rPr>
                <w:i w:val="false"/>
                <w:i w:val="false"/>
                <w:iCs w:val="false"/>
                <w:color w:val="000000"/>
                <w:sz w:val="18"/>
                <w:szCs w:val="18"/>
              </w:rPr>
            </w:pPr>
            <w:r>
              <w:rPr>
                <w:i w:val="false"/>
                <w:iCs w:val="false"/>
                <w:color w:val="000000"/>
                <w:sz w:val="18"/>
                <w:szCs w:val="18"/>
              </w:rPr>
            </w:r>
          </w:p>
        </w:tc>
      </w:tr>
      <w:tr>
        <w:trPr>
          <w:trHeight w:val="306" w:hRule="atLeast"/>
        </w:trPr>
        <w:tc>
          <w:tcPr>
            <w:tcW w:w="1791" w:type="dxa"/>
            <w:tcBorders>
              <w:left w:val="single" w:sz="8" w:space="0" w:color="000000"/>
              <w:bottom w:val="dotted" w:sz="4" w:space="0" w:color="000000"/>
              <w:insideH w:val="dotted"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2015</w:t>
            </w:r>
          </w:p>
        </w:tc>
        <w:tc>
          <w:tcPr>
            <w:tcW w:w="1367"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398</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8 180 749.72 €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pPr>
            <w:r>
              <w:rPr>
                <w:i w:val="false"/>
                <w:iCs w:val="false"/>
                <w:color w:val="000000"/>
                <w:sz w:val="18"/>
                <w:szCs w:val="18"/>
              </w:rPr>
              <w:t>10 128 260.90 €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pPr>
            <w:r>
              <w:rPr>
                <w:i w:val="false"/>
                <w:iCs w:val="false"/>
                <w:color w:val="000000"/>
                <w:sz w:val="18"/>
                <w:szCs w:val="18"/>
              </w:rPr>
              <w:t>17 006 154.87 €</w:t>
            </w:r>
          </w:p>
        </w:tc>
        <w:tc>
          <w:tcPr>
            <w:tcW w:w="1249" w:type="dxa"/>
            <w:tcBorders>
              <w:left w:val="single" w:sz="4" w:space="0" w:color="000000"/>
              <w:bottom w:val="dotted" w:sz="4" w:space="0" w:color="000000"/>
              <w:right w:val="single" w:sz="8" w:space="0" w:color="000000"/>
              <w:insideH w:val="dotted" w:sz="4" w:space="0" w:color="000000"/>
              <w:insideV w:val="single" w:sz="8" w:space="0" w:color="000000"/>
            </w:tcBorders>
            <w:shd w:fill="auto" w:val="clear"/>
            <w:tcMar>
              <w:left w:w="65" w:type="dxa"/>
            </w:tcMar>
            <w:vAlign w:val="bottom"/>
          </w:tcPr>
          <w:p>
            <w:pPr>
              <w:pStyle w:val="Normal"/>
              <w:spacing w:lineRule="auto" w:line="240" w:before="0" w:after="0"/>
              <w:jc w:val="center"/>
              <w:rPr/>
            </w:pPr>
            <w:r>
              <w:rPr>
                <w:i w:val="false"/>
                <w:iCs w:val="false"/>
                <w:color w:val="000000"/>
                <w:sz w:val="18"/>
                <w:szCs w:val="18"/>
              </w:rPr>
              <w:t>67.91 %</w:t>
            </w:r>
          </w:p>
        </w:tc>
      </w:tr>
      <w:tr>
        <w:trPr>
          <w:trHeight w:val="306" w:hRule="atLeast"/>
        </w:trPr>
        <w:tc>
          <w:tcPr>
            <w:tcW w:w="1791" w:type="dxa"/>
            <w:tcBorders>
              <w:left w:val="single" w:sz="8" w:space="0" w:color="000000"/>
              <w:bottom w:val="dotted" w:sz="4" w:space="0" w:color="000000"/>
              <w:insideH w:val="dotted"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2016</w:t>
            </w:r>
          </w:p>
        </w:tc>
        <w:tc>
          <w:tcPr>
            <w:tcW w:w="1367"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265</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7 543 055.81 €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9 326 750,04 €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15 623 167.86 €</w:t>
            </w:r>
          </w:p>
        </w:tc>
        <w:tc>
          <w:tcPr>
            <w:tcW w:w="1249" w:type="dxa"/>
            <w:tcBorders>
              <w:left w:val="single" w:sz="4" w:space="0" w:color="000000"/>
              <w:bottom w:val="dotted" w:sz="4" w:space="0" w:color="000000"/>
              <w:right w:val="single" w:sz="8" w:space="0" w:color="000000"/>
              <w:insideH w:val="dotted" w:sz="4" w:space="0" w:color="000000"/>
              <w:insideV w:val="single" w:sz="8" w:space="0" w:color="000000"/>
            </w:tcBorders>
            <w:shd w:fill="auto" w:val="clear"/>
            <w:tcMar>
              <w:left w:w="65" w:type="dxa"/>
            </w:tcMar>
            <w:vAlign w:val="bottom"/>
          </w:tcPr>
          <w:p>
            <w:pPr>
              <w:pStyle w:val="Normal"/>
              <w:spacing w:lineRule="auto" w:line="240" w:before="0" w:after="0"/>
              <w:jc w:val="center"/>
              <w:rPr/>
            </w:pPr>
            <w:r>
              <w:rPr>
                <w:i w:val="false"/>
                <w:iCs w:val="false"/>
                <w:color w:val="000000"/>
                <w:sz w:val="18"/>
                <w:szCs w:val="18"/>
              </w:rPr>
              <w:t>67.51 %</w:t>
            </w:r>
          </w:p>
        </w:tc>
      </w:tr>
      <w:tr>
        <w:trPr>
          <w:trHeight w:val="306" w:hRule="atLeast"/>
        </w:trPr>
        <w:tc>
          <w:tcPr>
            <w:tcW w:w="1791" w:type="dxa"/>
            <w:tcBorders>
              <w:left w:val="single" w:sz="8" w:space="0" w:color="000000"/>
              <w:bottom w:val="dotted" w:sz="4" w:space="0" w:color="000000"/>
              <w:insideH w:val="dotted"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2017</w:t>
            </w:r>
          </w:p>
        </w:tc>
        <w:tc>
          <w:tcPr>
            <w:tcW w:w="1367"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266</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pPr>
            <w:r>
              <w:rPr>
                <w:i w:val="false"/>
                <w:iCs w:val="false"/>
                <w:sz w:val="18"/>
                <w:szCs w:val="18"/>
              </w:rPr>
              <w:t>7 078 462.40 €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pPr>
            <w:r>
              <w:rPr>
                <w:i w:val="false"/>
                <w:iCs w:val="false"/>
                <w:sz w:val="18"/>
                <w:szCs w:val="18"/>
              </w:rPr>
              <w:t>8 747 709.95 €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pPr>
            <w:r>
              <w:rPr>
                <w:i w:val="false"/>
                <w:iCs w:val="false"/>
                <w:sz w:val="18"/>
                <w:szCs w:val="18"/>
              </w:rPr>
              <w:t>14 683 618.50 €</w:t>
            </w:r>
          </w:p>
        </w:tc>
        <w:tc>
          <w:tcPr>
            <w:tcW w:w="1249" w:type="dxa"/>
            <w:tcBorders>
              <w:left w:val="single" w:sz="4" w:space="0" w:color="000000"/>
              <w:bottom w:val="dotted" w:sz="4" w:space="0" w:color="000000"/>
              <w:right w:val="single" w:sz="8" w:space="0" w:color="000000"/>
              <w:insideH w:val="dotted" w:sz="4" w:space="0" w:color="000000"/>
              <w:insideV w:val="single" w:sz="8" w:space="0" w:color="000000"/>
            </w:tcBorders>
            <w:shd w:fill="auto" w:val="clear"/>
            <w:tcMar>
              <w:left w:w="65" w:type="dxa"/>
            </w:tcMar>
            <w:vAlign w:val="bottom"/>
          </w:tcPr>
          <w:p>
            <w:pPr>
              <w:pStyle w:val="Normal"/>
              <w:spacing w:lineRule="auto" w:line="240" w:before="0" w:after="0"/>
              <w:jc w:val="center"/>
              <w:rPr/>
            </w:pPr>
            <w:r>
              <w:rPr>
                <w:i w:val="false"/>
                <w:iCs w:val="false"/>
                <w:sz w:val="18"/>
                <w:szCs w:val="18"/>
              </w:rPr>
              <w:t>67.86 %</w:t>
            </w:r>
          </w:p>
        </w:tc>
      </w:tr>
      <w:tr>
        <w:trPr>
          <w:trHeight w:val="306" w:hRule="atLeast"/>
        </w:trPr>
        <w:tc>
          <w:tcPr>
            <w:tcW w:w="1791" w:type="dxa"/>
            <w:tcBorders>
              <w:left w:val="single" w:sz="8" w:space="0" w:color="000000"/>
              <w:bottom w:val="dotted" w:sz="4" w:space="0" w:color="000000"/>
              <w:insideH w:val="dotted"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2018</w:t>
            </w:r>
          </w:p>
        </w:tc>
        <w:tc>
          <w:tcPr>
            <w:tcW w:w="1367"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264</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7 340 404.34 €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9 183 294.35 €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15 502 401.24 €</w:t>
            </w:r>
          </w:p>
        </w:tc>
        <w:tc>
          <w:tcPr>
            <w:tcW w:w="1249" w:type="dxa"/>
            <w:tcBorders>
              <w:left w:val="single" w:sz="4" w:space="0" w:color="000000"/>
              <w:bottom w:val="dotted" w:sz="4" w:space="0" w:color="000000"/>
              <w:right w:val="single" w:sz="8" w:space="0" w:color="000000"/>
              <w:insideH w:val="dotted" w:sz="4" w:space="0" w:color="000000"/>
              <w:insideV w:val="single" w:sz="8"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68.80 %</w:t>
            </w:r>
          </w:p>
        </w:tc>
      </w:tr>
      <w:tr>
        <w:trPr>
          <w:trHeight w:val="306" w:hRule="atLeast"/>
        </w:trPr>
        <w:tc>
          <w:tcPr>
            <w:tcW w:w="1791" w:type="dxa"/>
            <w:tcBorders>
              <w:top w:val="dotted" w:sz="4" w:space="0" w:color="000000"/>
              <w:left w:val="single" w:sz="8" w:space="0" w:color="000000"/>
              <w:bottom w:val="single" w:sz="4" w:space="0" w:color="000000"/>
              <w:insideH w:val="single"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2019</w:t>
            </w:r>
          </w:p>
        </w:tc>
        <w:tc>
          <w:tcPr>
            <w:tcW w:w="1367" w:type="dxa"/>
            <w:tcBorders>
              <w:top w:val="dotted"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278</w:t>
            </w:r>
          </w:p>
        </w:tc>
        <w:tc>
          <w:tcPr>
            <w:tcW w:w="1640" w:type="dxa"/>
            <w:tcBorders>
              <w:top w:val="dotted"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7 603 167.77 €</w:t>
            </w:r>
          </w:p>
        </w:tc>
        <w:tc>
          <w:tcPr>
            <w:tcW w:w="1640" w:type="dxa"/>
            <w:tcBorders>
              <w:top w:val="dotted"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9 784 62.03 €</w:t>
            </w:r>
          </w:p>
        </w:tc>
        <w:tc>
          <w:tcPr>
            <w:tcW w:w="1640" w:type="dxa"/>
            <w:tcBorders>
              <w:top w:val="dotted"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16 264 491.96 €</w:t>
            </w:r>
          </w:p>
        </w:tc>
        <w:tc>
          <w:tcPr>
            <w:tcW w:w="1239" w:type="dxa"/>
            <w:tcBorders>
              <w:top w:val="dotted"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66.22 %</w:t>
            </w:r>
          </w:p>
        </w:tc>
      </w:tr>
      <w:tr>
        <w:trPr>
          <w:trHeight w:val="306" w:hRule="atLeast"/>
        </w:trPr>
        <w:tc>
          <w:tcPr>
            <w:tcW w:w="1791" w:type="dxa"/>
            <w:tcBorders>
              <w:top w:val="single" w:sz="4" w:space="0" w:color="000000"/>
              <w:left w:val="single" w:sz="8" w:space="0" w:color="000000"/>
              <w:bottom w:val="single" w:sz="4" w:space="0" w:color="000000"/>
              <w:insideH w:val="single"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w:t>
            </w:r>
            <w:r>
              <w:rPr>
                <w:i w:val="false"/>
                <w:color w:val="000000"/>
                <w:sz w:val="18"/>
                <w:szCs w:val="18"/>
              </w:rPr>
              <w:t>020</w:t>
            </w:r>
          </w:p>
        </w:tc>
        <w:tc>
          <w:tcPr>
            <w:tcW w:w="1367"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w:t>
            </w:r>
            <w:r>
              <w:rPr>
                <w:i w:val="false"/>
                <w:color w:val="000000"/>
                <w:sz w:val="18"/>
                <w:szCs w:val="18"/>
              </w:rPr>
              <w:t>75</w:t>
            </w:r>
          </w:p>
        </w:tc>
        <w:tc>
          <w:tcPr>
            <w:tcW w:w="16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7 756 237.00 €</w:t>
            </w:r>
          </w:p>
        </w:tc>
        <w:tc>
          <w:tcPr>
            <w:tcW w:w="16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rFonts w:eastAsia="Calibri" w:cs="Calibri"/>
                <w:i w:val="false"/>
                <w:iCs w:val="false"/>
                <w:sz w:val="18"/>
                <w:szCs w:val="18"/>
              </w:rPr>
              <w:t xml:space="preserve"> </w:t>
            </w:r>
            <w:r>
              <w:rPr>
                <w:i w:val="false"/>
                <w:iCs w:val="false"/>
                <w:sz w:val="18"/>
                <w:szCs w:val="18"/>
              </w:rPr>
              <w:t>10 167 548.43 €</w:t>
            </w:r>
          </w:p>
        </w:tc>
        <w:tc>
          <w:tcPr>
            <w:tcW w:w="16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16 901 816.01 €</w:t>
            </w:r>
          </w:p>
        </w:tc>
        <w:tc>
          <w:tcPr>
            <w:tcW w:w="1249" w:type="dxa"/>
            <w:tcBorders>
              <w:top w:val="single" w:sz="4" w:space="0" w:color="000000"/>
              <w:left w:val="single" w:sz="4" w:space="0" w:color="000000"/>
              <w:bottom w:val="single" w:sz="4" w:space="0" w:color="000000"/>
              <w:right w:val="single" w:sz="8" w:space="0" w:color="000000"/>
              <w:insideH w:val="single" w:sz="4" w:space="0" w:color="000000"/>
              <w:insideV w:val="single" w:sz="8"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66.23 %</w:t>
            </w:r>
          </w:p>
        </w:tc>
      </w:tr>
      <w:tr>
        <w:trPr>
          <w:trHeight w:val="306" w:hRule="atLeast"/>
        </w:trPr>
        <w:tc>
          <w:tcPr>
            <w:tcW w:w="1791" w:type="dxa"/>
            <w:tcBorders>
              <w:top w:val="single" w:sz="4" w:space="0" w:color="000000"/>
              <w:left w:val="single" w:sz="8" w:space="0" w:color="000000"/>
              <w:bottom w:val="single" w:sz="4" w:space="0" w:color="000000"/>
              <w:insideH w:val="single"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w:t>
            </w:r>
            <w:r>
              <w:rPr>
                <w:i w:val="false"/>
                <w:color w:val="000000"/>
                <w:sz w:val="18"/>
                <w:szCs w:val="18"/>
              </w:rPr>
              <w:t>021</w:t>
            </w:r>
          </w:p>
        </w:tc>
        <w:tc>
          <w:tcPr>
            <w:tcW w:w="1367"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270</w:t>
            </w:r>
          </w:p>
        </w:tc>
        <w:tc>
          <w:tcPr>
            <w:tcW w:w="16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7 793 386.50 €</w:t>
            </w:r>
          </w:p>
        </w:tc>
        <w:tc>
          <w:tcPr>
            <w:tcW w:w="16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1</w:t>
            </w:r>
            <w:r>
              <w:rPr>
                <w:i w:val="false"/>
                <w:sz w:val="18"/>
                <w:szCs w:val="18"/>
              </w:rPr>
              <w:t>0 344 502.38 €</w:t>
            </w:r>
          </w:p>
        </w:tc>
        <w:tc>
          <w:tcPr>
            <w:tcW w:w="16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17 130 469.31 €</w:t>
            </w:r>
          </w:p>
        </w:tc>
        <w:tc>
          <w:tcPr>
            <w:tcW w:w="1249" w:type="dxa"/>
            <w:tcBorders>
              <w:top w:val="single" w:sz="4" w:space="0" w:color="000000"/>
              <w:left w:val="single" w:sz="4" w:space="0" w:color="000000"/>
              <w:bottom w:val="single" w:sz="4" w:space="0" w:color="000000"/>
              <w:right w:val="single" w:sz="8" w:space="0" w:color="000000"/>
              <w:insideH w:val="single" w:sz="4" w:space="0" w:color="000000"/>
              <w:insideV w:val="single" w:sz="8"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65.60 %</w:t>
            </w:r>
          </w:p>
        </w:tc>
      </w:tr>
      <w:tr>
        <w:trPr>
          <w:trHeight w:val="306" w:hRule="atLeast"/>
        </w:trPr>
        <w:tc>
          <w:tcPr>
            <w:tcW w:w="1791" w:type="dxa"/>
            <w:tcBorders>
              <w:top w:val="single" w:sz="4" w:space="0" w:color="000000"/>
              <w:left w:val="single" w:sz="8" w:space="0" w:color="000000"/>
              <w:bottom w:val="single" w:sz="4" w:space="0" w:color="000000"/>
              <w:insideH w:val="single"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w:t>
            </w:r>
            <w:r>
              <w:rPr>
                <w:i w:val="false"/>
                <w:color w:val="000000"/>
                <w:sz w:val="18"/>
                <w:szCs w:val="18"/>
              </w:rPr>
              <w:t>022</w:t>
            </w:r>
          </w:p>
        </w:tc>
        <w:tc>
          <w:tcPr>
            <w:tcW w:w="1367"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w:t>
            </w:r>
            <w:r>
              <w:rPr>
                <w:i w:val="false"/>
                <w:color w:val="000000"/>
                <w:sz w:val="18"/>
                <w:szCs w:val="18"/>
              </w:rPr>
              <w:t>83</w:t>
            </w:r>
          </w:p>
        </w:tc>
        <w:tc>
          <w:tcPr>
            <w:tcW w:w="16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8 300 821 42 €</w:t>
            </w:r>
          </w:p>
        </w:tc>
        <w:tc>
          <w:tcPr>
            <w:tcW w:w="16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1</w:t>
            </w:r>
            <w:r>
              <w:rPr>
                <w:i w:val="false"/>
                <w:sz w:val="18"/>
                <w:szCs w:val="18"/>
              </w:rPr>
              <w:t>0 580 456.61 €</w:t>
            </w:r>
          </w:p>
        </w:tc>
        <w:tc>
          <w:tcPr>
            <w:tcW w:w="16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17 277 081.20 €</w:t>
            </w:r>
          </w:p>
        </w:tc>
        <w:tc>
          <w:tcPr>
            <w:tcW w:w="1249" w:type="dxa"/>
            <w:tcBorders>
              <w:top w:val="single" w:sz="4" w:space="0" w:color="000000"/>
              <w:left w:val="single" w:sz="4" w:space="0" w:color="000000"/>
              <w:bottom w:val="single" w:sz="4" w:space="0" w:color="000000"/>
              <w:right w:val="single" w:sz="8" w:space="0" w:color="000000"/>
              <w:insideH w:val="single" w:sz="4" w:space="0" w:color="000000"/>
              <w:insideV w:val="single" w:sz="8"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63.60 %</w:t>
            </w:r>
          </w:p>
        </w:tc>
      </w:tr>
    </w:tbl>
    <w:p>
      <w:pPr>
        <w:pStyle w:val="Normal"/>
        <w:spacing w:lineRule="auto" w:line="240" w:before="0" w:after="0"/>
        <w:jc w:val="both"/>
        <w:rPr>
          <w:rFonts w:cs="Arial"/>
          <w:i w:val="false"/>
          <w:i w:val="false"/>
          <w:szCs w:val="18"/>
        </w:rPr>
      </w:pPr>
      <w:r>
        <w:rPr>
          <w:rFonts w:cs="Arial"/>
          <w:i w:val="false"/>
          <w:szCs w:val="18"/>
        </w:rPr>
      </w:r>
    </w:p>
    <w:p>
      <w:pPr>
        <w:pStyle w:val="Normal"/>
        <w:spacing w:lineRule="auto" w:line="240" w:before="0" w:after="0"/>
        <w:jc w:val="both"/>
        <w:rPr>
          <w:rFonts w:cs="Arial"/>
          <w:i w:val="false"/>
          <w:i w:val="false"/>
          <w:szCs w:val="18"/>
        </w:rPr>
      </w:pPr>
      <w:r>
        <w:rPr>
          <w:rFonts w:cs="Arial"/>
          <w:i w:val="false"/>
          <w:szCs w:val="18"/>
        </w:rPr>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 xml:space="preserve">D – Embauches / intérim. </w:t>
      </w:r>
    </w:p>
    <w:p>
      <w:pPr>
        <w:pStyle w:val="Normal"/>
        <w:spacing w:before="0" w:after="0"/>
        <w:jc w:val="both"/>
        <w:rPr>
          <w:rFonts w:cs="Arial"/>
          <w:i w:val="false"/>
          <w:i w:val="false"/>
          <w:szCs w:val="18"/>
        </w:rPr>
      </w:pPr>
      <w:r>
        <w:rPr>
          <w:rFonts w:cs="Arial"/>
          <w:i w:val="false"/>
          <w:szCs w:val="18"/>
        </w:rPr>
        <w:t>Au cours de l’exercice écoulé (01/10/21 au 30/09/22) notre effectif moyen mensuel d’intérimaire en ETP a augmenté par rapport à l’année précédente, il est passé de 74 à 77 salariés.</w:t>
      </w:r>
    </w:p>
    <w:p>
      <w:pPr>
        <w:pStyle w:val="Normal"/>
        <w:spacing w:before="0" w:after="0"/>
        <w:jc w:val="both"/>
        <w:rPr>
          <w:rFonts w:cs="Arial"/>
          <w:i w:val="false"/>
          <w:i w:val="false"/>
          <w:szCs w:val="18"/>
        </w:rPr>
      </w:pPr>
      <w:r>
        <w:rPr>
          <w:rFonts w:cs="Arial"/>
          <w:i w:val="false"/>
          <w:szCs w:val="18"/>
        </w:rPr>
      </w:r>
    </w:p>
    <w:p>
      <w:pPr>
        <w:pStyle w:val="Normal"/>
        <w:spacing w:before="0" w:after="0"/>
        <w:jc w:val="both"/>
        <w:rPr>
          <w:rFonts w:cs="Arial"/>
          <w:i w:val="false"/>
          <w:i w:val="false"/>
          <w:szCs w:val="18"/>
        </w:rPr>
      </w:pPr>
      <w:r>
        <w:rPr>
          <w:rFonts w:cs="Arial"/>
          <w:i w:val="false"/>
          <w:szCs w:val="18"/>
        </w:rPr>
        <w:t>Nous avons embauché 55 collaborateurs sur l’exercice, répartis ainsi :</w:t>
      </w:r>
    </w:p>
    <w:p>
      <w:pPr>
        <w:pStyle w:val="Normal"/>
        <w:numPr>
          <w:ilvl w:val="0"/>
          <w:numId w:val="5"/>
        </w:numPr>
        <w:spacing w:before="0" w:after="0"/>
        <w:jc w:val="both"/>
        <w:rPr/>
      </w:pPr>
      <w:r>
        <w:rPr>
          <w:rFonts w:cs="Arial"/>
          <w:i w:val="false"/>
          <w:szCs w:val="18"/>
        </w:rPr>
        <w:t>12 CDD dont 10 alternants.</w:t>
      </w:r>
    </w:p>
    <w:p>
      <w:pPr>
        <w:pStyle w:val="Normal"/>
        <w:numPr>
          <w:ilvl w:val="0"/>
          <w:numId w:val="5"/>
        </w:numPr>
        <w:spacing w:before="0" w:after="0"/>
        <w:jc w:val="both"/>
        <w:rPr/>
      </w:pPr>
      <w:r>
        <w:rPr>
          <w:rFonts w:cs="Arial"/>
          <w:i w:val="false"/>
          <w:szCs w:val="18"/>
        </w:rPr>
        <w:t>43 CDI dont 17 salariés aux travaux, 9 salariés au BE et 6 à l’atelier.</w:t>
      </w:r>
    </w:p>
    <w:p>
      <w:pPr>
        <w:pStyle w:val="Normal"/>
        <w:spacing w:before="0" w:after="0"/>
        <w:jc w:val="both"/>
        <w:rPr>
          <w:rFonts w:cs="Arial"/>
          <w:i w:val="false"/>
          <w:i w:val="false"/>
          <w:szCs w:val="18"/>
        </w:rPr>
      </w:pPr>
      <w:r>
        <w:rPr>
          <w:rFonts w:cs="Arial"/>
          <w:i w:val="false"/>
          <w:szCs w:val="18"/>
        </w:rPr>
        <w:t>Nous avons embauché 47 collaborateurs sur l’exercice, répartis ainsi :</w:t>
      </w:r>
    </w:p>
    <w:p>
      <w:pPr>
        <w:pStyle w:val="Normal"/>
        <w:numPr>
          <w:ilvl w:val="0"/>
          <w:numId w:val="5"/>
        </w:numPr>
        <w:spacing w:before="0" w:after="0"/>
        <w:jc w:val="both"/>
        <w:rPr>
          <w:rFonts w:cs="Arial"/>
          <w:i w:val="false"/>
          <w:i w:val="false"/>
          <w:szCs w:val="18"/>
        </w:rPr>
      </w:pPr>
      <w:r>
        <w:rPr>
          <w:rFonts w:cs="Arial"/>
          <w:i w:val="false"/>
          <w:szCs w:val="18"/>
        </w:rPr>
        <w:t>10 CDD dont 3 salariés embauchés en CDI. Parmi ces 3 embauches il y a 2 alternants.</w:t>
      </w:r>
    </w:p>
    <w:p>
      <w:pPr>
        <w:pStyle w:val="Normal"/>
        <w:numPr>
          <w:ilvl w:val="0"/>
          <w:numId w:val="5"/>
        </w:numPr>
        <w:spacing w:before="0" w:after="0"/>
        <w:jc w:val="both"/>
        <w:rPr/>
      </w:pPr>
      <w:r>
        <w:rPr>
          <w:rFonts w:cs="Arial"/>
          <w:i w:val="false"/>
          <w:szCs w:val="18"/>
        </w:rPr>
        <w:t>37 CDI dont 12 salariés partis à la retraite.</w:t>
      </w:r>
    </w:p>
    <w:p>
      <w:pPr>
        <w:pStyle w:val="Normal"/>
        <w:spacing w:before="0" w:after="0"/>
        <w:jc w:val="both"/>
        <w:rPr>
          <w:rFonts w:cs="Arial"/>
          <w:i w:val="false"/>
          <w:i w:val="false"/>
          <w:szCs w:val="18"/>
        </w:rPr>
      </w:pPr>
      <w:r>
        <w:rPr>
          <w:rFonts w:cs="Arial"/>
          <w:i w:val="false"/>
          <w:szCs w:val="18"/>
        </w:rPr>
      </w:r>
    </w:p>
    <w:p>
      <w:pPr>
        <w:pStyle w:val="Normal"/>
        <w:spacing w:before="0" w:after="0"/>
        <w:jc w:val="both"/>
        <w:rPr>
          <w:rFonts w:cs="Arial"/>
          <w:i w:val="false"/>
          <w:i w:val="false"/>
          <w:szCs w:val="18"/>
        </w:rPr>
      </w:pPr>
      <w:r>
        <w:rPr>
          <w:rFonts w:cs="Arial"/>
          <w:i w:val="false"/>
          <w:szCs w:val="18"/>
        </w:rPr>
        <w:t>Nous avons à ce jour 17 alternants, soit 21% de plus que l’année dernière. Notre objectif est de maintenir voire d’augmenter l’effectif des alternants pour l’année prochaine et ce, dans tous les domaines d’activité.</w:t>
      </w:r>
    </w:p>
    <w:p>
      <w:pPr>
        <w:pStyle w:val="Normal"/>
        <w:spacing w:before="0" w:after="0"/>
        <w:jc w:val="both"/>
        <w:rPr>
          <w:rFonts w:cs="Arial"/>
          <w:i w:val="false"/>
          <w:i w:val="false"/>
          <w:szCs w:val="18"/>
        </w:rPr>
      </w:pPr>
      <w:r>
        <w:rPr>
          <w:rFonts w:cs="Arial"/>
          <w:i w:val="false"/>
          <w:szCs w:val="18"/>
        </w:rPr>
        <w:t>Nous avons également titularisé des salariés intérimaires.</w:t>
      </w:r>
    </w:p>
    <w:p>
      <w:pPr>
        <w:pStyle w:val="Normal"/>
        <w:spacing w:lineRule="auto" w:line="240" w:before="0" w:after="0"/>
        <w:jc w:val="both"/>
        <w:rPr>
          <w:rFonts w:cs="Arial"/>
          <w:i w:val="false"/>
          <w:i w:val="false"/>
          <w:szCs w:val="18"/>
        </w:rPr>
      </w:pPr>
      <w:r>
        <w:rPr>
          <w:rFonts w:cs="Arial"/>
          <w:i w:val="false"/>
          <w:szCs w:val="18"/>
        </w:rPr>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 xml:space="preserve">E – Indemnisation des déplacements. </w:t>
      </w:r>
    </w:p>
    <w:p>
      <w:pPr>
        <w:pStyle w:val="Sansinterligne"/>
        <w:rPr/>
      </w:pPr>
      <w:r>
        <w:rPr>
          <w:i w:val="false"/>
        </w:rPr>
        <w:t>Rappel de l’accord sur l’indemnisation des déplacements du service « montage » conclu le 30 juillet 2013 pour les salariés affectés à l’activité montage (monteur, bardeur, couvreur, chef d’équipe, chef de chantier).</w:t>
      </w:r>
    </w:p>
    <w:p>
      <w:pPr>
        <w:pStyle w:val="Sansinterligne"/>
        <w:rPr>
          <w:i w:val="false"/>
          <w:i w:val="false"/>
        </w:rPr>
      </w:pPr>
      <w:r>
        <w:rPr>
          <w:i w:val="false"/>
        </w:rPr>
      </w:r>
    </w:p>
    <w:p>
      <w:pPr>
        <w:pStyle w:val="Sansinterligne"/>
        <w:numPr>
          <w:ilvl w:val="0"/>
          <w:numId w:val="2"/>
        </w:numPr>
        <w:rPr>
          <w:i w:val="false"/>
          <w:i w:val="false"/>
        </w:rPr>
      </w:pPr>
      <w:r>
        <w:rPr>
          <w:i w:val="false"/>
        </w:rPr>
        <w:t xml:space="preserve">Indemnisation des </w:t>
      </w:r>
      <w:r>
        <w:rPr>
          <w:i w:val="false"/>
          <w:u w:val="single"/>
        </w:rPr>
        <w:t>petits déplacements</w:t>
      </w:r>
      <w:r>
        <w:rPr>
          <w:i w:val="false"/>
        </w:rPr>
        <w:t xml:space="preserve"> (distance aller-retour inférieure à 200km) versé sur le bulletin de salaire du mois concerné, conformément à la grille ci-dessous, ainsi qu’une indemnité forfaitaire de repas de </w:t>
      </w:r>
      <w:r>
        <w:rPr>
          <w:b/>
          <w:i w:val="false"/>
        </w:rPr>
        <w:t>10,50 € (paniers repas).</w:t>
      </w:r>
    </w:p>
    <w:p>
      <w:pPr>
        <w:pStyle w:val="Sansinterligne"/>
        <w:ind w:left="720" w:hanging="0"/>
        <w:rPr>
          <w:i w:val="false"/>
          <w:i w:val="false"/>
        </w:rPr>
      </w:pPr>
      <w:r>
        <w:rPr>
          <w:i w:val="false"/>
        </w:rPr>
      </w:r>
    </w:p>
    <w:p>
      <w:pPr>
        <w:pStyle w:val="Sansinterligne"/>
        <w:ind w:left="720" w:hanging="0"/>
        <w:rPr/>
      </w:pPr>
      <w:r>
        <w:rPr>
          <w:i w:val="false"/>
        </w:rPr>
        <w:t>Calcul de la distance selon formule ci-dessous (référence Michelin) ;</w:t>
      </w:r>
    </w:p>
    <w:p>
      <w:pPr>
        <w:pStyle w:val="Sansinterligne"/>
        <w:ind w:left="720" w:hanging="0"/>
        <w:rPr/>
      </w:pPr>
      <w:r>
        <w:rPr>
          <w:i w:val="false"/>
        </w:rPr>
        <w:t>Distance = établissement du lieu de rattachement du salarié au lieu de chantier. Trajet le plus court selon Michelin</w:t>
      </w:r>
    </w:p>
    <w:p>
      <w:pPr>
        <w:pStyle w:val="Sansinterligne"/>
        <w:ind w:left="720" w:hanging="0"/>
        <w:rPr>
          <w:i w:val="false"/>
          <w:i w:val="false"/>
        </w:rPr>
      </w:pPr>
      <w:r>
        <w:rPr>
          <w:i w:val="false"/>
        </w:rPr>
      </w:r>
    </w:p>
    <w:tbl>
      <w:tblPr>
        <w:tblW w:w="4679" w:type="dxa"/>
        <w:jc w:val="left"/>
        <w:tblInd w:w="1409"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3002"/>
        <w:gridCol w:w="1677"/>
      </w:tblGrid>
      <w:tr>
        <w:trPr>
          <w:trHeight w:val="233" w:hRule="atLeast"/>
        </w:trPr>
        <w:tc>
          <w:tcPr>
            <w:tcW w:w="3002"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petit déplacement Trajet A/ R</w:t>
            </w:r>
          </w:p>
        </w:tc>
        <w:tc>
          <w:tcPr>
            <w:tcW w:w="167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Montant</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5 à 10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2.25 €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10 à 20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4.59 €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20 à 30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6.84 €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30 à 40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9.08 €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40 à 50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11.42 €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50 à 60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13.67 €</w:t>
            </w:r>
          </w:p>
        </w:tc>
      </w:tr>
      <w:tr>
        <w:trPr>
          <w:trHeight w:val="245"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60 à 70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15.90 €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70 à 80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18.24 €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80 à 90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18.45 €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 xml:space="preserve">90 à 100 km </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19.46 €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100 à 110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20.49 €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110  à 120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21.51 €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120 à 130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22.53 €</w:t>
            </w:r>
          </w:p>
        </w:tc>
      </w:tr>
      <w:tr>
        <w:trPr>
          <w:trHeight w:val="245"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130 à 140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23.54 €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140 à 150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24.57 €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150 à 160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27.62 €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160 à 170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28.63 €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170 à 180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29.66 €</w:t>
            </w:r>
          </w:p>
        </w:tc>
      </w:tr>
      <w:tr>
        <w:trPr>
          <w:trHeight w:val="244"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180 à 190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30.67 €</w:t>
            </w:r>
          </w:p>
        </w:tc>
      </w:tr>
      <w:tr>
        <w:trPr>
          <w:trHeight w:val="245" w:hRule="atLeast"/>
        </w:trPr>
        <w:tc>
          <w:tcPr>
            <w:tcW w:w="300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640"/>
              <w:rPr>
                <w:rFonts w:cs="Calibri"/>
                <w:i w:val="false"/>
                <w:i w:val="false"/>
                <w:iCs w:val="false"/>
                <w:color w:val="000000"/>
                <w:sz w:val="16"/>
                <w:szCs w:val="16"/>
              </w:rPr>
            </w:pPr>
            <w:r>
              <w:rPr>
                <w:rFonts w:cs="Calibri"/>
                <w:i w:val="false"/>
                <w:iCs w:val="false"/>
                <w:color w:val="000000"/>
                <w:sz w:val="16"/>
                <w:szCs w:val="16"/>
              </w:rPr>
              <w:t>190 à 200 km</w:t>
            </w:r>
          </w:p>
        </w:tc>
        <w:tc>
          <w:tcPr>
            <w:tcW w:w="1677" w:type="dxa"/>
            <w:tcBorders>
              <w:left w:val="single" w:sz="4" w:space="0" w:color="000000"/>
              <w:bottom w:val="single" w:sz="4" w:space="0" w:color="000000"/>
              <w:right w:val="single" w:sz="4" w:space="0" w:color="000000"/>
              <w:insideH w:val="single" w:sz="4" w:space="0" w:color="000000"/>
              <w:insideV w:val="single" w:sz="4" w:space="0" w:color="000000"/>
            </w:tcBorders>
            <w:shd w:fill="D8E4BC" w:val="clear"/>
            <w:tcMar>
              <w:left w:w="65" w:type="dxa"/>
            </w:tcMar>
            <w:vAlign w:val="bottom"/>
          </w:tcPr>
          <w:p>
            <w:pPr>
              <w:pStyle w:val="Normal"/>
              <w:spacing w:lineRule="auto" w:line="240" w:before="0" w:after="0"/>
              <w:jc w:val="center"/>
              <w:rPr>
                <w:rFonts w:cs="Calibri"/>
                <w:i w:val="false"/>
                <w:i w:val="false"/>
                <w:iCs w:val="false"/>
                <w:color w:val="000000"/>
                <w:sz w:val="16"/>
                <w:szCs w:val="16"/>
              </w:rPr>
            </w:pPr>
            <w:r>
              <w:rPr>
                <w:rFonts w:cs="Calibri"/>
                <w:i w:val="false"/>
                <w:iCs w:val="false"/>
                <w:color w:val="000000"/>
                <w:sz w:val="16"/>
                <w:szCs w:val="16"/>
              </w:rPr>
              <w:t>31.70 €</w:t>
            </w:r>
          </w:p>
        </w:tc>
      </w:tr>
    </w:tbl>
    <w:p>
      <w:pPr>
        <w:pStyle w:val="Sansinterligne"/>
        <w:ind w:left="720" w:hanging="0"/>
        <w:rPr>
          <w:i w:val="false"/>
          <w:i w:val="false"/>
          <w:sz w:val="16"/>
          <w:szCs w:val="16"/>
        </w:rPr>
      </w:pPr>
      <w:r>
        <w:rPr>
          <w:i w:val="false"/>
          <w:sz w:val="16"/>
          <w:szCs w:val="16"/>
        </w:rPr>
      </w:r>
    </w:p>
    <w:p>
      <w:pPr>
        <w:pStyle w:val="Sansinterligne"/>
        <w:ind w:left="720" w:hanging="0"/>
        <w:rPr>
          <w:i w:val="false"/>
          <w:i w:val="false"/>
          <w:sz w:val="16"/>
          <w:szCs w:val="16"/>
        </w:rPr>
      </w:pPr>
      <w:r>
        <w:rPr>
          <w:i w:val="false"/>
          <w:sz w:val="16"/>
          <w:szCs w:val="16"/>
        </w:rPr>
      </w:r>
    </w:p>
    <w:p>
      <w:pPr>
        <w:pStyle w:val="Sansinterligne"/>
        <w:numPr>
          <w:ilvl w:val="0"/>
          <w:numId w:val="2"/>
        </w:numPr>
        <w:jc w:val="both"/>
        <w:rPr/>
      </w:pPr>
      <w:bookmarkStart w:id="0" w:name="_Hlk24298320"/>
      <w:r>
        <w:rPr>
          <w:i w:val="false"/>
        </w:rPr>
        <w:t xml:space="preserve">Indemnisation des </w:t>
      </w:r>
      <w:r>
        <w:rPr>
          <w:i w:val="false"/>
          <w:u w:val="single"/>
        </w:rPr>
        <w:t>grands déplacements</w:t>
      </w:r>
      <w:r>
        <w:rPr>
          <w:i w:val="false"/>
        </w:rPr>
        <w:t xml:space="preserve"> </w:t>
      </w:r>
      <w:bookmarkEnd w:id="0"/>
      <w:r>
        <w:rPr>
          <w:i w:val="false"/>
        </w:rPr>
        <w:t>(distance aller-retour supérieure à 200km ou plus de 2.5hr). Ce déplacement implique le logement sur place.</w:t>
      </w:r>
    </w:p>
    <w:p>
      <w:pPr>
        <w:pStyle w:val="Sansinterligne"/>
        <w:ind w:left="720" w:hanging="0"/>
        <w:jc w:val="both"/>
        <w:rPr/>
      </w:pPr>
      <w:r>
        <w:rPr>
          <w:i w:val="false"/>
        </w:rPr>
        <w:t>La contre - partie financière donne lieu au paiement :</w:t>
      </w:r>
    </w:p>
    <w:p>
      <w:pPr>
        <w:pStyle w:val="Sansinterligne"/>
        <w:numPr>
          <w:ilvl w:val="0"/>
          <w:numId w:val="3"/>
        </w:numPr>
        <w:jc w:val="both"/>
        <w:rPr/>
      </w:pPr>
      <w:r>
        <w:rPr>
          <w:i w:val="false"/>
        </w:rPr>
        <w:t xml:space="preserve">Une indemnité forfaitaire de grand déplacement de </w:t>
      </w:r>
      <w:r>
        <w:rPr>
          <w:b/>
          <w:i w:val="false"/>
        </w:rPr>
        <w:t>92 € net</w:t>
      </w:r>
      <w:r>
        <w:rPr>
          <w:i w:val="false"/>
        </w:rPr>
        <w:t xml:space="preserve"> par jour entier de déplacement incluant une nuit et 2 repas (logiciel Notilus)</w:t>
      </w:r>
    </w:p>
    <w:p>
      <w:pPr>
        <w:pStyle w:val="Sansinterligne"/>
        <w:numPr>
          <w:ilvl w:val="0"/>
          <w:numId w:val="3"/>
        </w:numPr>
        <w:jc w:val="both"/>
        <w:rPr/>
      </w:pPr>
      <w:r>
        <w:rPr>
          <w:i w:val="false"/>
        </w:rPr>
        <w:t xml:space="preserve">Une indemnité forfaitaire nette de repas de </w:t>
      </w:r>
      <w:r>
        <w:rPr>
          <w:b/>
          <w:i w:val="false"/>
        </w:rPr>
        <w:t>20.20 €</w:t>
      </w:r>
      <w:r>
        <w:rPr>
          <w:i w:val="false"/>
        </w:rPr>
        <w:t xml:space="preserve"> le jour du retour (logiciel Notilus)</w:t>
      </w:r>
    </w:p>
    <w:p>
      <w:pPr>
        <w:pStyle w:val="Sansinterligne"/>
        <w:numPr>
          <w:ilvl w:val="0"/>
          <w:numId w:val="3"/>
        </w:numPr>
        <w:jc w:val="both"/>
        <w:rPr>
          <w:i w:val="false"/>
          <w:i w:val="false"/>
        </w:rPr>
      </w:pPr>
      <w:r>
        <w:rPr>
          <w:i w:val="false"/>
        </w:rPr>
        <w:t xml:space="preserve">Une indemnité forfaitaire de trajet/temps de voyage brute (soumis à cotisations) par aller/retour chantier / lieu de rattachement versé sur la paie du mois en cours de </w:t>
      </w:r>
      <w:r>
        <w:rPr>
          <w:b/>
          <w:bCs/>
          <w:i w:val="false"/>
        </w:rPr>
        <w:t>56€.</w:t>
      </w:r>
      <w:r>
        <w:rPr>
          <w:i w:val="false"/>
        </w:rPr>
        <w:t xml:space="preserve">  </w:t>
      </w:r>
    </w:p>
    <w:p>
      <w:pPr>
        <w:pStyle w:val="Sansinterligne"/>
        <w:ind w:left="1800" w:hanging="0"/>
        <w:jc w:val="both"/>
        <w:rPr>
          <w:i w:val="false"/>
          <w:i w:val="false"/>
        </w:rPr>
      </w:pPr>
      <w:r>
        <w:rPr>
          <w:i w:val="false"/>
        </w:rPr>
      </w:r>
    </w:p>
    <w:p>
      <w:pPr>
        <w:pStyle w:val="Sansinterligne"/>
        <w:numPr>
          <w:ilvl w:val="0"/>
          <w:numId w:val="2"/>
        </w:numPr>
        <w:jc w:val="both"/>
        <w:rPr>
          <w:i w:val="false"/>
          <w:i w:val="false"/>
        </w:rPr>
      </w:pPr>
      <w:r>
        <w:rPr>
          <w:i w:val="false"/>
        </w:rPr>
        <w:t>Les conducteurs de travaux quant à eux, sont remboursés aux frais réels dans la limite de 21€.</w:t>
      </w:r>
    </w:p>
    <w:p>
      <w:pPr>
        <w:pStyle w:val="Sansinterligne"/>
        <w:ind w:left="720" w:hanging="0"/>
        <w:jc w:val="both"/>
        <w:rPr>
          <w:i w:val="false"/>
          <w:i w:val="false"/>
        </w:rPr>
      </w:pPr>
      <w:r>
        <w:rPr>
          <w:i w:val="false"/>
        </w:rPr>
      </w:r>
    </w:p>
    <w:p>
      <w:pPr>
        <w:pStyle w:val="Sansinterligne"/>
        <w:jc w:val="both"/>
        <w:rPr>
          <w:i w:val="false"/>
          <w:i w:val="false"/>
        </w:rPr>
      </w:pPr>
      <w:r>
        <w:rPr>
          <w:i w:val="false"/>
        </w:rPr>
      </w:r>
    </w:p>
    <w:p>
      <w:pPr>
        <w:pStyle w:val="Normal"/>
        <w:pBdr>
          <w:top w:val="single" w:sz="4" w:space="1" w:color="000000"/>
          <w:left w:val="single" w:sz="4" w:space="4" w:color="000000"/>
          <w:bottom w:val="single" w:sz="4" w:space="1" w:color="000000"/>
          <w:right w:val="single" w:sz="4" w:space="4" w:color="000000"/>
        </w:pBdr>
        <w:jc w:val="both"/>
        <w:rPr/>
      </w:pPr>
      <w:r>
        <w:rPr>
          <w:rFonts w:cs="Arial"/>
          <w:b/>
          <w:bCs/>
          <w:i w:val="false"/>
          <w:smallCaps/>
          <w:sz w:val="28"/>
          <w:szCs w:val="28"/>
        </w:rPr>
        <w:t xml:space="preserve">3 – Durée du travail et organisation : </w:t>
      </w:r>
    </w:p>
    <w:p>
      <w:pPr>
        <w:pStyle w:val="Normal"/>
        <w:numPr>
          <w:ilvl w:val="0"/>
          <w:numId w:val="4"/>
        </w:numPr>
        <w:spacing w:lineRule="auto" w:line="276" w:before="200" w:after="200"/>
        <w:ind w:left="720" w:hanging="360"/>
        <w:rPr>
          <w:i w:val="false"/>
          <w:i w:val="false"/>
          <w:iCs w:val="false"/>
          <w:sz w:val="24"/>
          <w:szCs w:val="24"/>
          <w:u w:val="single"/>
        </w:rPr>
      </w:pPr>
      <w:r>
        <w:rPr>
          <w:i w:val="false"/>
          <w:iCs w:val="false"/>
          <w:sz w:val="24"/>
          <w:szCs w:val="24"/>
          <w:u w:val="single"/>
        </w:rPr>
        <w:t>Rappel de l’accord sur le temps de travail conclu le 13 juin 2013</w:t>
      </w:r>
    </w:p>
    <w:p>
      <w:pPr>
        <w:pStyle w:val="Normal"/>
        <w:spacing w:lineRule="auto" w:line="276" w:before="200" w:after="200"/>
        <w:ind w:left="360" w:hanging="0"/>
        <w:rPr>
          <w:i w:val="false"/>
          <w:i w:val="false"/>
          <w:iCs w:val="false"/>
          <w:sz w:val="24"/>
          <w:szCs w:val="24"/>
          <w:u w:val="single"/>
        </w:rPr>
      </w:pPr>
      <w:r>
        <w:rPr>
          <w:sz w:val="18"/>
          <w:szCs w:val="18"/>
          <w:lang w:val="en-GB" w:eastAsia="en-GB"/>
        </w:rPr>
        <w:drawing>
          <wp:inline distT="0" distB="0" distL="0" distR="0">
            <wp:extent cx="5726430" cy="802005"/>
            <wp:effectExtent l="0" t="0" r="0" b="0"/>
            <wp:docPr id="4"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descr=""/>
                    <pic:cNvPicPr>
                      <a:picLocks noChangeAspect="1" noChangeArrowheads="1"/>
                    </pic:cNvPicPr>
                  </pic:nvPicPr>
                  <pic:blipFill>
                    <a:blip r:embed="rId3"/>
                    <a:srcRect l="-3" t="-18" r="-3" b="-18"/>
                    <a:stretch>
                      <a:fillRect/>
                    </a:stretch>
                  </pic:blipFill>
                  <pic:spPr bwMode="auto">
                    <a:xfrm>
                      <a:off x="0" y="0"/>
                      <a:ext cx="5726430" cy="802005"/>
                    </a:xfrm>
                    <a:prstGeom prst="rect">
                      <a:avLst/>
                    </a:prstGeom>
                  </pic:spPr>
                </pic:pic>
              </a:graphicData>
            </a:graphic>
          </wp:inline>
        </w:drawing>
      </w:r>
    </w:p>
    <w:p>
      <w:pPr>
        <w:pStyle w:val="Normal"/>
        <w:numPr>
          <w:ilvl w:val="0"/>
          <w:numId w:val="4"/>
        </w:numPr>
        <w:spacing w:lineRule="auto" w:line="276" w:before="200" w:after="200"/>
        <w:ind w:left="720" w:hanging="360"/>
        <w:rPr>
          <w:i w:val="false"/>
          <w:i w:val="false"/>
          <w:iCs w:val="false"/>
          <w:sz w:val="24"/>
          <w:szCs w:val="24"/>
          <w:u w:val="single"/>
        </w:rPr>
      </w:pPr>
      <w:r>
        <w:rPr>
          <w:i w:val="false"/>
          <w:iCs w:val="false"/>
          <w:sz w:val="24"/>
          <w:szCs w:val="24"/>
          <w:u w:val="single"/>
        </w:rPr>
        <w:t>Ets de Fleurance</w:t>
      </w:r>
    </w:p>
    <w:tbl>
      <w:tblPr>
        <w:tblW w:w="9783"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2054"/>
        <w:gridCol w:w="1565"/>
        <w:gridCol w:w="1828"/>
        <w:gridCol w:w="4336"/>
      </w:tblGrid>
      <w:tr>
        <w:trPr>
          <w:trHeight w:val="425" w:hRule="atLeast"/>
        </w:trPr>
        <w:tc>
          <w:tcPr>
            <w:tcW w:w="2054"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6"/>
                <w:szCs w:val="16"/>
              </w:rPr>
            </w:pPr>
            <w:r>
              <w:rPr>
                <w:b/>
                <w:i w:val="false"/>
                <w:iCs w:val="false"/>
                <w:sz w:val="16"/>
                <w:szCs w:val="16"/>
              </w:rPr>
              <w:t>Catégorie</w:t>
            </w:r>
          </w:p>
        </w:tc>
        <w:tc>
          <w:tcPr>
            <w:tcW w:w="1565"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jc w:val="center"/>
              <w:rPr>
                <w:b/>
                <w:b/>
                <w:i w:val="false"/>
                <w:i w:val="false"/>
                <w:iCs w:val="false"/>
                <w:sz w:val="16"/>
                <w:szCs w:val="16"/>
              </w:rPr>
            </w:pPr>
            <w:r>
              <w:rPr>
                <w:b/>
                <w:i w:val="false"/>
                <w:iCs w:val="false"/>
                <w:sz w:val="16"/>
                <w:szCs w:val="16"/>
              </w:rPr>
              <w:t>Horaire Hebdo</w:t>
            </w:r>
          </w:p>
        </w:tc>
        <w:tc>
          <w:tcPr>
            <w:tcW w:w="1828"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jc w:val="center"/>
              <w:rPr/>
            </w:pPr>
            <w:r>
              <w:rPr>
                <w:b/>
                <w:i w:val="false"/>
                <w:iCs w:val="false"/>
                <w:sz w:val="16"/>
                <w:szCs w:val="16"/>
              </w:rPr>
              <w:t>Horaire annualisé</w:t>
            </w:r>
          </w:p>
        </w:tc>
        <w:tc>
          <w:tcPr>
            <w:tcW w:w="433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8CCE4" w:val="clear"/>
            <w:tcMar>
              <w:left w:w="103" w:type="dxa"/>
            </w:tcMar>
          </w:tcPr>
          <w:p>
            <w:pPr>
              <w:pStyle w:val="Normal"/>
              <w:spacing w:lineRule="auto" w:line="276" w:before="200" w:after="200"/>
              <w:jc w:val="center"/>
              <w:rPr/>
            </w:pPr>
            <w:r>
              <w:rPr>
                <w:b/>
                <w:i w:val="false"/>
                <w:iCs w:val="false"/>
                <w:sz w:val="16"/>
                <w:szCs w:val="16"/>
              </w:rPr>
              <w:t>Observations</w:t>
            </w:r>
          </w:p>
        </w:tc>
      </w:tr>
      <w:tr>
        <w:trPr>
          <w:trHeight w:val="435" w:hRule="atLeast"/>
        </w:trPr>
        <w:tc>
          <w:tcPr>
            <w:tcW w:w="2054"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pPr>
            <w:r>
              <w:rPr>
                <w:b/>
                <w:i w:val="false"/>
                <w:iCs w:val="false"/>
                <w:sz w:val="16"/>
                <w:szCs w:val="16"/>
              </w:rPr>
              <w:t>OUVRIERS</w:t>
            </w:r>
          </w:p>
        </w:tc>
        <w:tc>
          <w:tcPr>
            <w:tcW w:w="1565"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6"/>
                <w:szCs w:val="16"/>
              </w:rPr>
            </w:pPr>
            <w:r>
              <w:rPr>
                <w:i w:val="false"/>
                <w:iCs w:val="false"/>
                <w:sz w:val="16"/>
                <w:szCs w:val="16"/>
              </w:rPr>
              <w:t>35h50</w:t>
            </w:r>
          </w:p>
        </w:tc>
        <w:tc>
          <w:tcPr>
            <w:tcW w:w="182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6"/>
                <w:szCs w:val="16"/>
              </w:rPr>
            </w:pPr>
            <w:r>
              <w:rPr>
                <w:i w:val="false"/>
                <w:iCs w:val="false"/>
                <w:sz w:val="16"/>
                <w:szCs w:val="16"/>
              </w:rPr>
              <w:t>1 607</w:t>
            </w:r>
          </w:p>
        </w:tc>
        <w:tc>
          <w:tcPr>
            <w:tcW w:w="433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pPr>
            <w:r>
              <w:rPr>
                <w:i w:val="false"/>
                <w:iCs w:val="false"/>
                <w:sz w:val="16"/>
                <w:szCs w:val="16"/>
              </w:rPr>
              <w:t>Dont 3 jours de ponts et 1 journée de solidarité</w:t>
            </w:r>
          </w:p>
        </w:tc>
      </w:tr>
      <w:tr>
        <w:trPr>
          <w:trHeight w:val="486" w:hRule="atLeast"/>
        </w:trPr>
        <w:tc>
          <w:tcPr>
            <w:tcW w:w="2054"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6"/>
                <w:szCs w:val="16"/>
              </w:rPr>
            </w:pPr>
            <w:r>
              <w:rPr>
                <w:b/>
                <w:i w:val="false"/>
                <w:iCs w:val="false"/>
                <w:sz w:val="16"/>
                <w:szCs w:val="16"/>
              </w:rPr>
              <w:t>ETAMS</w:t>
            </w:r>
          </w:p>
        </w:tc>
        <w:tc>
          <w:tcPr>
            <w:tcW w:w="1565"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6"/>
                <w:szCs w:val="16"/>
              </w:rPr>
            </w:pPr>
            <w:r>
              <w:rPr>
                <w:i w:val="false"/>
                <w:iCs w:val="false"/>
                <w:sz w:val="16"/>
                <w:szCs w:val="16"/>
              </w:rPr>
              <w:t>35h50</w:t>
            </w:r>
          </w:p>
        </w:tc>
        <w:tc>
          <w:tcPr>
            <w:tcW w:w="182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6"/>
                <w:szCs w:val="16"/>
              </w:rPr>
            </w:pPr>
            <w:r>
              <w:rPr>
                <w:i w:val="false"/>
                <w:iCs w:val="false"/>
                <w:sz w:val="16"/>
                <w:szCs w:val="16"/>
              </w:rPr>
              <w:t>1 607</w:t>
            </w:r>
          </w:p>
        </w:tc>
        <w:tc>
          <w:tcPr>
            <w:tcW w:w="433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pPr>
            <w:r>
              <w:rPr>
                <w:i w:val="false"/>
                <w:iCs w:val="false"/>
                <w:sz w:val="16"/>
                <w:szCs w:val="16"/>
              </w:rPr>
              <w:t>Dont 3 jours de ponts et 1 journée de solidarité</w:t>
            </w:r>
          </w:p>
        </w:tc>
      </w:tr>
      <w:tr>
        <w:trPr>
          <w:trHeight w:val="560" w:hRule="atLeast"/>
        </w:trPr>
        <w:tc>
          <w:tcPr>
            <w:tcW w:w="2054"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6"/>
                <w:szCs w:val="16"/>
              </w:rPr>
            </w:pPr>
            <w:r>
              <w:rPr>
                <w:b/>
                <w:i w:val="false"/>
                <w:iCs w:val="false"/>
                <w:sz w:val="16"/>
                <w:szCs w:val="16"/>
              </w:rPr>
              <w:t>CADRES EN FORFAIT</w:t>
            </w:r>
          </w:p>
        </w:tc>
        <w:tc>
          <w:tcPr>
            <w:tcW w:w="1565"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spacing w:lineRule="auto" w:line="276" w:before="200" w:after="200"/>
              <w:jc w:val="center"/>
              <w:rPr>
                <w:b/>
                <w:b/>
                <w:i w:val="false"/>
                <w:i w:val="false"/>
                <w:iCs w:val="false"/>
                <w:sz w:val="16"/>
                <w:szCs w:val="16"/>
              </w:rPr>
            </w:pPr>
            <w:r>
              <w:rPr>
                <w:b/>
                <w:i w:val="false"/>
                <w:iCs w:val="false"/>
                <w:sz w:val="16"/>
                <w:szCs w:val="16"/>
              </w:rPr>
            </w:r>
          </w:p>
        </w:tc>
        <w:tc>
          <w:tcPr>
            <w:tcW w:w="182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pPr>
            <w:r>
              <w:rPr>
                <w:i w:val="false"/>
                <w:iCs w:val="false"/>
                <w:sz w:val="16"/>
                <w:szCs w:val="16"/>
              </w:rPr>
              <w:t>215 et 227 jours</w:t>
            </w:r>
          </w:p>
        </w:tc>
        <w:tc>
          <w:tcPr>
            <w:tcW w:w="433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pPr>
            <w:r>
              <w:rPr>
                <w:i w:val="false"/>
                <w:iCs w:val="false"/>
                <w:sz w:val="16"/>
                <w:szCs w:val="16"/>
              </w:rPr>
              <w:t>Dont 1 journée de solidarité</w:t>
            </w:r>
          </w:p>
        </w:tc>
      </w:tr>
    </w:tbl>
    <w:p>
      <w:pPr>
        <w:pStyle w:val="Normal"/>
        <w:spacing w:lineRule="auto" w:line="276" w:before="200" w:after="200"/>
        <w:ind w:left="720" w:hanging="0"/>
        <w:rPr>
          <w:i w:val="false"/>
          <w:i w:val="false"/>
          <w:iCs w:val="false"/>
          <w:sz w:val="24"/>
          <w:szCs w:val="24"/>
          <w:u w:val="single"/>
        </w:rPr>
      </w:pPr>
      <w:r>
        <w:rPr>
          <w:i w:val="false"/>
          <w:iCs w:val="false"/>
          <w:sz w:val="24"/>
          <w:szCs w:val="24"/>
          <w:u w:val="single"/>
        </w:rPr>
      </w:r>
    </w:p>
    <w:p>
      <w:pPr>
        <w:pStyle w:val="Normal"/>
        <w:spacing w:lineRule="auto" w:line="276" w:before="200" w:after="200"/>
        <w:ind w:left="720" w:hanging="0"/>
        <w:rPr>
          <w:i w:val="false"/>
          <w:i w:val="false"/>
          <w:iCs w:val="false"/>
          <w:sz w:val="24"/>
          <w:szCs w:val="24"/>
          <w:u w:val="single"/>
        </w:rPr>
      </w:pPr>
      <w:r>
        <w:rPr>
          <w:i w:val="false"/>
          <w:iCs w:val="false"/>
          <w:sz w:val="24"/>
          <w:szCs w:val="24"/>
          <w:u w:val="single"/>
        </w:rPr>
      </w:r>
    </w:p>
    <w:p>
      <w:pPr>
        <w:pStyle w:val="Normal"/>
        <w:numPr>
          <w:ilvl w:val="0"/>
          <w:numId w:val="4"/>
        </w:numPr>
        <w:spacing w:lineRule="auto" w:line="276" w:before="200" w:after="200"/>
        <w:ind w:left="720" w:hanging="360"/>
        <w:rPr>
          <w:i w:val="false"/>
          <w:i w:val="false"/>
          <w:iCs w:val="false"/>
          <w:sz w:val="24"/>
          <w:szCs w:val="24"/>
          <w:u w:val="single"/>
        </w:rPr>
      </w:pPr>
      <w:r>
        <w:rPr>
          <w:i w:val="false"/>
          <w:iCs w:val="false"/>
          <w:sz w:val="24"/>
          <w:szCs w:val="24"/>
          <w:u w:val="single"/>
        </w:rPr>
        <w:t>Ets de Monteils</w:t>
      </w:r>
    </w:p>
    <w:tbl>
      <w:tblPr>
        <w:tblW w:w="9527"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2000"/>
        <w:gridCol w:w="1524"/>
        <w:gridCol w:w="1780"/>
        <w:gridCol w:w="4223"/>
      </w:tblGrid>
      <w:tr>
        <w:trPr>
          <w:trHeight w:val="395" w:hRule="atLeast"/>
        </w:trPr>
        <w:tc>
          <w:tcPr>
            <w:tcW w:w="2000"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6"/>
                <w:szCs w:val="16"/>
              </w:rPr>
            </w:pPr>
            <w:r>
              <w:rPr>
                <w:b/>
                <w:i w:val="false"/>
                <w:iCs w:val="false"/>
                <w:sz w:val="16"/>
                <w:szCs w:val="16"/>
              </w:rPr>
              <w:t>Catégorie</w:t>
            </w:r>
          </w:p>
        </w:tc>
        <w:tc>
          <w:tcPr>
            <w:tcW w:w="1524"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jc w:val="center"/>
              <w:rPr/>
            </w:pPr>
            <w:r>
              <w:rPr>
                <w:b/>
                <w:i w:val="false"/>
                <w:iCs w:val="false"/>
                <w:sz w:val="16"/>
                <w:szCs w:val="16"/>
              </w:rPr>
              <w:t>Horaire Hebdo</w:t>
            </w:r>
          </w:p>
        </w:tc>
        <w:tc>
          <w:tcPr>
            <w:tcW w:w="1780"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jc w:val="center"/>
              <w:rPr/>
            </w:pPr>
            <w:r>
              <w:rPr>
                <w:b/>
                <w:i w:val="false"/>
                <w:iCs w:val="false"/>
                <w:sz w:val="16"/>
                <w:szCs w:val="16"/>
              </w:rPr>
              <w:t>Horaire annualisé</w:t>
            </w:r>
          </w:p>
        </w:tc>
        <w:tc>
          <w:tcPr>
            <w:tcW w:w="422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8CCE4" w:val="clear"/>
            <w:tcMar>
              <w:left w:w="103" w:type="dxa"/>
            </w:tcMar>
          </w:tcPr>
          <w:p>
            <w:pPr>
              <w:pStyle w:val="Normal"/>
              <w:spacing w:lineRule="auto" w:line="276" w:before="200" w:after="200"/>
              <w:jc w:val="center"/>
              <w:rPr>
                <w:b/>
                <w:b/>
                <w:i w:val="false"/>
                <w:i w:val="false"/>
                <w:iCs w:val="false"/>
                <w:sz w:val="16"/>
                <w:szCs w:val="16"/>
              </w:rPr>
            </w:pPr>
            <w:r>
              <w:rPr>
                <w:b/>
                <w:i w:val="false"/>
                <w:iCs w:val="false"/>
                <w:sz w:val="16"/>
                <w:szCs w:val="16"/>
              </w:rPr>
              <w:t>Observations</w:t>
            </w:r>
          </w:p>
        </w:tc>
      </w:tr>
      <w:tr>
        <w:trPr>
          <w:trHeight w:val="478" w:hRule="atLeast"/>
        </w:trPr>
        <w:tc>
          <w:tcPr>
            <w:tcW w:w="2000"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6"/>
                <w:szCs w:val="16"/>
              </w:rPr>
            </w:pPr>
            <w:r>
              <w:rPr>
                <w:b/>
                <w:i w:val="false"/>
                <w:iCs w:val="false"/>
                <w:sz w:val="16"/>
                <w:szCs w:val="16"/>
              </w:rPr>
              <w:t>OUVRIERS</w:t>
            </w:r>
          </w:p>
        </w:tc>
        <w:tc>
          <w:tcPr>
            <w:tcW w:w="1524"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6"/>
                <w:szCs w:val="16"/>
              </w:rPr>
            </w:pPr>
            <w:r>
              <w:rPr>
                <w:i w:val="false"/>
                <w:iCs w:val="false"/>
                <w:sz w:val="16"/>
                <w:szCs w:val="16"/>
              </w:rPr>
              <w:t>38h50</w:t>
            </w:r>
          </w:p>
        </w:tc>
        <w:tc>
          <w:tcPr>
            <w:tcW w:w="178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6"/>
                <w:szCs w:val="16"/>
              </w:rPr>
            </w:pPr>
            <w:r>
              <w:rPr>
                <w:i w:val="false"/>
                <w:iCs w:val="false"/>
                <w:sz w:val="16"/>
                <w:szCs w:val="16"/>
              </w:rPr>
              <w:t>1 745</w:t>
            </w:r>
          </w:p>
        </w:tc>
        <w:tc>
          <w:tcPr>
            <w:tcW w:w="422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i w:val="false"/>
                <w:i w:val="false"/>
                <w:iCs w:val="false"/>
                <w:sz w:val="16"/>
                <w:szCs w:val="16"/>
              </w:rPr>
            </w:pPr>
            <w:r>
              <w:rPr>
                <w:i w:val="false"/>
                <w:iCs w:val="false"/>
                <w:sz w:val="16"/>
                <w:szCs w:val="16"/>
              </w:rPr>
              <w:t>Dont 3 jours de ponts et 1 journée de solidarité</w:t>
            </w:r>
          </w:p>
        </w:tc>
      </w:tr>
      <w:tr>
        <w:trPr>
          <w:trHeight w:val="559" w:hRule="atLeast"/>
        </w:trPr>
        <w:tc>
          <w:tcPr>
            <w:tcW w:w="2000"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6"/>
                <w:szCs w:val="16"/>
              </w:rPr>
            </w:pPr>
            <w:r>
              <w:rPr>
                <w:b/>
                <w:i w:val="false"/>
                <w:iCs w:val="false"/>
                <w:sz w:val="16"/>
                <w:szCs w:val="16"/>
              </w:rPr>
              <w:t>ETAMS</w:t>
            </w:r>
          </w:p>
        </w:tc>
        <w:tc>
          <w:tcPr>
            <w:tcW w:w="1524"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pPr>
            <w:r>
              <w:rPr>
                <w:i w:val="false"/>
                <w:iCs w:val="false"/>
                <w:sz w:val="16"/>
                <w:szCs w:val="16"/>
              </w:rPr>
              <w:t>38h50</w:t>
            </w:r>
          </w:p>
        </w:tc>
        <w:tc>
          <w:tcPr>
            <w:tcW w:w="178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6"/>
                <w:szCs w:val="16"/>
              </w:rPr>
            </w:pPr>
            <w:r>
              <w:rPr>
                <w:i w:val="false"/>
                <w:iCs w:val="false"/>
                <w:sz w:val="16"/>
                <w:szCs w:val="16"/>
              </w:rPr>
              <w:t>1 745</w:t>
            </w:r>
          </w:p>
        </w:tc>
        <w:tc>
          <w:tcPr>
            <w:tcW w:w="422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pPr>
            <w:r>
              <w:rPr>
                <w:i w:val="false"/>
                <w:iCs w:val="false"/>
                <w:sz w:val="16"/>
                <w:szCs w:val="16"/>
              </w:rPr>
              <w:t>Dont 3 jours de ponts et 1 journée de solidarité</w:t>
            </w:r>
          </w:p>
        </w:tc>
      </w:tr>
      <w:tr>
        <w:trPr>
          <w:trHeight w:val="507" w:hRule="atLeast"/>
        </w:trPr>
        <w:tc>
          <w:tcPr>
            <w:tcW w:w="2000"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pPr>
            <w:r>
              <w:rPr>
                <w:b/>
                <w:i w:val="false"/>
                <w:iCs w:val="false"/>
                <w:sz w:val="16"/>
                <w:szCs w:val="16"/>
              </w:rPr>
              <w:t>CADRES EN FORFAIT</w:t>
            </w:r>
          </w:p>
        </w:tc>
        <w:tc>
          <w:tcPr>
            <w:tcW w:w="1524"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spacing w:lineRule="auto" w:line="276" w:before="200" w:after="200"/>
              <w:jc w:val="center"/>
              <w:rPr>
                <w:b/>
                <w:b/>
                <w:i w:val="false"/>
                <w:i w:val="false"/>
                <w:iCs w:val="false"/>
                <w:sz w:val="16"/>
                <w:szCs w:val="16"/>
              </w:rPr>
            </w:pPr>
            <w:r>
              <w:rPr>
                <w:b/>
                <w:i w:val="false"/>
                <w:iCs w:val="false"/>
                <w:sz w:val="16"/>
                <w:szCs w:val="16"/>
              </w:rPr>
            </w:r>
          </w:p>
        </w:tc>
        <w:tc>
          <w:tcPr>
            <w:tcW w:w="178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pPr>
            <w:r>
              <w:rPr>
                <w:i w:val="false"/>
                <w:iCs w:val="false"/>
                <w:sz w:val="16"/>
                <w:szCs w:val="16"/>
              </w:rPr>
              <w:t>215 et 227 jours</w:t>
            </w:r>
          </w:p>
        </w:tc>
        <w:tc>
          <w:tcPr>
            <w:tcW w:w="422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i w:val="false"/>
                <w:i w:val="false"/>
                <w:iCs w:val="false"/>
                <w:sz w:val="16"/>
                <w:szCs w:val="16"/>
              </w:rPr>
            </w:pPr>
            <w:r>
              <w:rPr>
                <w:i w:val="false"/>
                <w:iCs w:val="false"/>
                <w:sz w:val="16"/>
                <w:szCs w:val="16"/>
              </w:rPr>
              <w:t>Dont 1 journée de solidarité</w:t>
            </w:r>
          </w:p>
        </w:tc>
      </w:tr>
    </w:tbl>
    <w:p>
      <w:pPr>
        <w:pStyle w:val="Normal"/>
        <w:jc w:val="both"/>
        <w:rPr>
          <w:rFonts w:cs="Arial"/>
          <w:i w:val="false"/>
          <w:i w:val="false"/>
        </w:rPr>
      </w:pPr>
      <w:r>
        <w:rPr>
          <w:rFonts w:cs="Arial"/>
          <w:i w:val="false"/>
        </w:rPr>
      </w:r>
    </w:p>
    <w:p>
      <w:pPr>
        <w:pStyle w:val="Normal"/>
        <w:pBdr>
          <w:top w:val="single" w:sz="4" w:space="1" w:color="000000"/>
          <w:left w:val="single" w:sz="4" w:space="4" w:color="000000"/>
          <w:bottom w:val="single" w:sz="4" w:space="1" w:color="000000"/>
          <w:right w:val="single" w:sz="4" w:space="4" w:color="000000"/>
        </w:pBdr>
        <w:jc w:val="both"/>
        <w:rPr/>
      </w:pPr>
      <w:r>
        <w:rPr>
          <w:rFonts w:cs="Arial"/>
          <w:b/>
          <w:bCs/>
          <w:i w:val="false"/>
          <w:smallCaps/>
          <w:sz w:val="28"/>
          <w:szCs w:val="28"/>
        </w:rPr>
        <w:t xml:space="preserve">4 – Egalité H/F : </w:t>
      </w:r>
    </w:p>
    <w:p>
      <w:pPr>
        <w:pStyle w:val="Citation"/>
        <w:rPr/>
      </w:pPr>
      <w:r>
        <w:rPr>
          <w:rStyle w:val="Emphasis"/>
          <w:rFonts w:cs="Calibri"/>
          <w:i w:val="false"/>
          <w:color w:val="000000"/>
          <w:sz w:val="22"/>
          <w:szCs w:val="22"/>
          <w:u w:val="single"/>
        </w:rPr>
        <w:t xml:space="preserve">A – Entrées /sorties par catégorie et sexe du 01/10/21 au 30/09/22. </w:t>
      </w:r>
    </w:p>
    <w:tbl>
      <w:tblPr>
        <w:tblW w:w="3370" w:type="dxa"/>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504"/>
        <w:gridCol w:w="866"/>
      </w:tblGrid>
      <w:tr>
        <w:trPr>
          <w:trHeight w:val="301" w:hRule="atLeast"/>
        </w:trPr>
        <w:tc>
          <w:tcPr>
            <w:tcW w:w="3370"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DB4E2"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ENTREES</w:t>
            </w:r>
          </w:p>
        </w:tc>
      </w:tr>
      <w:tr>
        <w:trPr>
          <w:trHeight w:val="301" w:hRule="atLeast"/>
        </w:trPr>
        <w:tc>
          <w:tcPr>
            <w:tcW w:w="2504"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rFonts w:cs="Calibri"/>
                <w:b/>
                <w:b/>
                <w:bCs/>
                <w:i w:val="false"/>
                <w:i w:val="false"/>
                <w:iCs w:val="false"/>
                <w:color w:val="000000"/>
              </w:rPr>
            </w:pPr>
            <w:r>
              <w:rPr>
                <w:rFonts w:cs="Calibri"/>
                <w:b/>
                <w:bCs/>
                <w:i w:val="false"/>
                <w:iCs w:val="false"/>
                <w:color w:val="000000"/>
              </w:rPr>
              <w:t>TYPE DE CTRAT</w:t>
            </w:r>
          </w:p>
        </w:tc>
        <w:tc>
          <w:tcPr>
            <w:tcW w:w="8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CE6F1"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 xml:space="preserve">Nbre </w:t>
            </w:r>
          </w:p>
        </w:tc>
      </w:tr>
      <w:tr>
        <w:trPr>
          <w:trHeight w:val="301" w:hRule="atLeast"/>
        </w:trPr>
        <w:tc>
          <w:tcPr>
            <w:tcW w:w="2504"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rFonts w:cs="Calibri"/>
                <w:b/>
                <w:b/>
                <w:bCs/>
                <w:i w:val="false"/>
                <w:i w:val="false"/>
                <w:iCs w:val="false"/>
                <w:color w:val="000000"/>
              </w:rPr>
            </w:pPr>
            <w:r>
              <w:rPr>
                <w:rFonts w:cs="Calibri"/>
                <w:b/>
                <w:bCs/>
                <w:i w:val="false"/>
                <w:iCs w:val="false"/>
                <w:color w:val="000000"/>
              </w:rPr>
              <w:t>CDD</w:t>
            </w:r>
          </w:p>
        </w:tc>
        <w:tc>
          <w:tcPr>
            <w:tcW w:w="8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12</w:t>
            </w:r>
          </w:p>
        </w:tc>
      </w:tr>
      <w:tr>
        <w:trPr>
          <w:trHeight w:val="301" w:hRule="atLeast"/>
        </w:trPr>
        <w:tc>
          <w:tcPr>
            <w:tcW w:w="25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00"/>
              <w:rPr>
                <w:rFonts w:cs="Calibri"/>
                <w:i w:val="false"/>
                <w:i w:val="false"/>
                <w:iCs w:val="false"/>
                <w:color w:val="000000"/>
              </w:rPr>
            </w:pPr>
            <w:r>
              <w:rPr>
                <w:rFonts w:cs="Calibri"/>
                <w:i w:val="false"/>
                <w:iCs w:val="false"/>
                <w:color w:val="000000"/>
              </w:rPr>
              <w:t>F</w:t>
            </w:r>
          </w:p>
        </w:tc>
        <w:tc>
          <w:tcPr>
            <w:tcW w:w="866"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1</w:t>
            </w:r>
          </w:p>
        </w:tc>
      </w:tr>
      <w:tr>
        <w:trPr>
          <w:trHeight w:val="301" w:hRule="atLeast"/>
        </w:trPr>
        <w:tc>
          <w:tcPr>
            <w:tcW w:w="25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00"/>
              <w:rPr>
                <w:rFonts w:cs="Calibri"/>
                <w:i w:val="false"/>
                <w:i w:val="false"/>
                <w:iCs w:val="false"/>
                <w:color w:val="000000"/>
              </w:rPr>
            </w:pPr>
            <w:r>
              <w:rPr>
                <w:rFonts w:cs="Calibri"/>
                <w:i w:val="false"/>
                <w:iCs w:val="false"/>
                <w:color w:val="000000"/>
              </w:rPr>
              <w:t>H</w:t>
            </w:r>
          </w:p>
        </w:tc>
        <w:tc>
          <w:tcPr>
            <w:tcW w:w="866"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11</w:t>
            </w:r>
          </w:p>
        </w:tc>
      </w:tr>
      <w:tr>
        <w:trPr>
          <w:trHeight w:val="301" w:hRule="atLeast"/>
        </w:trPr>
        <w:tc>
          <w:tcPr>
            <w:tcW w:w="2504"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rFonts w:cs="Calibri"/>
                <w:b/>
                <w:b/>
                <w:bCs/>
                <w:i w:val="false"/>
                <w:i w:val="false"/>
                <w:iCs w:val="false"/>
                <w:color w:val="000000"/>
              </w:rPr>
            </w:pPr>
            <w:r>
              <w:rPr>
                <w:rFonts w:cs="Calibri"/>
                <w:b/>
                <w:bCs/>
                <w:i w:val="false"/>
                <w:iCs w:val="false"/>
                <w:color w:val="000000"/>
              </w:rPr>
              <w:t>CDI</w:t>
            </w:r>
          </w:p>
        </w:tc>
        <w:tc>
          <w:tcPr>
            <w:tcW w:w="8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43</w:t>
            </w:r>
          </w:p>
        </w:tc>
      </w:tr>
      <w:tr>
        <w:trPr>
          <w:trHeight w:val="301" w:hRule="atLeast"/>
        </w:trPr>
        <w:tc>
          <w:tcPr>
            <w:tcW w:w="25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00"/>
              <w:rPr>
                <w:rFonts w:cs="Calibri"/>
                <w:i w:val="false"/>
                <w:i w:val="false"/>
                <w:iCs w:val="false"/>
                <w:color w:val="000000"/>
              </w:rPr>
            </w:pPr>
            <w:r>
              <w:rPr>
                <w:rFonts w:cs="Calibri"/>
                <w:i w:val="false"/>
                <w:iCs w:val="false"/>
                <w:color w:val="000000"/>
              </w:rPr>
              <w:t>F</w:t>
            </w:r>
          </w:p>
        </w:tc>
        <w:tc>
          <w:tcPr>
            <w:tcW w:w="866"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8</w:t>
            </w:r>
          </w:p>
        </w:tc>
      </w:tr>
      <w:tr>
        <w:trPr>
          <w:trHeight w:val="301" w:hRule="atLeast"/>
        </w:trPr>
        <w:tc>
          <w:tcPr>
            <w:tcW w:w="25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00"/>
              <w:rPr>
                <w:rFonts w:cs="Calibri"/>
                <w:i w:val="false"/>
                <w:i w:val="false"/>
                <w:iCs w:val="false"/>
                <w:color w:val="000000"/>
              </w:rPr>
            </w:pPr>
            <w:r>
              <w:rPr>
                <w:rFonts w:cs="Calibri"/>
                <w:i w:val="false"/>
                <w:iCs w:val="false"/>
                <w:color w:val="000000"/>
              </w:rPr>
              <w:t>H</w:t>
            </w:r>
          </w:p>
        </w:tc>
        <w:tc>
          <w:tcPr>
            <w:tcW w:w="866"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35</w:t>
            </w:r>
          </w:p>
        </w:tc>
      </w:tr>
      <w:tr>
        <w:trPr>
          <w:trHeight w:val="301" w:hRule="atLeast"/>
        </w:trPr>
        <w:tc>
          <w:tcPr>
            <w:tcW w:w="2504"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rFonts w:cs="Calibri"/>
                <w:b/>
                <w:b/>
                <w:bCs/>
                <w:i w:val="false"/>
                <w:i w:val="false"/>
                <w:iCs w:val="false"/>
                <w:color w:val="000000"/>
              </w:rPr>
            </w:pPr>
            <w:r>
              <w:rPr>
                <w:rFonts w:cs="Calibri"/>
                <w:b/>
                <w:bCs/>
                <w:i w:val="false"/>
                <w:iCs w:val="false"/>
                <w:color w:val="000000"/>
              </w:rPr>
              <w:t>Total général</w:t>
            </w:r>
          </w:p>
        </w:tc>
        <w:tc>
          <w:tcPr>
            <w:tcW w:w="8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CE6F1"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55</w:t>
            </w:r>
          </w:p>
        </w:tc>
      </w:tr>
    </w:tbl>
    <w:p>
      <w:pPr>
        <w:pStyle w:val="Normal"/>
        <w:spacing w:before="0" w:after="0"/>
        <w:rPr>
          <w:vanish/>
        </w:rPr>
      </w:pPr>
      <w:r>
        <w:rPr>
          <w:vanish/>
        </w:rPr>
      </w:r>
    </w:p>
    <w:p>
      <w:pPr>
        <w:pStyle w:val="Normal"/>
        <w:spacing w:before="0" w:after="0"/>
        <w:rPr>
          <w:vanish/>
        </w:rPr>
      </w:pPr>
      <w:r>
        <w:rPr>
          <w:vanish/>
        </w:rPr>
      </w:r>
      <w:r>
        <mc:AlternateContent>
          <mc:Choice Requires="wps">
            <w:drawing>
              <wp:anchor behindDoc="0" distT="0" distB="0" distL="89535" distR="89535" simplePos="0" locked="0" layoutInCell="1" allowOverlap="1" relativeHeight="6">
                <wp:simplePos x="0" y="0"/>
                <wp:positionH relativeFrom="page">
                  <wp:posOffset>3642995</wp:posOffset>
                </wp:positionH>
                <wp:positionV relativeFrom="paragraph">
                  <wp:posOffset>-1766570</wp:posOffset>
                </wp:positionV>
                <wp:extent cx="2139950" cy="20955"/>
                <wp:effectExtent l="0" t="0" r="0" b="0"/>
                <wp:wrapSquare wrapText="bothSides"/>
                <wp:docPr id="5" name="Frame2"/>
                <a:graphic xmlns:a="http://schemas.openxmlformats.org/drawingml/2006/main">
                  <a:graphicData uri="http://schemas.microsoft.com/office/word/2010/wordprocessingShape">
                    <wps:wsp>
                      <wps:cNvSpPr txBox="1"/>
                      <wps:spPr>
                        <a:xfrm>
                          <a:off x="0" y="0"/>
                          <a:ext cx="2139950" cy="20955"/>
                        </a:xfrm>
                        <a:prstGeom prst="rect"/>
                        <a:solidFill>
                          <a:srgbClr val="FFFFFF">
                            <a:alpha val="0"/>
                          </a:srgbClr>
                        </a:solidFill>
                      </wps:spPr>
                      <wps:txbx>
                        <w:txbxContent>
                          <w:tbl>
                            <w:tblPr>
                              <w:tblW w:w="3370" w:type="dxa"/>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413"/>
                              <w:gridCol w:w="957"/>
                            </w:tblGrid>
                            <w:tr>
                              <w:trPr>
                                <w:trHeight w:val="301" w:hRule="atLeast"/>
                              </w:trPr>
                              <w:tc>
                                <w:tcPr>
                                  <w:tcW w:w="3370"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DB4E2"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SORTIES</w:t>
                                  </w:r>
                                </w:p>
                              </w:tc>
                            </w:tr>
                            <w:tr>
                              <w:trPr>
                                <w:trHeight w:val="301" w:hRule="atLeast"/>
                              </w:trPr>
                              <w:tc>
                                <w:tcPr>
                                  <w:tcW w:w="2413"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Type de ctrat</w:t>
                                  </w:r>
                                </w:p>
                              </w:tc>
                              <w:tc>
                                <w:tcPr>
                                  <w:tcW w:w="9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CE6F1"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Nbre</w:t>
                                  </w:r>
                                </w:p>
                              </w:tc>
                            </w:tr>
                            <w:tr>
                              <w:trPr>
                                <w:trHeight w:val="301" w:hRule="atLeast"/>
                              </w:trPr>
                              <w:tc>
                                <w:tcPr>
                                  <w:tcW w:w="241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CDD</w:t>
                                  </w:r>
                                </w:p>
                              </w:tc>
                              <w:tc>
                                <w:tcPr>
                                  <w:tcW w:w="9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10</w:t>
                                  </w:r>
                                </w:p>
                              </w:tc>
                            </w:tr>
                            <w:tr>
                              <w:trPr>
                                <w:trHeight w:val="301" w:hRule="atLeast"/>
                              </w:trPr>
                              <w:tc>
                                <w:tcPr>
                                  <w:tcW w:w="2413"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F</w:t>
                                  </w:r>
                                </w:p>
                              </w:tc>
                              <w:tc>
                                <w:tcPr>
                                  <w:tcW w:w="95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2</w:t>
                                  </w:r>
                                </w:p>
                              </w:tc>
                            </w:tr>
                            <w:tr>
                              <w:trPr>
                                <w:trHeight w:val="301" w:hRule="atLeast"/>
                              </w:trPr>
                              <w:tc>
                                <w:tcPr>
                                  <w:tcW w:w="2413"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H</w:t>
                                  </w:r>
                                </w:p>
                              </w:tc>
                              <w:tc>
                                <w:tcPr>
                                  <w:tcW w:w="95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8</w:t>
                                  </w:r>
                                </w:p>
                              </w:tc>
                            </w:tr>
                            <w:tr>
                              <w:trPr>
                                <w:trHeight w:val="301" w:hRule="atLeast"/>
                              </w:trPr>
                              <w:tc>
                                <w:tcPr>
                                  <w:tcW w:w="241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CDI</w:t>
                                  </w:r>
                                </w:p>
                              </w:tc>
                              <w:tc>
                                <w:tcPr>
                                  <w:tcW w:w="9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37</w:t>
                                  </w:r>
                                </w:p>
                              </w:tc>
                            </w:tr>
                            <w:tr>
                              <w:trPr>
                                <w:trHeight w:val="301" w:hRule="atLeast"/>
                              </w:trPr>
                              <w:tc>
                                <w:tcPr>
                                  <w:tcW w:w="2413"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F</w:t>
                                  </w:r>
                                </w:p>
                              </w:tc>
                              <w:tc>
                                <w:tcPr>
                                  <w:tcW w:w="95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5</w:t>
                                  </w:r>
                                </w:p>
                              </w:tc>
                            </w:tr>
                            <w:tr>
                              <w:trPr>
                                <w:trHeight w:val="301" w:hRule="atLeast"/>
                              </w:trPr>
                              <w:tc>
                                <w:tcPr>
                                  <w:tcW w:w="2413"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H</w:t>
                                  </w:r>
                                </w:p>
                              </w:tc>
                              <w:tc>
                                <w:tcPr>
                                  <w:tcW w:w="95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32</w:t>
                                  </w:r>
                                </w:p>
                              </w:tc>
                            </w:tr>
                            <w:tr>
                              <w:trPr>
                                <w:trHeight w:val="301" w:hRule="atLeast"/>
                              </w:trPr>
                              <w:tc>
                                <w:tcPr>
                                  <w:tcW w:w="2413"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Total général</w:t>
                                  </w:r>
                                </w:p>
                              </w:tc>
                              <w:tc>
                                <w:tcPr>
                                  <w:tcW w:w="9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CE6F1"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47</w:t>
                                  </w:r>
                                </w:p>
                              </w:tc>
                            </w:tr>
                          </w:tbl>
                        </w:txbxContent>
                      </wps:txbx>
                      <wps:bodyPr anchor="t">
                        <a:noAutofit/>
                      </wps:bodyPr>
                    </wps:wsp>
                  </a:graphicData>
                </a:graphic>
              </wp:anchor>
            </w:drawing>
          </mc:Choice>
          <mc:Fallback>
            <w:pict>
              <v:rect fillcolor="#FFFFFF" style="position:absolute;rotation:0;width:168.5pt;height:1.65pt;mso-wrap-distance-left:7.05pt;mso-wrap-distance-right:7.05pt;margin-top:-139.1pt;mso-position-vertical-relative:text;margin-left:286.85pt;mso-position-horizontal-relative:page">
                <v:fill opacity="0f"/>
                <v:textbox>
                  <w:txbxContent>
                    <w:tbl>
                      <w:tblPr>
                        <w:tblW w:w="3370" w:type="dxa"/>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413"/>
                        <w:gridCol w:w="957"/>
                      </w:tblGrid>
                      <w:tr>
                        <w:trPr>
                          <w:trHeight w:val="301" w:hRule="atLeast"/>
                        </w:trPr>
                        <w:tc>
                          <w:tcPr>
                            <w:tcW w:w="3370"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DB4E2"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SORTIES</w:t>
                            </w:r>
                          </w:p>
                        </w:tc>
                      </w:tr>
                      <w:tr>
                        <w:trPr>
                          <w:trHeight w:val="301" w:hRule="atLeast"/>
                        </w:trPr>
                        <w:tc>
                          <w:tcPr>
                            <w:tcW w:w="2413"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Type de ctrat</w:t>
                            </w:r>
                          </w:p>
                        </w:tc>
                        <w:tc>
                          <w:tcPr>
                            <w:tcW w:w="9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CE6F1"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Nbre</w:t>
                            </w:r>
                          </w:p>
                        </w:tc>
                      </w:tr>
                      <w:tr>
                        <w:trPr>
                          <w:trHeight w:val="301" w:hRule="atLeast"/>
                        </w:trPr>
                        <w:tc>
                          <w:tcPr>
                            <w:tcW w:w="241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CDD</w:t>
                            </w:r>
                          </w:p>
                        </w:tc>
                        <w:tc>
                          <w:tcPr>
                            <w:tcW w:w="9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10</w:t>
                            </w:r>
                          </w:p>
                        </w:tc>
                      </w:tr>
                      <w:tr>
                        <w:trPr>
                          <w:trHeight w:val="301" w:hRule="atLeast"/>
                        </w:trPr>
                        <w:tc>
                          <w:tcPr>
                            <w:tcW w:w="2413"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F</w:t>
                            </w:r>
                          </w:p>
                        </w:tc>
                        <w:tc>
                          <w:tcPr>
                            <w:tcW w:w="95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2</w:t>
                            </w:r>
                          </w:p>
                        </w:tc>
                      </w:tr>
                      <w:tr>
                        <w:trPr>
                          <w:trHeight w:val="301" w:hRule="atLeast"/>
                        </w:trPr>
                        <w:tc>
                          <w:tcPr>
                            <w:tcW w:w="2413"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H</w:t>
                            </w:r>
                          </w:p>
                        </w:tc>
                        <w:tc>
                          <w:tcPr>
                            <w:tcW w:w="95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8</w:t>
                            </w:r>
                          </w:p>
                        </w:tc>
                      </w:tr>
                      <w:tr>
                        <w:trPr>
                          <w:trHeight w:val="301" w:hRule="atLeast"/>
                        </w:trPr>
                        <w:tc>
                          <w:tcPr>
                            <w:tcW w:w="241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CDI</w:t>
                            </w:r>
                          </w:p>
                        </w:tc>
                        <w:tc>
                          <w:tcPr>
                            <w:tcW w:w="9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37</w:t>
                            </w:r>
                          </w:p>
                        </w:tc>
                      </w:tr>
                      <w:tr>
                        <w:trPr>
                          <w:trHeight w:val="301" w:hRule="atLeast"/>
                        </w:trPr>
                        <w:tc>
                          <w:tcPr>
                            <w:tcW w:w="2413"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F</w:t>
                            </w:r>
                          </w:p>
                        </w:tc>
                        <w:tc>
                          <w:tcPr>
                            <w:tcW w:w="95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5</w:t>
                            </w:r>
                          </w:p>
                        </w:tc>
                      </w:tr>
                      <w:tr>
                        <w:trPr>
                          <w:trHeight w:val="301" w:hRule="atLeast"/>
                        </w:trPr>
                        <w:tc>
                          <w:tcPr>
                            <w:tcW w:w="2413"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H</w:t>
                            </w:r>
                          </w:p>
                        </w:tc>
                        <w:tc>
                          <w:tcPr>
                            <w:tcW w:w="95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rFonts w:cs="Calibri"/>
                                <w:i w:val="false"/>
                                <w:i w:val="false"/>
                                <w:iCs w:val="false"/>
                                <w:color w:val="000000"/>
                              </w:rPr>
                            </w:pPr>
                            <w:r>
                              <w:rPr>
                                <w:rFonts w:cs="Calibri"/>
                                <w:i w:val="false"/>
                                <w:iCs w:val="false"/>
                                <w:color w:val="000000"/>
                              </w:rPr>
                              <w:t>32</w:t>
                            </w:r>
                          </w:p>
                        </w:tc>
                      </w:tr>
                      <w:tr>
                        <w:trPr>
                          <w:trHeight w:val="301" w:hRule="atLeast"/>
                        </w:trPr>
                        <w:tc>
                          <w:tcPr>
                            <w:tcW w:w="2413"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Total général</w:t>
                            </w:r>
                          </w:p>
                        </w:tc>
                        <w:tc>
                          <w:tcPr>
                            <w:tcW w:w="9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CE6F1" w:val="clear"/>
                            <w:tcMar>
                              <w:left w:w="65" w:type="dxa"/>
                            </w:tcMar>
                            <w:vAlign w:val="bottom"/>
                          </w:tcPr>
                          <w:p>
                            <w:pPr>
                              <w:pStyle w:val="Normal"/>
                              <w:spacing w:lineRule="auto" w:line="240" w:before="0" w:after="0"/>
                              <w:jc w:val="center"/>
                              <w:rPr>
                                <w:rFonts w:cs="Calibri"/>
                                <w:b/>
                                <w:b/>
                                <w:bCs/>
                                <w:i w:val="false"/>
                                <w:i w:val="false"/>
                                <w:iCs w:val="false"/>
                                <w:color w:val="000000"/>
                              </w:rPr>
                            </w:pPr>
                            <w:r>
                              <w:rPr>
                                <w:rFonts w:cs="Calibri"/>
                                <w:b/>
                                <w:bCs/>
                                <w:i w:val="false"/>
                                <w:iCs w:val="false"/>
                                <w:color w:val="000000"/>
                              </w:rPr>
                              <w:t>47</w:t>
                            </w:r>
                          </w:p>
                        </w:tc>
                      </w:tr>
                    </w:tbl>
                  </w:txbxContent>
                </v:textbox>
                <w10:wrap type="square"/>
              </v:rect>
            </w:pict>
          </mc:Fallback>
        </mc:AlternateContent>
      </w:r>
    </w:p>
    <w:p>
      <w:pPr>
        <w:pStyle w:val="Normal"/>
        <w:rPr>
          <w:vanish/>
        </w:rPr>
      </w:pPr>
      <w:r>
        <w:rPr>
          <w:vanish/>
        </w:rPr>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 xml:space="preserve">B – Conclusions. </w:t>
      </w:r>
    </w:p>
    <w:p>
      <w:pPr>
        <w:pStyle w:val="Sansinterligne"/>
        <w:jc w:val="both"/>
        <w:rPr>
          <w:i w:val="false"/>
          <w:i w:val="false"/>
        </w:rPr>
      </w:pPr>
      <w:r>
        <w:rPr>
          <w:i w:val="false"/>
        </w:rPr>
        <w:t>Sur 55 embauches, 9 sont des femmes principalement aux services administratifs, BE et également une opératrice machine à l’atelier de Fleurance.</w:t>
      </w:r>
    </w:p>
    <w:p>
      <w:pPr>
        <w:pStyle w:val="Sansinterligne"/>
        <w:jc w:val="both"/>
        <w:rPr>
          <w:i w:val="false"/>
          <w:i w:val="false"/>
        </w:rPr>
      </w:pPr>
      <w:r>
        <w:rPr>
          <w:i w:val="false"/>
        </w:rPr>
        <w:t xml:space="preserve">7 femmes ont quitté la société, soit une variation positive de 2 personnes. Parmi ces 7 personnes, 2 sont partis à la retraite.  </w:t>
      </w:r>
    </w:p>
    <w:p>
      <w:pPr>
        <w:pStyle w:val="Sansinterligne"/>
        <w:jc w:val="both"/>
        <w:rPr>
          <w:i w:val="false"/>
          <w:i w:val="false"/>
        </w:rPr>
      </w:pPr>
      <w:r>
        <w:rPr>
          <w:i w:val="false"/>
        </w:rPr>
      </w:r>
    </w:p>
    <w:p>
      <w:pPr>
        <w:pStyle w:val="Sansinterligne"/>
        <w:jc w:val="both"/>
        <w:rPr>
          <w:i w:val="false"/>
          <w:i w:val="false"/>
        </w:rPr>
      </w:pPr>
      <w:r>
        <w:rPr>
          <w:i w:val="false"/>
        </w:rPr>
        <w:t>Contrairement aux années précédentes ces embauches ne concernent pas uniquement les services administratifs puisqu’il y a 1 embauche à l’atelier et également en conduite de travaux.</w:t>
      </w:r>
    </w:p>
    <w:p>
      <w:pPr>
        <w:pStyle w:val="Sansinterligne"/>
        <w:jc w:val="both"/>
        <w:rPr>
          <w:i w:val="false"/>
          <w:i w:val="false"/>
        </w:rPr>
      </w:pPr>
      <w:r>
        <w:rPr>
          <w:i w:val="false"/>
        </w:rPr>
      </w:r>
    </w:p>
    <w:p>
      <w:pPr>
        <w:pStyle w:val="Sansinterligne"/>
        <w:jc w:val="both"/>
        <w:rPr>
          <w:i w:val="false"/>
          <w:i w:val="false"/>
        </w:rPr>
      </w:pPr>
      <w:r>
        <w:rPr>
          <w:i w:val="false"/>
        </w:rPr>
        <w:t xml:space="preserve">On constate qu’on commence à avoir quelques candidatures notamment en alternance Il est difficile de recruter dans les autres services car nous avons peu ou pas de candidature. </w:t>
      </w:r>
    </w:p>
    <w:p>
      <w:pPr>
        <w:pStyle w:val="Sansinterligne"/>
        <w:jc w:val="both"/>
        <w:rPr>
          <w:i w:val="false"/>
          <w:i w:val="false"/>
        </w:rPr>
      </w:pPr>
      <w:r>
        <w:rPr>
          <w:i w:val="false"/>
        </w:rPr>
      </w:r>
    </w:p>
    <w:p>
      <w:pPr>
        <w:pStyle w:val="Sansinterligne"/>
        <w:jc w:val="both"/>
        <w:rPr>
          <w:rFonts w:cs="Arial"/>
          <w:i w:val="false"/>
          <w:i w:val="false"/>
        </w:rPr>
      </w:pPr>
      <w:r>
        <w:rPr>
          <w:rFonts w:cs="Arial"/>
          <w:i w:val="false"/>
        </w:rPr>
        <w:t>Nous constatons qu’il persiste un déséquilibre dans les services dit de « chantier » (monteurs, chef de chantier etc..) pour lesquels nous n’avons pas de candidatures malgré les embauches réalisées sur ces postes en 2022.</w:t>
      </w:r>
    </w:p>
    <w:p>
      <w:pPr>
        <w:pStyle w:val="Sansinterligne"/>
        <w:jc w:val="both"/>
        <w:rPr>
          <w:rFonts w:cs="Arial"/>
          <w:i w:val="false"/>
          <w:i w:val="false"/>
        </w:rPr>
      </w:pPr>
      <w:r>
        <w:rPr>
          <w:rFonts w:cs="Arial"/>
          <w:i w:val="false"/>
        </w:rPr>
      </w:r>
    </w:p>
    <w:p>
      <w:pPr>
        <w:pStyle w:val="Sansinterligne"/>
        <w:jc w:val="both"/>
        <w:rPr>
          <w:i w:val="false"/>
          <w:i w:val="false"/>
        </w:rPr>
      </w:pPr>
      <w:r>
        <w:rPr>
          <w:i w:val="false"/>
        </w:rPr>
      </w:r>
    </w:p>
    <w:p>
      <w:pPr>
        <w:pStyle w:val="Sansinterligne"/>
        <w:jc w:val="both"/>
        <w:rPr>
          <w:i w:val="false"/>
          <w:i w:val="false"/>
        </w:rPr>
      </w:pPr>
      <w:r>
        <w:rPr>
          <w:i w:val="false"/>
        </w:rPr>
      </w:r>
    </w:p>
    <w:p>
      <w:pPr>
        <w:pStyle w:val="Normal"/>
        <w:pBdr>
          <w:top w:val="single" w:sz="4" w:space="1" w:color="000000"/>
          <w:left w:val="single" w:sz="4" w:space="4" w:color="000000"/>
          <w:bottom w:val="single" w:sz="4" w:space="1" w:color="000000"/>
          <w:right w:val="single" w:sz="4" w:space="4" w:color="000000"/>
        </w:pBdr>
        <w:jc w:val="both"/>
        <w:rPr/>
      </w:pPr>
      <w:r>
        <w:rPr>
          <w:rFonts w:cs="Arial"/>
          <w:b/>
          <w:bCs/>
          <w:i w:val="false"/>
          <w:smallCaps/>
          <w:sz w:val="28"/>
          <w:szCs w:val="28"/>
        </w:rPr>
        <w:t xml:space="preserve">5 – QVT (qualité de vie au travail) : </w:t>
      </w:r>
    </w:p>
    <w:p>
      <w:pPr>
        <w:pStyle w:val="Sansinterligne"/>
        <w:jc w:val="both"/>
        <w:rPr>
          <w:i w:val="false"/>
          <w:i w:val="false"/>
        </w:rPr>
      </w:pPr>
      <w:r>
        <w:rPr>
          <w:i w:val="false"/>
        </w:rPr>
        <w:t>Dans le cadre de la démarche QVT plusieurs actions ont été réalisées :</w:t>
      </w:r>
    </w:p>
    <w:p>
      <w:pPr>
        <w:pStyle w:val="Sansinterligne"/>
        <w:jc w:val="both"/>
        <w:rPr>
          <w:i w:val="false"/>
          <w:i w:val="false"/>
        </w:rPr>
      </w:pPr>
      <w:r>
        <w:rPr>
          <w:i w:val="false"/>
        </w:rPr>
      </w:r>
    </w:p>
    <w:p>
      <w:pPr>
        <w:pStyle w:val="Sansinterligne"/>
        <w:numPr>
          <w:ilvl w:val="0"/>
          <w:numId w:val="4"/>
        </w:numPr>
        <w:ind w:left="720" w:hanging="360"/>
        <w:jc w:val="both"/>
        <w:rPr/>
      </w:pPr>
      <w:r>
        <w:rPr>
          <w:i w:val="false"/>
        </w:rPr>
        <w:t>Aménagement d’espaces extérieurs pour déjeuner</w:t>
      </w:r>
    </w:p>
    <w:p>
      <w:pPr>
        <w:pStyle w:val="Sansinterligne"/>
        <w:numPr>
          <w:ilvl w:val="0"/>
          <w:numId w:val="4"/>
        </w:numPr>
        <w:ind w:left="720" w:hanging="360"/>
        <w:jc w:val="both"/>
        <w:rPr>
          <w:i w:val="false"/>
          <w:i w:val="false"/>
        </w:rPr>
      </w:pPr>
      <w:r>
        <w:rPr>
          <w:i w:val="false"/>
        </w:rPr>
        <w:t>Projet de création d’espace de détente dans les locaux du siège</w:t>
      </w:r>
    </w:p>
    <w:p>
      <w:pPr>
        <w:pStyle w:val="Sansinterligne"/>
        <w:numPr>
          <w:ilvl w:val="0"/>
          <w:numId w:val="4"/>
        </w:numPr>
        <w:ind w:left="720" w:hanging="360"/>
        <w:jc w:val="both"/>
        <w:rPr>
          <w:i w:val="false"/>
          <w:i w:val="false"/>
        </w:rPr>
      </w:pPr>
      <w:r>
        <w:rPr>
          <w:i w:val="false"/>
        </w:rPr>
        <w:t xml:space="preserve">Mise en place de STEEPLE outil de communication interne. L’accès à STEEPLE se fait sur des écrans télé tactiles disposés sur tous nos sites et agences. </w:t>
      </w:r>
    </w:p>
    <w:p>
      <w:pPr>
        <w:pStyle w:val="Sansinterligne"/>
        <w:jc w:val="both"/>
        <w:rPr>
          <w:i w:val="false"/>
          <w:i w:val="false"/>
          <w:highlight w:val="yellow"/>
        </w:rPr>
      </w:pPr>
      <w:r>
        <w:rPr>
          <w:i w:val="false"/>
          <w:highlight w:val="yellow"/>
        </w:rPr>
      </w:r>
    </w:p>
    <w:p>
      <w:pPr>
        <w:pStyle w:val="Sansinterligne"/>
        <w:jc w:val="both"/>
        <w:rPr>
          <w:i w:val="false"/>
          <w:i w:val="false"/>
        </w:rPr>
      </w:pPr>
      <w:r>
        <w:rPr>
          <w:i w:val="false"/>
        </w:rPr>
        <w:t>Par ailleurs et afin de favoriser l’intégration des nouveaux collaborateurs, de les maintenir dans l’emploi et de les faire évoluer en compétence nous avons mis en place un plan d’accompagnement sous forme d’une fonction TUTORALE.</w:t>
      </w:r>
    </w:p>
    <w:p>
      <w:pPr>
        <w:pStyle w:val="Sansinterligne"/>
        <w:jc w:val="both"/>
        <w:rPr>
          <w:i w:val="false"/>
          <w:i w:val="false"/>
        </w:rPr>
      </w:pPr>
      <w:r>
        <w:rPr>
          <w:i w:val="false"/>
        </w:rPr>
        <w:t>Une charte établie le 30 septembre 2022 définie les contours de l’engagement mutuel du TUTEUR et du TUTORE.</w:t>
      </w:r>
    </w:p>
    <w:p>
      <w:pPr>
        <w:pStyle w:val="Sansinterligne"/>
        <w:jc w:val="both"/>
        <w:rPr>
          <w:i w:val="false"/>
          <w:i w:val="false"/>
        </w:rPr>
      </w:pPr>
      <w:r>
        <w:rPr>
          <w:i w:val="false"/>
        </w:rPr>
      </w:r>
    </w:p>
    <w:p>
      <w:pPr>
        <w:pStyle w:val="Normal"/>
        <w:spacing w:lineRule="auto" w:line="240" w:before="0" w:after="0"/>
        <w:jc w:val="both"/>
        <w:rPr>
          <w:rFonts w:ascii="Arial Narrow" w:hAnsi="Arial Narrow" w:cs="Arial"/>
          <w:i w:val="false"/>
          <w:i w:val="false"/>
          <w:sz w:val="24"/>
          <w:szCs w:val="24"/>
          <w:highlight w:val="yellow"/>
        </w:rPr>
      </w:pPr>
      <w:r>
        <w:rPr>
          <w:rFonts w:cs="Arial" w:ascii="Arial Narrow" w:hAnsi="Arial Narrow"/>
          <w:i w:val="false"/>
          <w:sz w:val="24"/>
          <w:szCs w:val="24"/>
          <w:highlight w:val="yellow"/>
        </w:rPr>
      </w:r>
    </w:p>
    <w:p>
      <w:pPr>
        <w:pStyle w:val="Normal"/>
        <w:pBdr>
          <w:top w:val="single" w:sz="4" w:space="1" w:color="000000"/>
          <w:left w:val="single" w:sz="4" w:space="4" w:color="000000"/>
          <w:bottom w:val="single" w:sz="4" w:space="1" w:color="000000"/>
          <w:right w:val="single" w:sz="4" w:space="4" w:color="000000"/>
        </w:pBdr>
        <w:jc w:val="both"/>
        <w:rPr/>
      </w:pPr>
      <w:bookmarkStart w:id="1" w:name="_Hlk89533693"/>
      <w:bookmarkEnd w:id="1"/>
      <w:r>
        <w:rPr>
          <w:rFonts w:cs="Arial"/>
          <w:b/>
          <w:bCs/>
          <w:i w:val="false"/>
          <w:smallCaps/>
          <w:sz w:val="28"/>
          <w:szCs w:val="28"/>
        </w:rPr>
        <w:t xml:space="preserve">6 – Autres informations : </w:t>
      </w:r>
    </w:p>
    <w:p>
      <w:pPr>
        <w:pStyle w:val="Citation"/>
        <w:rPr/>
      </w:pPr>
      <w:bookmarkStart w:id="2" w:name="_Hlk89533693"/>
      <w:bookmarkEnd w:id="2"/>
      <w:r>
        <w:rPr>
          <w:rStyle w:val="Emphasis"/>
          <w:rFonts w:cs="Calibri"/>
          <w:i w:val="false"/>
          <w:color w:val="000000"/>
          <w:sz w:val="22"/>
          <w:szCs w:val="22"/>
          <w:u w:val="single"/>
        </w:rPr>
        <w:t xml:space="preserve">A – Statistiques arrêts maladies. </w:t>
      </w:r>
    </w:p>
    <w:p>
      <w:pPr>
        <w:pStyle w:val="Sansinterligne"/>
        <w:jc w:val="both"/>
        <w:rPr>
          <w:iCs w:val="false"/>
          <w:u w:val="single"/>
        </w:rPr>
      </w:pPr>
      <w:r>
        <w:rPr>
          <w:iCs w:val="false"/>
          <w:u w:val="single"/>
        </w:rPr>
        <w:t>Rappel historique :</w:t>
      </w:r>
    </w:p>
    <w:p>
      <w:pPr>
        <w:pStyle w:val="Sansinterligne"/>
        <w:jc w:val="both"/>
        <w:rPr>
          <w:iCs w:val="false"/>
        </w:rPr>
      </w:pPr>
      <w:r>
        <w:rPr>
          <w:iCs w:val="false"/>
        </w:rPr>
        <w:t xml:space="preserve">La mesure mise en place le 30 septembre 2014 visant la suppression du maintien de salaire des trois jours de carence de la sécurité sociale est un des éléments qui a permis de mettre un frein à la forte dérive du nombre d’arrêts constaté les années précédentes. </w:t>
      </w:r>
    </w:p>
    <w:p>
      <w:pPr>
        <w:pStyle w:val="Sansinterligne"/>
        <w:jc w:val="both"/>
        <w:rPr>
          <w:iCs w:val="false"/>
        </w:rPr>
      </w:pPr>
      <w:r>
        <w:rPr>
          <w:iCs w:val="false"/>
        </w:rPr>
        <w:t>En 2017, la Direction a accepté d’assouplir sa position et a proposé de maintenir le salaire des 3 jours de carence sur le 1</w:t>
      </w:r>
      <w:r>
        <w:rPr>
          <w:iCs w:val="false"/>
          <w:vertAlign w:val="superscript"/>
        </w:rPr>
        <w:t>er</w:t>
      </w:r>
      <w:r>
        <w:rPr>
          <w:iCs w:val="false"/>
        </w:rPr>
        <w:t xml:space="preserve"> arrêt (uniquement) et sur présentation d’un avis d’arrêt de travail établi par un médecin ou un établissement hospitalier. En 2019 / 2020 / 2021 et 2022 cette mesure a été reconduite dans les mêmes conditions.</w:t>
      </w:r>
    </w:p>
    <w:p>
      <w:pPr>
        <w:pStyle w:val="Sansinterligne"/>
        <w:rPr>
          <w:i w:val="false"/>
          <w:i w:val="false"/>
          <w:iCs w:val="false"/>
        </w:rPr>
      </w:pPr>
      <w:r>
        <w:rPr>
          <w:i w:val="false"/>
          <w:iCs w:val="false"/>
        </w:rPr>
      </w:r>
    </w:p>
    <w:p>
      <w:pPr>
        <w:pStyle w:val="Paragraphedeliste"/>
        <w:ind w:left="0" w:hanging="0"/>
        <w:rPr>
          <w:rFonts w:cs="Arial"/>
          <w:i w:val="false"/>
          <w:i w:val="false"/>
        </w:rPr>
      </w:pPr>
      <w:r>
        <w:rPr>
          <w:rFonts w:cs="Arial"/>
          <w:i w:val="false"/>
        </w:rPr>
        <w:t>Ci-dessous le tableau d’analyse du nombre de jours indemnisés et du nombre total d’arrêts du 01/12/21 au 30/11/22.</w:t>
      </w:r>
    </w:p>
    <w:p>
      <w:pPr>
        <w:pStyle w:val="Normal"/>
        <w:spacing w:before="0" w:after="0"/>
        <w:rPr>
          <w:rFonts w:cs="Arial"/>
          <w:i w:val="false"/>
          <w:i w:val="false"/>
          <w:vanish/>
        </w:rPr>
      </w:pPr>
      <w:r>
        <w:rPr>
          <w:rFonts w:cs="Arial"/>
          <w:i w:val="false"/>
          <w:vanish/>
        </w:rPr>
      </w:r>
    </w:p>
    <w:p>
      <w:pPr>
        <w:pStyle w:val="Normal"/>
        <w:spacing w:before="0" w:after="0"/>
        <w:rPr>
          <w:vanish/>
          <w:highlight w:val="yellow"/>
        </w:rPr>
      </w:pPr>
      <w:r>
        <w:rPr>
          <w:vanish/>
          <w:highlight w:val="yellow"/>
        </w:rPr>
      </w:r>
      <w:r>
        <mc:AlternateContent>
          <mc:Choice Requires="wps">
            <w:drawing>
              <wp:anchor behindDoc="0" distT="0" distB="0" distL="89535" distR="89535" simplePos="0" locked="0" layoutInCell="1" allowOverlap="1" relativeHeight="7">
                <wp:simplePos x="0" y="0"/>
                <wp:positionH relativeFrom="page">
                  <wp:posOffset>3832860</wp:posOffset>
                </wp:positionH>
                <wp:positionV relativeFrom="paragraph">
                  <wp:posOffset>140335</wp:posOffset>
                </wp:positionV>
                <wp:extent cx="2470150" cy="20955"/>
                <wp:effectExtent l="0" t="0" r="0" b="0"/>
                <wp:wrapSquare wrapText="bothSides"/>
                <wp:docPr id="6" name="Frame3"/>
                <a:graphic xmlns:a="http://schemas.openxmlformats.org/drawingml/2006/main">
                  <a:graphicData uri="http://schemas.microsoft.com/office/word/2010/wordprocessingShape">
                    <wps:wsp>
                      <wps:cNvSpPr txBox="1"/>
                      <wps:spPr>
                        <a:xfrm>
                          <a:off x="0" y="0"/>
                          <a:ext cx="2470150" cy="20955"/>
                        </a:xfrm>
                        <a:prstGeom prst="rect"/>
                        <a:solidFill>
                          <a:srgbClr val="FFFFFF">
                            <a:alpha val="0"/>
                          </a:srgbClr>
                        </a:solidFill>
                      </wps:spPr>
                      <wps:txbx>
                        <w:txbxContent>
                          <w:tbl>
                            <w:tblPr>
                              <w:tblW w:w="3890"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2920"/>
                              <w:gridCol w:w="970"/>
                            </w:tblGrid>
                            <w:tr>
                              <w:trPr>
                                <w:trHeight w:val="288" w:hRule="atLeast"/>
                              </w:trPr>
                              <w:tc>
                                <w:tcPr>
                                  <w:tcW w:w="2920" w:type="dxa"/>
                                  <w:tcBorders>
                                    <w:top w:val="single" w:sz="4" w:space="0" w:color="000000"/>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Début arrêt et carence 2022</w:t>
                                  </w:r>
                                </w:p>
                              </w:tc>
                              <w:tc>
                                <w:tcPr>
                                  <w:tcW w:w="9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Nombre</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&lt; =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42</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13</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29</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&gt;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120</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86</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34</w:t>
                                  </w:r>
                                </w:p>
                              </w:tc>
                            </w:tr>
                            <w:tr>
                              <w:trPr>
                                <w:trHeight w:val="288" w:hRule="atLeast"/>
                              </w:trPr>
                              <w:tc>
                                <w:tcPr>
                                  <w:tcW w:w="2920" w:type="dxa"/>
                                  <w:tcBorders>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Total général</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162</w:t>
                                  </w:r>
                                </w:p>
                              </w:tc>
                            </w:tr>
                          </w:tbl>
                        </w:txbxContent>
                      </wps:txbx>
                      <wps:bodyPr anchor="t">
                        <a:noAutofit/>
                      </wps:bodyPr>
                    </wps:wsp>
                  </a:graphicData>
                </a:graphic>
              </wp:anchor>
            </w:drawing>
          </mc:Choice>
          <mc:Fallback>
            <w:pict>
              <v:rect fillcolor="#FFFFFF" style="position:absolute;rotation:0;width:194.5pt;height:1.65pt;mso-wrap-distance-left:7.05pt;mso-wrap-distance-right:7.05pt;margin-top:11.05pt;mso-position-vertical-relative:text;margin-left:301.8pt;mso-position-horizontal-relative:page">
                <v:fill opacity="0f"/>
                <v:textbox>
                  <w:txbxContent>
                    <w:tbl>
                      <w:tblPr>
                        <w:tblW w:w="3890"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2920"/>
                        <w:gridCol w:w="970"/>
                      </w:tblGrid>
                      <w:tr>
                        <w:trPr>
                          <w:trHeight w:val="288" w:hRule="atLeast"/>
                        </w:trPr>
                        <w:tc>
                          <w:tcPr>
                            <w:tcW w:w="2920" w:type="dxa"/>
                            <w:tcBorders>
                              <w:top w:val="single" w:sz="4" w:space="0" w:color="000000"/>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Début arrêt et carence 2022</w:t>
                            </w:r>
                          </w:p>
                        </w:tc>
                        <w:tc>
                          <w:tcPr>
                            <w:tcW w:w="9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Nombre</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&lt; =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42</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13</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29</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&gt;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120</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86</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34</w:t>
                            </w:r>
                          </w:p>
                        </w:tc>
                      </w:tr>
                      <w:tr>
                        <w:trPr>
                          <w:trHeight w:val="288" w:hRule="atLeast"/>
                        </w:trPr>
                        <w:tc>
                          <w:tcPr>
                            <w:tcW w:w="2920" w:type="dxa"/>
                            <w:tcBorders>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Total général</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162</w:t>
                            </w:r>
                          </w:p>
                        </w:tc>
                      </w:tr>
                    </w:tbl>
                  </w:txbxContent>
                </v:textbox>
                <w10:wrap type="square"/>
              </v:rect>
            </w:pict>
          </mc:Fallback>
        </mc:AlternateContent>
      </w:r>
    </w:p>
    <w:p>
      <w:pPr>
        <w:pStyle w:val="Paragraphedeliste"/>
        <w:rPr>
          <w:rFonts w:ascii="Arial Narrow" w:hAnsi="Arial Narrow" w:cs="Arial"/>
          <w:i w:val="false"/>
          <w:i w:val="false"/>
          <w:sz w:val="24"/>
          <w:szCs w:val="24"/>
        </w:rPr>
      </w:pPr>
      <w:r>
        <w:rPr>
          <w:rFonts w:cs="Arial" w:ascii="Arial Narrow" w:hAnsi="Arial Narrow"/>
          <w:i w:val="false"/>
          <w:sz w:val="24"/>
          <w:szCs w:val="24"/>
        </w:rPr>
        <w:tab/>
        <w:tab/>
        <w:tab/>
        <w:tab/>
        <w:tab/>
      </w:r>
      <w:r>
        <mc:AlternateContent>
          <mc:Choice Requires="wps">
            <w:drawing>
              <wp:anchor behindDoc="0" distT="0" distB="0" distL="0" distR="89535" simplePos="0" locked="0" layoutInCell="1" allowOverlap="1" relativeHeight="8">
                <wp:simplePos x="0" y="0"/>
                <wp:positionH relativeFrom="margin">
                  <wp:posOffset>-47625</wp:posOffset>
                </wp:positionH>
                <wp:positionV relativeFrom="paragraph">
                  <wp:posOffset>168275</wp:posOffset>
                </wp:positionV>
                <wp:extent cx="2470150" cy="1469390"/>
                <wp:effectExtent l="0" t="0" r="0" b="0"/>
                <wp:wrapSquare wrapText="bothSides"/>
                <wp:docPr id="7" name="Frame4"/>
                <a:graphic xmlns:a="http://schemas.openxmlformats.org/drawingml/2006/main">
                  <a:graphicData uri="http://schemas.microsoft.com/office/word/2010/wordprocessingShape">
                    <wps:wsp>
                      <wps:cNvSpPr txBox="1"/>
                      <wps:spPr>
                        <a:xfrm>
                          <a:off x="0" y="0"/>
                          <a:ext cx="2470150" cy="1469390"/>
                        </a:xfrm>
                        <a:prstGeom prst="rect"/>
                        <a:solidFill>
                          <a:srgbClr val="FFFFFF">
                            <a:alpha val="0"/>
                          </a:srgbClr>
                        </a:solidFill>
                      </wps:spPr>
                      <wps:txbx>
                        <w:txbxContent>
                          <w:tbl>
                            <w:tblPr>
                              <w:tblW w:w="3890"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2920"/>
                              <w:gridCol w:w="970"/>
                            </w:tblGrid>
                            <w:tr>
                              <w:trPr>
                                <w:trHeight w:val="288" w:hRule="atLeast"/>
                              </w:trPr>
                              <w:tc>
                                <w:tcPr>
                                  <w:tcW w:w="2920" w:type="dxa"/>
                                  <w:tcBorders>
                                    <w:top w:val="single" w:sz="4" w:space="0" w:color="000000"/>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Début arrêt et carence 2021</w:t>
                                  </w:r>
                                </w:p>
                              </w:tc>
                              <w:tc>
                                <w:tcPr>
                                  <w:tcW w:w="9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Nombre</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&lt; =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20</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14</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6</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&gt;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80</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61</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19</w:t>
                                  </w:r>
                                </w:p>
                              </w:tc>
                            </w:tr>
                            <w:tr>
                              <w:trPr>
                                <w:trHeight w:val="288" w:hRule="atLeast"/>
                              </w:trPr>
                              <w:tc>
                                <w:tcPr>
                                  <w:tcW w:w="2920" w:type="dxa"/>
                                  <w:tcBorders>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Total général</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100</w:t>
                                  </w:r>
                                </w:p>
                              </w:tc>
                            </w:tr>
                          </w:tbl>
                        </w:txbxContent>
                      </wps:txbx>
                      <wps:bodyPr anchor="t">
                        <a:noAutofit/>
                      </wps:bodyPr>
                    </wps:wsp>
                  </a:graphicData>
                </a:graphic>
              </wp:anchor>
            </w:drawing>
          </mc:Choice>
          <mc:Fallback>
            <w:pict>
              <v:rect fillcolor="#FFFFFF" style="position:absolute;rotation:0;width:194.5pt;height:115.7pt;mso-wrap-distance-left:0pt;mso-wrap-distance-right:7.05pt;margin-top:13.25pt;mso-position-vertical-relative:text;margin-left:-3.75pt;mso-position-horizontal-relative:margin">
                <v:fill opacity="0f"/>
                <v:textbox>
                  <w:txbxContent>
                    <w:tbl>
                      <w:tblPr>
                        <w:tblW w:w="3890"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2920"/>
                        <w:gridCol w:w="970"/>
                      </w:tblGrid>
                      <w:tr>
                        <w:trPr>
                          <w:trHeight w:val="288" w:hRule="atLeast"/>
                        </w:trPr>
                        <w:tc>
                          <w:tcPr>
                            <w:tcW w:w="2920" w:type="dxa"/>
                            <w:tcBorders>
                              <w:top w:val="single" w:sz="4" w:space="0" w:color="000000"/>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Début arrêt et carence 2021</w:t>
                            </w:r>
                          </w:p>
                        </w:tc>
                        <w:tc>
                          <w:tcPr>
                            <w:tcW w:w="9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Nombre</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&lt; =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20</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14</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6</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&gt;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80</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61</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19</w:t>
                            </w:r>
                          </w:p>
                        </w:tc>
                      </w:tr>
                      <w:tr>
                        <w:trPr>
                          <w:trHeight w:val="288" w:hRule="atLeast"/>
                        </w:trPr>
                        <w:tc>
                          <w:tcPr>
                            <w:tcW w:w="2920" w:type="dxa"/>
                            <w:tcBorders>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Total général</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100</w:t>
                            </w:r>
                          </w:p>
                        </w:tc>
                      </w:tr>
                    </w:tbl>
                  </w:txbxContent>
                </v:textbox>
                <w10:wrap type="square"/>
              </v:rect>
            </w:pict>
          </mc:Fallback>
        </mc:AlternateContent>
      </w:r>
    </w:p>
    <w:p>
      <w:pPr>
        <w:pStyle w:val="Paragraphedeliste"/>
        <w:rPr>
          <w:rFonts w:ascii="Arial Narrow" w:hAnsi="Arial Narrow" w:cs="Arial"/>
          <w:i w:val="false"/>
          <w:i w:val="false"/>
          <w:sz w:val="24"/>
          <w:szCs w:val="24"/>
        </w:rPr>
      </w:pPr>
      <w:r>
        <w:rPr>
          <w:rFonts w:cs="Arial" w:ascii="Arial Narrow" w:hAnsi="Arial Narrow"/>
          <w:i w:val="false"/>
          <w:sz w:val="24"/>
          <w:szCs w:val="24"/>
        </w:rPr>
      </w:r>
    </w:p>
    <w:p>
      <w:pPr>
        <w:pStyle w:val="Normal"/>
        <w:spacing w:before="0" w:after="0"/>
        <w:rPr>
          <w:rFonts w:ascii="Arial Narrow" w:hAnsi="Arial Narrow" w:cs="Arial"/>
          <w:i w:val="false"/>
          <w:i w:val="false"/>
          <w:vanish/>
          <w:sz w:val="24"/>
          <w:szCs w:val="24"/>
        </w:rPr>
      </w:pPr>
      <w:r>
        <w:rPr>
          <w:rFonts w:cs="Arial" w:ascii="Arial Narrow" w:hAnsi="Arial Narrow"/>
          <w:i w:val="false"/>
          <w:vanish/>
          <w:sz w:val="24"/>
          <w:szCs w:val="24"/>
        </w:rPr>
      </w:r>
    </w:p>
    <w:p>
      <w:pPr>
        <w:pStyle w:val="Paragraphedeliste"/>
        <w:rPr>
          <w:rFonts w:ascii="Arial Narrow" w:hAnsi="Arial Narrow" w:cs="Arial"/>
          <w:i w:val="false"/>
          <w:i w:val="false"/>
          <w:sz w:val="24"/>
          <w:szCs w:val="24"/>
        </w:rPr>
      </w:pPr>
      <w:r>
        <w:rPr>
          <w:rFonts w:cs="Arial" w:ascii="Arial Narrow" w:hAnsi="Arial Narrow"/>
          <w:i w:val="false"/>
          <w:sz w:val="24"/>
          <w:szCs w:val="24"/>
        </w:rPr>
        <w:tab/>
        <w:tab/>
      </w:r>
    </w:p>
    <w:p>
      <w:pPr>
        <w:pStyle w:val="Paragraphedeliste"/>
        <w:rPr>
          <w:rFonts w:ascii="Arial Narrow" w:hAnsi="Arial Narrow" w:cs="Arial"/>
          <w:i w:val="false"/>
          <w:i w:val="false"/>
          <w:sz w:val="24"/>
          <w:szCs w:val="24"/>
        </w:rPr>
      </w:pPr>
      <w:r>
        <w:rPr>
          <w:rFonts w:cs="Arial" w:ascii="Arial Narrow" w:hAnsi="Arial Narrow"/>
          <w:i w:val="false"/>
          <w:sz w:val="24"/>
          <w:szCs w:val="24"/>
        </w:rPr>
      </w:r>
    </w:p>
    <w:p>
      <w:pPr>
        <w:pStyle w:val="Paragraphedeliste"/>
        <w:ind w:left="0" w:hanging="0"/>
        <w:rPr>
          <w:rFonts w:ascii="Arial Narrow" w:hAnsi="Arial Narrow" w:cs="Arial"/>
          <w:i w:val="false"/>
          <w:i w:val="false"/>
          <w:sz w:val="24"/>
          <w:szCs w:val="24"/>
        </w:rPr>
      </w:pPr>
      <w:r>
        <w:rPr>
          <w:rFonts w:cs="Arial" w:ascii="Arial Narrow" w:hAnsi="Arial Narrow"/>
          <w:i w:val="false"/>
          <w:sz w:val="24"/>
          <w:szCs w:val="24"/>
        </w:rPr>
        <w:tab/>
        <w:t xml:space="preserve">                         </w:t>
      </w:r>
    </w:p>
    <w:p>
      <w:pPr>
        <w:pStyle w:val="Paragraphedeliste"/>
        <w:ind w:left="0" w:hanging="0"/>
        <w:rPr>
          <w:rFonts w:ascii="Arial Narrow" w:hAnsi="Arial Narrow" w:cs="Arial"/>
          <w:i w:val="false"/>
          <w:i w:val="false"/>
          <w:sz w:val="24"/>
          <w:szCs w:val="24"/>
          <w:highlight w:val="yellow"/>
        </w:rPr>
      </w:pPr>
      <w:r>
        <w:rPr>
          <w:rFonts w:cs="Calibri"/>
          <w:i w:val="false"/>
          <w:sz w:val="24"/>
          <w:szCs w:val="24"/>
          <w:u w:val="single"/>
        </w:rPr>
        <w:t>DONT 24 arrêts COVID</w:t>
      </w:r>
      <w:r>
        <w:rPr>
          <w:rFonts w:cs="Arial" w:ascii="Arial Narrow" w:hAnsi="Arial Narrow"/>
          <w:i w:val="false"/>
          <w:sz w:val="24"/>
          <w:szCs w:val="24"/>
        </w:rPr>
        <w:tab/>
        <w:tab/>
        <w:tab/>
        <w:tab/>
      </w:r>
      <w:bookmarkStart w:id="3" w:name="_Hlk89530799"/>
      <w:r>
        <w:rPr>
          <w:rFonts w:cs="Calibri"/>
          <w:i w:val="false"/>
          <w:sz w:val="24"/>
          <w:szCs w:val="24"/>
          <w:u w:val="single"/>
        </w:rPr>
        <w:t>DONT 53 arrêts COVID</w:t>
      </w:r>
      <w:bookmarkEnd w:id="3"/>
      <w:r>
        <w:rPr>
          <w:rFonts w:cs="Arial" w:ascii="Arial Narrow" w:hAnsi="Arial Narrow"/>
          <w:i w:val="false"/>
          <w:sz w:val="24"/>
          <w:szCs w:val="24"/>
          <w:highlight w:val="yellow"/>
        </w:rPr>
        <w:t xml:space="preserve"> </w:t>
      </w:r>
    </w:p>
    <w:p>
      <w:pPr>
        <w:pStyle w:val="Paragraphedeliste"/>
        <w:ind w:left="0" w:hanging="0"/>
        <w:rPr>
          <w:rFonts w:ascii="Arial Narrow" w:hAnsi="Arial Narrow" w:cs="Arial"/>
          <w:i w:val="false"/>
          <w:i w:val="false"/>
          <w:sz w:val="24"/>
          <w:szCs w:val="24"/>
          <w:highlight w:val="yellow"/>
        </w:rPr>
      </w:pPr>
      <w:r>
        <w:rPr>
          <w:rFonts w:cs="Arial" w:ascii="Arial Narrow" w:hAnsi="Arial Narrow"/>
          <w:i w:val="false"/>
          <w:sz w:val="24"/>
          <w:szCs w:val="24"/>
          <w:highlight w:val="yellow"/>
        </w:rPr>
      </w:r>
    </w:p>
    <w:p>
      <w:pPr>
        <w:pStyle w:val="Paragraphedeliste"/>
        <w:ind w:left="0" w:hanging="0"/>
        <w:jc w:val="both"/>
        <w:rPr/>
      </w:pPr>
      <w:r>
        <w:rPr>
          <w:rFonts w:cs="Arial"/>
          <w:i w:val="false"/>
        </w:rPr>
        <w:t>Augmentation du nombre d’arrêt de 36% concernant tous les arrêts.</w:t>
      </w:r>
    </w:p>
    <w:p>
      <w:pPr>
        <w:pStyle w:val="Paragraphedeliste"/>
        <w:ind w:left="0" w:hanging="0"/>
        <w:jc w:val="both"/>
        <w:rPr>
          <w:rFonts w:cs="Arial"/>
          <w:i w:val="false"/>
          <w:i w:val="false"/>
        </w:rPr>
      </w:pPr>
      <w:r>
        <w:rPr>
          <w:rFonts w:cs="Arial"/>
          <w:i w:val="false"/>
        </w:rPr>
        <w:t>Augmentation du nombre d’arrêt COVID de 120%.</w:t>
      </w:r>
    </w:p>
    <w:p>
      <w:pPr>
        <w:pStyle w:val="Paragraphedeliste"/>
        <w:ind w:left="0" w:hanging="0"/>
        <w:jc w:val="both"/>
        <w:rPr>
          <w:rFonts w:cs="Arial"/>
          <w:i w:val="false"/>
          <w:i w:val="false"/>
        </w:rPr>
      </w:pPr>
      <w:r>
        <w:rPr>
          <w:rFonts w:cs="Arial"/>
          <w:i w:val="false"/>
        </w:rPr>
      </w:r>
    </w:p>
    <w:p>
      <w:pPr>
        <w:pStyle w:val="Paragraphedeliste"/>
        <w:ind w:left="0" w:hanging="0"/>
        <w:jc w:val="both"/>
        <w:rPr>
          <w:rFonts w:cs="Arial"/>
          <w:i w:val="false"/>
          <w:i w:val="false"/>
        </w:rPr>
      </w:pPr>
      <w:r>
        <w:rPr>
          <w:rFonts w:cs="Arial"/>
          <w:i w:val="false"/>
        </w:rPr>
        <w:t>Augmentation du nombre de salariés en arrêt de 36% (75 salariés en 2021 – 102 salariés en 2022).</w:t>
      </w:r>
    </w:p>
    <w:p>
      <w:pPr>
        <w:pStyle w:val="Paragraphedeliste"/>
        <w:ind w:left="0" w:hanging="0"/>
        <w:jc w:val="both"/>
        <w:rPr>
          <w:rFonts w:cs="Arial"/>
          <w:i w:val="false"/>
          <w:i w:val="false"/>
        </w:rPr>
      </w:pPr>
      <w:r>
        <w:rPr>
          <w:rFonts w:cs="Arial"/>
          <w:i w:val="false"/>
        </w:rPr>
      </w:r>
    </w:p>
    <w:p>
      <w:pPr>
        <w:pStyle w:val="Paragraphedeliste"/>
        <w:ind w:left="0" w:hanging="0"/>
        <w:jc w:val="both"/>
        <w:rPr>
          <w:rFonts w:cs="Arial"/>
          <w:i w:val="false"/>
          <w:i w:val="false"/>
        </w:rPr>
      </w:pPr>
      <w:r>
        <w:rPr>
          <w:rFonts w:cs="Arial"/>
          <w:i w:val="false"/>
        </w:rPr>
        <w:t>Augmentation du nombre de salariés ayant plusieurs arrêts de 16% (25 en 2021 – 29 en 2022).</w:t>
      </w:r>
    </w:p>
    <w:p>
      <w:pPr>
        <w:pStyle w:val="Paragraphedeliste"/>
        <w:ind w:left="0" w:hanging="0"/>
        <w:jc w:val="both"/>
        <w:rPr>
          <w:rFonts w:cs="Arial"/>
          <w:i w:val="false"/>
          <w:i w:val="false"/>
        </w:rPr>
      </w:pPr>
      <w:r>
        <w:rPr>
          <w:rFonts w:cs="Arial"/>
          <w:i w:val="false"/>
        </w:rPr>
      </w:r>
    </w:p>
    <w:p>
      <w:pPr>
        <w:pStyle w:val="Paragraphedeliste"/>
        <w:ind w:left="0" w:hanging="0"/>
        <w:jc w:val="both"/>
        <w:rPr>
          <w:rFonts w:cs="Arial"/>
          <w:i w:val="false"/>
          <w:i w:val="false"/>
        </w:rPr>
      </w:pPr>
      <w:r>
        <w:rPr>
          <w:rFonts w:cs="Arial"/>
          <w:i w:val="false"/>
        </w:rPr>
        <w:t>Hors arrêts COVID :</w:t>
      </w:r>
    </w:p>
    <w:p>
      <w:pPr>
        <w:pStyle w:val="Paragraphedeliste"/>
        <w:numPr>
          <w:ilvl w:val="0"/>
          <w:numId w:val="6"/>
        </w:numPr>
        <w:jc w:val="both"/>
        <w:rPr>
          <w:rFonts w:cs="Arial"/>
          <w:i w:val="false"/>
          <w:i w:val="false"/>
        </w:rPr>
      </w:pPr>
      <w:r>
        <w:rPr>
          <w:rFonts w:cs="Arial"/>
          <w:i w:val="false"/>
        </w:rPr>
        <w:t>en 2020 on a maintenu la carence de 3 jours 41 fois</w:t>
      </w:r>
    </w:p>
    <w:p>
      <w:pPr>
        <w:pStyle w:val="Paragraphedeliste"/>
        <w:numPr>
          <w:ilvl w:val="0"/>
          <w:numId w:val="6"/>
        </w:numPr>
        <w:jc w:val="both"/>
        <w:rPr>
          <w:rFonts w:cs="Arial"/>
          <w:i w:val="false"/>
          <w:i w:val="false"/>
        </w:rPr>
      </w:pPr>
      <w:r>
        <w:rPr>
          <w:rFonts w:cs="Arial"/>
          <w:i w:val="false"/>
        </w:rPr>
        <w:t>en 2021 on a maintenu la carence de 3 jours 46 fois</w:t>
      </w:r>
    </w:p>
    <w:p>
      <w:pPr>
        <w:pStyle w:val="Paragraphedeliste"/>
        <w:numPr>
          <w:ilvl w:val="0"/>
          <w:numId w:val="6"/>
        </w:numPr>
        <w:jc w:val="both"/>
        <w:rPr>
          <w:rFonts w:cs="Arial"/>
          <w:i w:val="false"/>
          <w:i w:val="false"/>
        </w:rPr>
      </w:pPr>
      <w:r>
        <w:rPr>
          <w:rFonts w:cs="Arial"/>
          <w:i w:val="false"/>
        </w:rPr>
        <w:t>en 2022 on a maintenu la carence de 3 jours 47 fois</w:t>
      </w:r>
    </w:p>
    <w:p>
      <w:pPr>
        <w:pStyle w:val="Paragraphedeliste"/>
        <w:ind w:left="0" w:hanging="0"/>
        <w:jc w:val="both"/>
        <w:rPr>
          <w:rFonts w:cs="Arial"/>
          <w:i w:val="false"/>
          <w:i w:val="false"/>
        </w:rPr>
      </w:pPr>
      <w:r>
        <w:rPr>
          <w:rFonts w:eastAsia="Calibri" w:cs="Calibri"/>
          <w:i w:val="false"/>
        </w:rPr>
        <w:t xml:space="preserve"> </w:t>
      </w:r>
      <w:r>
        <w:rPr>
          <w:rFonts w:cs="Arial"/>
          <w:i w:val="false"/>
        </w:rPr>
        <w:t>Malgré l’augmentation des arrêts de travail (hors COVID) le nombre de paiement de CARENCE se maintien.</w:t>
      </w:r>
    </w:p>
    <w:p>
      <w:pPr>
        <w:pStyle w:val="Paragraphedeliste"/>
        <w:ind w:left="0" w:hanging="0"/>
        <w:jc w:val="both"/>
        <w:rPr>
          <w:rFonts w:cs="Arial"/>
          <w:i w:val="false"/>
          <w:i w:val="false"/>
        </w:rPr>
      </w:pPr>
      <w:r>
        <w:rPr>
          <w:rFonts w:cs="Arial"/>
          <w:i w:val="false"/>
        </w:rPr>
      </w:r>
    </w:p>
    <w:p>
      <w:pPr>
        <w:pStyle w:val="Citation"/>
        <w:rPr/>
      </w:pPr>
      <w:r>
        <w:rPr>
          <w:rStyle w:val="Emphasis"/>
          <w:rFonts w:cs="Arial Narrow" w:ascii="Arial Narrow" w:hAnsi="Arial Narrow"/>
          <w:i w:val="false"/>
          <w:color w:val="000000"/>
          <w:sz w:val="22"/>
          <w:szCs w:val="22"/>
          <w:u w:val="single"/>
        </w:rPr>
        <w:t xml:space="preserve">B – Bilan entretiens. </w:t>
      </w:r>
    </w:p>
    <w:p>
      <w:pPr>
        <w:pStyle w:val="Normal"/>
        <w:numPr>
          <w:ilvl w:val="0"/>
          <w:numId w:val="5"/>
        </w:numPr>
        <w:spacing w:lineRule="auto" w:line="240" w:before="0" w:after="120"/>
        <w:jc w:val="both"/>
        <w:rPr>
          <w:rFonts w:ascii="Arial Narrow" w:hAnsi="Arial Narrow" w:cs="Arial"/>
          <w:b/>
          <w:b/>
          <w:i w:val="false"/>
          <w:i w:val="false"/>
          <w:sz w:val="24"/>
          <w:szCs w:val="24"/>
        </w:rPr>
      </w:pPr>
      <w:r>
        <w:rPr>
          <w:rFonts w:cs="Arial" w:ascii="Arial Narrow" w:hAnsi="Arial Narrow"/>
          <w:b/>
          <w:i w:val="false"/>
          <w:sz w:val="24"/>
          <w:szCs w:val="24"/>
        </w:rPr>
        <w:t>Situation des entretiens annuels et professionnels - (30/11/20) :</w:t>
      </w:r>
    </w:p>
    <w:p>
      <w:pPr>
        <w:pStyle w:val="Normal"/>
        <w:spacing w:lineRule="auto" w:line="240" w:before="0" w:after="120"/>
        <w:ind w:left="360" w:hanging="0"/>
        <w:jc w:val="both"/>
        <w:rPr>
          <w:rFonts w:cs="Arial"/>
          <w:i w:val="false"/>
          <w:i w:val="false"/>
        </w:rPr>
      </w:pPr>
      <w:r>
        <w:rPr>
          <w:rFonts w:cs="Arial"/>
          <w:i w:val="false"/>
        </w:rPr>
        <w:t>Rappel des différents types d’entretiens :</w:t>
      </w:r>
    </w:p>
    <w:p>
      <w:pPr>
        <w:pStyle w:val="Normal"/>
        <w:numPr>
          <w:ilvl w:val="0"/>
          <w:numId w:val="10"/>
        </w:numPr>
        <w:spacing w:lineRule="auto" w:line="240" w:before="0" w:after="120"/>
        <w:jc w:val="both"/>
        <w:rPr>
          <w:rFonts w:cs="Arial"/>
          <w:i w:val="false"/>
          <w:i w:val="false"/>
        </w:rPr>
      </w:pPr>
      <w:r>
        <w:rPr>
          <w:rFonts w:cs="Arial"/>
          <w:i w:val="false"/>
        </w:rPr>
        <w:t xml:space="preserve">l’entretien annuel d’évaluation qui permettent de fixer des objectifs et de les évaluer </w:t>
      </w:r>
    </w:p>
    <w:p>
      <w:pPr>
        <w:pStyle w:val="Normal"/>
        <w:numPr>
          <w:ilvl w:val="0"/>
          <w:numId w:val="10"/>
        </w:numPr>
        <w:spacing w:lineRule="auto" w:line="240" w:before="0" w:after="120"/>
        <w:jc w:val="both"/>
        <w:rPr>
          <w:rFonts w:cs="Arial"/>
          <w:i w:val="false"/>
          <w:i w:val="false"/>
        </w:rPr>
      </w:pPr>
      <w:r>
        <w:rPr>
          <w:rFonts w:cs="Arial"/>
          <w:i w:val="false"/>
        </w:rPr>
        <w:t>l’entretien professionnel (tous les 2 ans) qui permet d’échanger sur l’orientation professionnelle à plus ou moins terme. Pour les salariés qui étaient présents dans l’ensemble en 2014, il convient de faire le bilan des 6 ans car cela fait maintenant 6 ans que cet entretien existe. Ce bilan permet de faire un récapitulatif du parcours professionnel pendant cette période et de vérifier qu’il a bien :</w:t>
      </w:r>
    </w:p>
    <w:p>
      <w:pPr>
        <w:pStyle w:val="Normal"/>
        <w:numPr>
          <w:ilvl w:val="1"/>
          <w:numId w:val="10"/>
        </w:numPr>
        <w:spacing w:lineRule="auto" w:line="240" w:before="0" w:after="120"/>
        <w:jc w:val="both"/>
        <w:rPr/>
      </w:pPr>
      <w:r>
        <w:rPr>
          <w:rFonts w:cs="Arial"/>
          <w:i w:val="false"/>
        </w:rPr>
        <w:t>suivi une action de formation non obligatoire</w:t>
      </w:r>
    </w:p>
    <w:p>
      <w:pPr>
        <w:pStyle w:val="Normal"/>
        <w:numPr>
          <w:ilvl w:val="1"/>
          <w:numId w:val="10"/>
        </w:numPr>
        <w:spacing w:lineRule="auto" w:line="240" w:before="0" w:after="120"/>
        <w:jc w:val="both"/>
        <w:rPr/>
      </w:pPr>
      <w:r>
        <w:rPr>
          <w:rFonts w:cs="Arial"/>
          <w:i w:val="false"/>
        </w:rPr>
        <w:t>obtenu un diplôme ou une certification par la formation ou la VAE</w:t>
      </w:r>
    </w:p>
    <w:p>
      <w:pPr>
        <w:pStyle w:val="Normal"/>
        <w:numPr>
          <w:ilvl w:val="1"/>
          <w:numId w:val="10"/>
        </w:numPr>
        <w:spacing w:lineRule="auto" w:line="240" w:before="0" w:after="120"/>
        <w:jc w:val="both"/>
        <w:rPr>
          <w:rFonts w:cs="Arial"/>
          <w:i w:val="false"/>
          <w:i w:val="false"/>
        </w:rPr>
      </w:pPr>
      <w:r>
        <w:rPr>
          <w:rFonts w:cs="Arial"/>
          <w:i w:val="false"/>
        </w:rPr>
        <w:t xml:space="preserve">bénéficié d’une progression salariale </w:t>
      </w:r>
    </w:p>
    <w:p>
      <w:pPr>
        <w:pStyle w:val="Normal"/>
        <w:spacing w:lineRule="auto" w:line="240" w:before="0" w:after="120"/>
        <w:ind w:left="360" w:hanging="0"/>
        <w:jc w:val="both"/>
        <w:rPr>
          <w:rFonts w:cs="Arial"/>
          <w:i w:val="false"/>
          <w:i w:val="false"/>
        </w:rPr>
      </w:pPr>
      <w:r>
        <w:rPr>
          <w:rFonts w:cs="Arial"/>
          <w:i w:val="false"/>
        </w:rPr>
        <w:t>Les 2 entretiens peuvent être effectués simultanément, mais font l’objet de supports différents.</w:t>
      </w:r>
    </w:p>
    <w:p>
      <w:pPr>
        <w:pStyle w:val="Normal"/>
        <w:numPr>
          <w:ilvl w:val="0"/>
          <w:numId w:val="7"/>
        </w:numPr>
        <w:spacing w:lineRule="auto" w:line="240" w:before="0" w:after="120"/>
        <w:jc w:val="both"/>
        <w:rPr>
          <w:rFonts w:cs="Arial"/>
          <w:i w:val="false"/>
          <w:i w:val="false"/>
        </w:rPr>
      </w:pPr>
      <w:r>
        <w:rPr>
          <w:rFonts w:cs="Arial"/>
          <w:i w:val="false"/>
        </w:rPr>
        <w:t>% des entretiens réalisés par catégorie</w:t>
      </w:r>
    </w:p>
    <w:p>
      <w:pPr>
        <w:pStyle w:val="Normal"/>
        <w:numPr>
          <w:ilvl w:val="1"/>
          <w:numId w:val="7"/>
        </w:numPr>
        <w:spacing w:lineRule="auto" w:line="240" w:before="0" w:after="120"/>
        <w:jc w:val="both"/>
        <w:rPr/>
      </w:pPr>
      <w:r>
        <w:rPr>
          <w:rFonts w:cs="Arial"/>
          <w:i w:val="false"/>
        </w:rPr>
        <w:t>CADRE : 43 %</w:t>
      </w:r>
    </w:p>
    <w:p>
      <w:pPr>
        <w:pStyle w:val="Normal"/>
        <w:numPr>
          <w:ilvl w:val="1"/>
          <w:numId w:val="7"/>
        </w:numPr>
        <w:spacing w:lineRule="auto" w:line="240" w:before="0" w:after="120"/>
        <w:jc w:val="both"/>
        <w:rPr>
          <w:rFonts w:cs="Arial"/>
          <w:i w:val="false"/>
          <w:i w:val="false"/>
        </w:rPr>
      </w:pPr>
      <w:r>
        <w:rPr>
          <w:rFonts w:cs="Arial"/>
          <w:i w:val="false"/>
        </w:rPr>
        <w:t>NON CADRE : 12 %.</w:t>
      </w:r>
    </w:p>
    <w:p>
      <w:pPr>
        <w:pStyle w:val="Normal"/>
        <w:spacing w:lineRule="auto" w:line="240" w:before="0" w:after="120"/>
        <w:ind w:left="1080" w:hanging="0"/>
        <w:jc w:val="both"/>
        <w:rPr>
          <w:rFonts w:cs="Arial"/>
          <w:i w:val="false"/>
          <w:i w:val="false"/>
        </w:rPr>
      </w:pPr>
      <w:r>
        <w:rPr>
          <w:rFonts w:cs="Arial"/>
          <w:i w:val="false"/>
        </w:rPr>
        <w:t xml:space="preserve">Nous avons mis en place un logiciel de dématérialisation des entretiens (JAVELO).  </w:t>
      </w:r>
    </w:p>
    <w:p>
      <w:pPr>
        <w:pStyle w:val="Normal"/>
        <w:spacing w:lineRule="auto" w:line="240" w:before="0" w:after="120"/>
        <w:jc w:val="both"/>
        <w:rPr>
          <w:rFonts w:cs="Arial"/>
          <w:i w:val="false"/>
          <w:i w:val="false"/>
          <w:highlight w:val="yellow"/>
        </w:rPr>
      </w:pPr>
      <w:r>
        <w:rPr>
          <w:rFonts w:cs="Arial"/>
          <w:i w:val="false"/>
          <w:highlight w:val="yellow"/>
        </w:rPr>
      </w:r>
    </w:p>
    <w:p>
      <w:pPr>
        <w:pStyle w:val="Citation"/>
        <w:rPr/>
      </w:pPr>
      <w:r>
        <w:rPr>
          <w:rStyle w:val="Emphasis"/>
          <w:rFonts w:cs="Arial Narrow" w:ascii="Arial Narrow" w:hAnsi="Arial Narrow"/>
          <w:i w:val="false"/>
          <w:color w:val="000000"/>
          <w:sz w:val="22"/>
          <w:szCs w:val="22"/>
          <w:u w:val="single"/>
        </w:rPr>
        <w:t xml:space="preserve">C – RTT 2022. </w:t>
      </w:r>
    </w:p>
    <w:p>
      <w:pPr>
        <w:pStyle w:val="Sansinterligne"/>
        <w:ind w:left="360" w:hanging="0"/>
        <w:jc w:val="both"/>
        <w:rPr>
          <w:i w:val="false"/>
          <w:i w:val="false"/>
        </w:rPr>
      </w:pPr>
      <w:r>
        <w:rPr>
          <w:i w:val="false"/>
        </w:rPr>
        <w:t>Les salariés cadres dont le forfait annuel des jours travaillés du 1</w:t>
      </w:r>
      <w:r>
        <w:rPr>
          <w:i w:val="false"/>
          <w:vertAlign w:val="superscript"/>
        </w:rPr>
        <w:t>er</w:t>
      </w:r>
      <w:r>
        <w:rPr>
          <w:i w:val="false"/>
        </w:rPr>
        <w:t xml:space="preserve"> janvier au 31 décembre est de 215, bénéficieront de 12 jours de RTT pour l’année 2023. </w:t>
      </w:r>
    </w:p>
    <w:p>
      <w:pPr>
        <w:pStyle w:val="Sansinterligne"/>
        <w:ind w:left="360" w:hanging="0"/>
        <w:jc w:val="both"/>
        <w:rPr>
          <w:i w:val="false"/>
          <w:i w:val="false"/>
          <w:highlight w:val="yellow"/>
        </w:rPr>
      </w:pPr>
      <w:r>
        <w:rPr>
          <w:i w:val="false"/>
          <w:highlight w:val="yellow"/>
        </w:rPr>
      </w:r>
    </w:p>
    <w:p>
      <w:pPr>
        <w:pStyle w:val="Sansinterligne"/>
        <w:ind w:left="360" w:hanging="0"/>
        <w:jc w:val="both"/>
        <w:rPr>
          <w:i w:val="false"/>
          <w:i w:val="false"/>
          <w:highlight w:val="yellow"/>
        </w:rPr>
      </w:pPr>
      <w:r>
        <w:rPr>
          <w:i w:val="false"/>
          <w:highlight w:val="yellow"/>
        </w:rPr>
      </w:r>
    </w:p>
    <w:p>
      <w:pPr>
        <w:pStyle w:val="Citation"/>
        <w:rPr/>
      </w:pPr>
      <w:r>
        <w:rPr>
          <w:rStyle w:val="Emphasis"/>
          <w:rFonts w:cs="Arial Narrow" w:ascii="Arial Narrow" w:hAnsi="Arial Narrow"/>
          <w:i w:val="false"/>
          <w:color w:val="000000"/>
          <w:sz w:val="22"/>
          <w:szCs w:val="22"/>
          <w:u w:val="single"/>
        </w:rPr>
        <w:t xml:space="preserve">D – Handicap. </w:t>
      </w:r>
    </w:p>
    <w:p>
      <w:pPr>
        <w:pStyle w:val="Normal"/>
        <w:spacing w:lineRule="auto" w:line="240" w:before="0" w:after="120"/>
        <w:ind w:left="360" w:hanging="0"/>
        <w:jc w:val="both"/>
        <w:rPr>
          <w:rFonts w:cs="Arial"/>
          <w:i w:val="false"/>
          <w:i w:val="false"/>
        </w:rPr>
      </w:pPr>
      <w:r>
        <w:rPr>
          <w:rFonts w:cs="Arial"/>
          <w:i w:val="false"/>
        </w:rPr>
        <w:t xml:space="preserve">La Direction continue son engagement en favorisant l’embauche de travailleurs handicapés et en poursuivant les contrats de sous-traitance avec des centres adaptés tant à Fleurance qu’à Monteils. </w:t>
      </w:r>
    </w:p>
    <w:p>
      <w:pPr>
        <w:pStyle w:val="Normal"/>
        <w:spacing w:lineRule="auto" w:line="240" w:before="0" w:after="120"/>
        <w:ind w:left="360" w:hanging="0"/>
        <w:jc w:val="both"/>
        <w:rPr>
          <w:rFonts w:cs="Arial"/>
          <w:i w:val="false"/>
          <w:i w:val="false"/>
        </w:rPr>
      </w:pPr>
      <w:r>
        <w:rPr>
          <w:rFonts w:cs="Arial"/>
          <w:i w:val="false"/>
        </w:rPr>
        <w:t>Pour 2021, l’obligation d’emploi de travailleurs handicapés était </w:t>
      </w:r>
      <w:r>
        <w:rPr>
          <w:i w:val="false"/>
        </w:rPr>
        <w:t xml:space="preserve">de 16 unités (tout établissement confondus). </w:t>
      </w:r>
    </w:p>
    <w:p>
      <w:pPr>
        <w:pStyle w:val="Sansinterligne"/>
        <w:ind w:left="360" w:hanging="0"/>
        <w:jc w:val="both"/>
        <w:rPr>
          <w:i w:val="false"/>
          <w:i w:val="false"/>
        </w:rPr>
      </w:pPr>
      <w:r>
        <w:rPr>
          <w:i w:val="false"/>
        </w:rPr>
        <w:t>Compte tenu de l’effectif de travailleurs handicapés en CDI, l’emploi de salariés intérimaires et la prestation d’entretien des espaces verts notamment, nous avons répondu à notre obligation.</w:t>
      </w:r>
    </w:p>
    <w:p>
      <w:pPr>
        <w:pStyle w:val="Sansinterligne"/>
        <w:ind w:left="360" w:hanging="0"/>
        <w:jc w:val="both"/>
        <w:rPr>
          <w:i w:val="false"/>
          <w:i w:val="false"/>
        </w:rPr>
      </w:pPr>
      <w:r>
        <w:rPr>
          <w:i w:val="false"/>
        </w:rPr>
      </w:r>
    </w:p>
    <w:p>
      <w:pPr>
        <w:pStyle w:val="Sansinterligne"/>
        <w:ind w:left="360" w:hanging="0"/>
        <w:jc w:val="both"/>
        <w:rPr>
          <w:i w:val="false"/>
          <w:i w:val="false"/>
        </w:rPr>
      </w:pPr>
      <w:r>
        <w:rPr>
          <w:i w:val="false"/>
        </w:rPr>
        <w:t>Nous avons embauché en alternance au cours de l’exercice 2022 1 salarié ayant une reconnaissance de travailleur handicapé.</w:t>
      </w:r>
    </w:p>
    <w:p>
      <w:pPr>
        <w:pStyle w:val="Sansinterligne"/>
        <w:ind w:left="360" w:hanging="0"/>
        <w:jc w:val="both"/>
        <w:rPr>
          <w:i w:val="false"/>
          <w:i w:val="false"/>
        </w:rPr>
      </w:pPr>
      <w:r>
        <w:rPr>
          <w:i w:val="false"/>
        </w:rPr>
        <w:t>Pour maintenir les salariés reconnus travailleurs handicapés, nous avons réalisés 3 adaptations de postes au service administratif.</w:t>
      </w:r>
    </w:p>
    <w:p>
      <w:pPr>
        <w:pStyle w:val="Sansinterligne"/>
        <w:ind w:left="360" w:hanging="0"/>
        <w:jc w:val="both"/>
        <w:rPr>
          <w:i w:val="false"/>
          <w:i w:val="false"/>
        </w:rPr>
      </w:pPr>
      <w:r>
        <w:rPr>
          <w:i w:val="false"/>
        </w:rPr>
      </w:r>
    </w:p>
    <w:p>
      <w:pPr>
        <w:pStyle w:val="Sansinterligne"/>
        <w:ind w:left="360" w:hanging="0"/>
        <w:jc w:val="both"/>
        <w:rPr/>
      </w:pPr>
      <w:r>
        <w:rPr>
          <w:i w:val="false"/>
        </w:rPr>
        <w:t>Lors de la semaine de l’handicap et en partenariat avec CAP EMPLOI nous avons accueilli dans nos locaux des demandeurs d’emploi en situation d’handicap pour leur présenter notre entreprise et nos différents métiers.</w:t>
      </w:r>
    </w:p>
    <w:p>
      <w:pPr>
        <w:pStyle w:val="Sansinterligne"/>
        <w:ind w:left="360" w:hanging="0"/>
        <w:jc w:val="both"/>
        <w:rPr>
          <w:i w:val="false"/>
          <w:i w:val="false"/>
        </w:rPr>
      </w:pPr>
      <w:r>
        <w:rPr>
          <w:i w:val="false"/>
        </w:rPr>
        <w:t>D’ailleurs à l’issue de cette journée nous avons embauché pour une durée déterminée un candidat.</w:t>
      </w:r>
    </w:p>
    <w:p>
      <w:pPr>
        <w:pStyle w:val="Sansinterligne"/>
        <w:ind w:left="360" w:hanging="0"/>
        <w:jc w:val="both"/>
        <w:rPr>
          <w:i w:val="false"/>
          <w:i w:val="false"/>
        </w:rPr>
      </w:pPr>
      <w:r>
        <w:rPr>
          <w:i w:val="false"/>
        </w:rPr>
      </w:r>
    </w:p>
    <w:p>
      <w:pPr>
        <w:pStyle w:val="Normal"/>
        <w:pBdr>
          <w:top w:val="single" w:sz="4" w:space="1" w:color="000000"/>
          <w:left w:val="single" w:sz="4" w:space="4" w:color="000000"/>
          <w:bottom w:val="single" w:sz="4" w:space="1" w:color="000000"/>
          <w:right w:val="single" w:sz="4" w:space="4" w:color="000000"/>
        </w:pBdr>
        <w:jc w:val="both"/>
        <w:rPr/>
      </w:pPr>
      <w:r>
        <w:rPr>
          <w:rFonts w:cs="Arial"/>
          <w:b/>
          <w:bCs/>
          <w:i w:val="false"/>
          <w:smallCaps/>
          <w:sz w:val="28"/>
          <w:szCs w:val="28"/>
        </w:rPr>
        <w:t xml:space="preserve">6 - Les demandes exprimées par les syndicats sont les suivantes : </w:t>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 xml:space="preserve">A - Par le Délégué Syndical FO : </w:t>
      </w:r>
    </w:p>
    <w:p>
      <w:pPr>
        <w:pStyle w:val="Normal"/>
        <w:spacing w:lineRule="auto" w:line="256" w:before="0" w:after="160"/>
        <w:rPr>
          <w:rFonts w:eastAsia="Calibri"/>
          <w:i w:val="false"/>
          <w:i w:val="false"/>
          <w:iCs w:val="false"/>
          <w:sz w:val="22"/>
          <w:szCs w:val="22"/>
          <w:lang w:eastAsia="en-US"/>
        </w:rPr>
      </w:pPr>
      <w:r>
        <w:rPr>
          <w:rFonts w:eastAsia="Calibri"/>
          <w:i w:val="false"/>
          <w:sz w:val="22"/>
          <w:szCs w:val="22"/>
          <w:lang w:val="en-GB" w:eastAsia="en-GB"/>
        </w:rPr>
        <w:drawing>
          <wp:inline distT="0" distB="0" distL="0" distR="0">
            <wp:extent cx="5673090" cy="1755140"/>
            <wp:effectExtent l="0" t="0" r="0" b="0"/>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4"/>
                    <a:srcRect l="-3" t="-7" r="-3" b="-7"/>
                    <a:stretch>
                      <a:fillRect/>
                    </a:stretch>
                  </pic:blipFill>
                  <pic:spPr bwMode="auto">
                    <a:xfrm>
                      <a:off x="0" y="0"/>
                      <a:ext cx="5673090" cy="1755140"/>
                    </a:xfrm>
                    <a:prstGeom prst="rect">
                      <a:avLst/>
                    </a:prstGeom>
                  </pic:spPr>
                </pic:pic>
              </a:graphicData>
            </a:graphic>
          </wp:inline>
        </w:drawing>
      </w:r>
    </w:p>
    <w:p>
      <w:pPr>
        <w:pStyle w:val="Normal"/>
        <w:spacing w:lineRule="auto" w:line="256" w:before="0" w:after="160"/>
        <w:rPr>
          <w:rFonts w:eastAsia="Calibri"/>
          <w:i w:val="false"/>
          <w:i w:val="false"/>
          <w:iCs w:val="false"/>
          <w:sz w:val="22"/>
          <w:szCs w:val="22"/>
          <w:lang w:eastAsia="en-US"/>
        </w:rPr>
      </w:pPr>
      <w:r>
        <w:rPr>
          <w:rFonts w:eastAsia="Calibri"/>
          <w:i w:val="false"/>
          <w:sz w:val="22"/>
          <w:szCs w:val="22"/>
          <w:lang w:val="en-GB" w:eastAsia="en-GB"/>
        </w:rPr>
        <w:drawing>
          <wp:inline distT="0" distB="0" distL="0" distR="0">
            <wp:extent cx="5715635" cy="1945005"/>
            <wp:effectExtent l="0" t="0" r="0" b="0"/>
            <wp:docPr id="9"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 descr=""/>
                    <pic:cNvPicPr>
                      <a:picLocks noChangeAspect="1" noChangeArrowheads="1"/>
                    </pic:cNvPicPr>
                  </pic:nvPicPr>
                  <pic:blipFill>
                    <a:blip r:embed="rId5"/>
                    <a:srcRect l="-3" t="-7" r="-3" b="-7"/>
                    <a:stretch>
                      <a:fillRect/>
                    </a:stretch>
                  </pic:blipFill>
                  <pic:spPr bwMode="auto">
                    <a:xfrm>
                      <a:off x="0" y="0"/>
                      <a:ext cx="5715635" cy="1945005"/>
                    </a:xfrm>
                    <a:prstGeom prst="rect">
                      <a:avLst/>
                    </a:prstGeom>
                  </pic:spPr>
                </pic:pic>
              </a:graphicData>
            </a:graphic>
          </wp:inline>
        </w:drawing>
      </w:r>
    </w:p>
    <w:p>
      <w:pPr>
        <w:pStyle w:val="Normal"/>
        <w:spacing w:lineRule="auto" w:line="256" w:before="0" w:after="160"/>
        <w:rPr>
          <w:rFonts w:eastAsia="Calibri"/>
          <w:i w:val="false"/>
          <w:i w:val="false"/>
          <w:iCs w:val="false"/>
          <w:sz w:val="22"/>
          <w:szCs w:val="22"/>
          <w:lang w:eastAsia="en-US"/>
        </w:rPr>
      </w:pPr>
      <w:r>
        <w:rPr>
          <w:rFonts w:eastAsia="Calibri"/>
          <w:i w:val="false"/>
          <w:sz w:val="22"/>
          <w:szCs w:val="22"/>
          <w:lang w:val="en-GB" w:eastAsia="en-GB"/>
        </w:rPr>
        <w:drawing>
          <wp:inline distT="0" distB="0" distL="0" distR="0">
            <wp:extent cx="5624195" cy="1908175"/>
            <wp:effectExtent l="0" t="0" r="0" b="0"/>
            <wp:docPr id="10"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3" descr=""/>
                    <pic:cNvPicPr>
                      <a:picLocks noChangeAspect="1" noChangeArrowheads="1"/>
                    </pic:cNvPicPr>
                  </pic:nvPicPr>
                  <pic:blipFill>
                    <a:blip r:embed="rId6"/>
                    <a:srcRect l="-3" t="-5" r="-3" b="-5"/>
                    <a:stretch>
                      <a:fillRect/>
                    </a:stretch>
                  </pic:blipFill>
                  <pic:spPr bwMode="auto">
                    <a:xfrm>
                      <a:off x="0" y="0"/>
                      <a:ext cx="5624195" cy="1908175"/>
                    </a:xfrm>
                    <a:prstGeom prst="rect">
                      <a:avLst/>
                    </a:prstGeom>
                  </pic:spPr>
                </pic:pic>
              </a:graphicData>
            </a:graphic>
          </wp:inline>
        </w:drawing>
      </w:r>
    </w:p>
    <w:p>
      <w:pPr>
        <w:pStyle w:val="Normal"/>
        <w:spacing w:lineRule="auto" w:line="256" w:before="0" w:after="160"/>
        <w:rPr>
          <w:rFonts w:eastAsia="Calibri"/>
          <w:i w:val="false"/>
          <w:i w:val="false"/>
          <w:iCs w:val="false"/>
          <w:sz w:val="22"/>
          <w:szCs w:val="22"/>
          <w:lang w:eastAsia="en-US"/>
        </w:rPr>
      </w:pPr>
      <w:r>
        <w:rPr>
          <w:rFonts w:eastAsia="Calibri"/>
          <w:i w:val="false"/>
          <w:sz w:val="22"/>
          <w:szCs w:val="22"/>
          <w:lang w:val="en-GB" w:eastAsia="en-GB"/>
        </w:rPr>
        <w:drawing>
          <wp:inline distT="0" distB="0" distL="0" distR="0">
            <wp:extent cx="5508625" cy="1793875"/>
            <wp:effectExtent l="0" t="0" r="0" b="0"/>
            <wp:docPr id="11"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4" descr=""/>
                    <pic:cNvPicPr>
                      <a:picLocks noChangeAspect="1" noChangeArrowheads="1"/>
                    </pic:cNvPicPr>
                  </pic:nvPicPr>
                  <pic:blipFill>
                    <a:blip r:embed="rId7"/>
                    <a:srcRect l="-3" t="-7" r="-3" b="-7"/>
                    <a:stretch>
                      <a:fillRect/>
                    </a:stretch>
                  </pic:blipFill>
                  <pic:spPr bwMode="auto">
                    <a:xfrm>
                      <a:off x="0" y="0"/>
                      <a:ext cx="5508625" cy="1793875"/>
                    </a:xfrm>
                    <a:prstGeom prst="rect">
                      <a:avLst/>
                    </a:prstGeom>
                  </pic:spPr>
                </pic:pic>
              </a:graphicData>
            </a:graphic>
          </wp:inline>
        </w:drawing>
      </w:r>
    </w:p>
    <w:p>
      <w:pPr>
        <w:pStyle w:val="Normal"/>
        <w:spacing w:lineRule="auto" w:line="256" w:before="0" w:after="160"/>
        <w:rPr>
          <w:rFonts w:eastAsia="Calibri"/>
          <w:i w:val="false"/>
          <w:i w:val="false"/>
          <w:iCs w:val="false"/>
          <w:sz w:val="22"/>
          <w:szCs w:val="22"/>
          <w:lang w:eastAsia="en-US"/>
        </w:rPr>
      </w:pPr>
      <w:r>
        <w:rPr>
          <w:rFonts w:eastAsia="Calibri"/>
          <w:i w:val="false"/>
          <w:sz w:val="22"/>
          <w:szCs w:val="22"/>
          <w:lang w:val="en-GB" w:eastAsia="en-GB"/>
        </w:rPr>
        <w:drawing>
          <wp:inline distT="0" distB="0" distL="0" distR="0">
            <wp:extent cx="5558155" cy="1448435"/>
            <wp:effectExtent l="0" t="0" r="0" b="0"/>
            <wp:docPr id="12"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5" descr=""/>
                    <pic:cNvPicPr>
                      <a:picLocks noChangeAspect="1" noChangeArrowheads="1"/>
                    </pic:cNvPicPr>
                  </pic:nvPicPr>
                  <pic:blipFill>
                    <a:blip r:embed="rId8"/>
                    <a:srcRect l="-3" t="-10" r="-3" b="-10"/>
                    <a:stretch>
                      <a:fillRect/>
                    </a:stretch>
                  </pic:blipFill>
                  <pic:spPr bwMode="auto">
                    <a:xfrm>
                      <a:off x="0" y="0"/>
                      <a:ext cx="5558155" cy="1448435"/>
                    </a:xfrm>
                    <a:prstGeom prst="rect">
                      <a:avLst/>
                    </a:prstGeom>
                  </pic:spPr>
                </pic:pic>
              </a:graphicData>
            </a:graphic>
          </wp:inline>
        </w:drawing>
      </w:r>
    </w:p>
    <w:p>
      <w:pPr>
        <w:pStyle w:val="Normal"/>
        <w:spacing w:lineRule="auto" w:line="256" w:before="0" w:after="160"/>
        <w:rPr>
          <w:rFonts w:eastAsia="Calibri"/>
          <w:i w:val="false"/>
          <w:i w:val="false"/>
          <w:iCs w:val="false"/>
          <w:sz w:val="22"/>
          <w:szCs w:val="22"/>
          <w:lang w:eastAsia="en-US"/>
        </w:rPr>
      </w:pPr>
      <w:r>
        <w:rPr>
          <w:rFonts w:eastAsia="Calibri"/>
          <w:i w:val="false"/>
          <w:sz w:val="22"/>
          <w:szCs w:val="22"/>
          <w:lang w:val="en-GB" w:eastAsia="en-GB"/>
        </w:rPr>
        <w:drawing>
          <wp:inline distT="0" distB="0" distL="0" distR="0">
            <wp:extent cx="5668010" cy="2390775"/>
            <wp:effectExtent l="0" t="0" r="0" b="0"/>
            <wp:docPr id="13"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6" descr=""/>
                    <pic:cNvPicPr>
                      <a:picLocks noChangeAspect="1" noChangeArrowheads="1"/>
                    </pic:cNvPicPr>
                  </pic:nvPicPr>
                  <pic:blipFill>
                    <a:blip r:embed="rId9"/>
                    <a:srcRect l="-3" t="-5" r="-3" b="-5"/>
                    <a:stretch>
                      <a:fillRect/>
                    </a:stretch>
                  </pic:blipFill>
                  <pic:spPr bwMode="auto">
                    <a:xfrm>
                      <a:off x="0" y="0"/>
                      <a:ext cx="5668010" cy="2390775"/>
                    </a:xfrm>
                    <a:prstGeom prst="rect">
                      <a:avLst/>
                    </a:prstGeom>
                  </pic:spPr>
                </pic:pic>
              </a:graphicData>
            </a:graphic>
          </wp:inline>
        </w:drawing>
      </w:r>
    </w:p>
    <w:p>
      <w:pPr>
        <w:pStyle w:val="Normal"/>
        <w:spacing w:lineRule="auto" w:line="256" w:before="0" w:after="160"/>
        <w:rPr>
          <w:rFonts w:eastAsia="Calibri"/>
          <w:i w:val="false"/>
          <w:i w:val="false"/>
          <w:iCs w:val="false"/>
          <w:sz w:val="22"/>
          <w:szCs w:val="22"/>
          <w:lang w:eastAsia="en-US"/>
        </w:rPr>
      </w:pPr>
      <w:r>
        <w:rPr>
          <w:rFonts w:eastAsia="Calibri"/>
          <w:i w:val="false"/>
          <w:sz w:val="22"/>
          <w:szCs w:val="22"/>
          <w:lang w:val="en-GB" w:eastAsia="en-GB"/>
        </w:rPr>
        <w:drawing>
          <wp:inline distT="0" distB="0" distL="0" distR="0">
            <wp:extent cx="5831205" cy="1997075"/>
            <wp:effectExtent l="0" t="0" r="0" b="0"/>
            <wp:docPr id="14"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7" descr=""/>
                    <pic:cNvPicPr>
                      <a:picLocks noChangeAspect="1" noChangeArrowheads="1"/>
                    </pic:cNvPicPr>
                  </pic:nvPicPr>
                  <pic:blipFill>
                    <a:blip r:embed="rId10"/>
                    <a:srcRect l="-3" t="-5" r="-3" b="-5"/>
                    <a:stretch>
                      <a:fillRect/>
                    </a:stretch>
                  </pic:blipFill>
                  <pic:spPr bwMode="auto">
                    <a:xfrm>
                      <a:off x="0" y="0"/>
                      <a:ext cx="5831205" cy="1997075"/>
                    </a:xfrm>
                    <a:prstGeom prst="rect">
                      <a:avLst/>
                    </a:prstGeom>
                  </pic:spPr>
                </pic:pic>
              </a:graphicData>
            </a:graphic>
          </wp:inline>
        </w:drawing>
      </w:r>
    </w:p>
    <w:p>
      <w:pPr>
        <w:pStyle w:val="Citation"/>
        <w:rPr>
          <w:rStyle w:val="Emphasis"/>
          <w:rFonts w:ascii="Calibri" w:hAnsi="Calibri" w:cs="Arial"/>
          <w:i w:val="false"/>
          <w:i w:val="false"/>
          <w:color w:val="000000"/>
          <w:sz w:val="22"/>
          <w:szCs w:val="22"/>
          <w:u w:val="single"/>
        </w:rPr>
      </w:pPr>
      <w:r>
        <w:rPr>
          <w:rStyle w:val="Emphasis"/>
          <w:rFonts w:cs="Arial"/>
          <w:i w:val="false"/>
          <w:color w:val="000000"/>
          <w:sz w:val="22"/>
          <w:szCs w:val="22"/>
          <w:u w:val="single"/>
        </w:rPr>
        <w:t xml:space="preserve">B - Par le Délégué Syndical CGT : </w:t>
      </w:r>
    </w:p>
    <w:p>
      <w:pPr>
        <w:pStyle w:val="Normal"/>
        <w:rPr>
          <w:lang w:val="en-GB" w:eastAsia="en-GB"/>
        </w:rPr>
      </w:pPr>
      <w:r>
        <w:rPr>
          <w:lang w:val="en-GB" w:eastAsia="en-GB"/>
        </w:rPr>
        <w:drawing>
          <wp:inline distT="0" distB="0" distL="0" distR="0">
            <wp:extent cx="5758180" cy="2560320"/>
            <wp:effectExtent l="0" t="0" r="0" b="0"/>
            <wp:docPr id="1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
                    <pic:cNvPicPr>
                      <a:picLocks noChangeAspect="1" noChangeArrowheads="1"/>
                    </pic:cNvPicPr>
                  </pic:nvPicPr>
                  <pic:blipFill>
                    <a:blip r:embed="rId11"/>
                    <a:srcRect l="-3" t="-7" r="-3" b="-7"/>
                    <a:stretch>
                      <a:fillRect/>
                    </a:stretch>
                  </pic:blipFill>
                  <pic:spPr bwMode="auto">
                    <a:xfrm>
                      <a:off x="0" y="0"/>
                      <a:ext cx="5758180" cy="2560320"/>
                    </a:xfrm>
                    <a:prstGeom prst="rect">
                      <a:avLst/>
                    </a:prstGeom>
                  </pic:spPr>
                </pic:pic>
              </a:graphicData>
            </a:graphic>
          </wp:inline>
        </w:drawing>
      </w:r>
    </w:p>
    <w:p>
      <w:pPr>
        <w:pStyle w:val="Normal"/>
        <w:pBdr>
          <w:top w:val="single" w:sz="4" w:space="1" w:color="000000"/>
          <w:left w:val="single" w:sz="4" w:space="4" w:color="000000"/>
          <w:bottom w:val="single" w:sz="4" w:space="1" w:color="000000"/>
          <w:right w:val="single" w:sz="4" w:space="4" w:color="000000"/>
        </w:pBdr>
        <w:jc w:val="center"/>
        <w:rPr>
          <w:b/>
          <w:b/>
          <w:bCs/>
          <w:i w:val="false"/>
          <w:i w:val="false"/>
          <w:iCs w:val="false"/>
          <w:sz w:val="22"/>
          <w:szCs w:val="22"/>
        </w:rPr>
      </w:pPr>
      <w:r>
        <w:rPr>
          <w:b/>
          <w:bCs/>
          <w:i w:val="false"/>
          <w:iCs w:val="false"/>
          <w:sz w:val="22"/>
          <w:szCs w:val="22"/>
        </w:rPr>
        <w:t>Négociations et réponses de la DIRECTION :</w:t>
      </w:r>
    </w:p>
    <w:p>
      <w:pPr>
        <w:pStyle w:val="Normal"/>
        <w:rPr>
          <w:b/>
          <w:b/>
          <w:bCs/>
          <w:i w:val="false"/>
          <w:i w:val="false"/>
          <w:iCs w:val="false"/>
          <w:sz w:val="22"/>
          <w:szCs w:val="22"/>
          <w:u w:val="single"/>
        </w:rPr>
      </w:pPr>
      <w:r>
        <w:rPr>
          <w:b/>
          <w:bCs/>
          <w:i w:val="false"/>
          <w:iCs w:val="false"/>
          <w:sz w:val="22"/>
          <w:szCs w:val="22"/>
          <w:u w:val="single"/>
        </w:rPr>
        <w:t>FO :</w:t>
      </w:r>
    </w:p>
    <w:p>
      <w:pPr>
        <w:pStyle w:val="Sansinterligne"/>
        <w:jc w:val="both"/>
        <w:rPr>
          <w:i w:val="false"/>
          <w:i w:val="false"/>
          <w:iCs w:val="false"/>
        </w:rPr>
      </w:pPr>
      <w:r>
        <w:rPr>
          <w:b/>
          <w:bCs/>
          <w:i w:val="false"/>
          <w:iCs w:val="false"/>
          <w:sz w:val="22"/>
          <w:szCs w:val="22"/>
        </w:rPr>
        <w:t xml:space="preserve">1 </w:t>
      </w:r>
      <w:r>
        <w:rPr>
          <w:i w:val="false"/>
          <w:iCs w:val="false"/>
        </w:rPr>
        <w:t xml:space="preserve">– </w:t>
      </w:r>
      <w:r>
        <w:rPr>
          <w:i w:val="false"/>
          <w:iCs w:val="false"/>
          <w:u w:val="single"/>
        </w:rPr>
        <w:t>Rappel de la mesure</w:t>
      </w:r>
      <w:r>
        <w:rPr>
          <w:i w:val="false"/>
          <w:iCs w:val="false"/>
        </w:rPr>
        <w:t xml:space="preserve"> : </w:t>
      </w:r>
      <w:r>
        <w:rPr>
          <w:b/>
          <w:bCs/>
          <w:i w:val="false"/>
          <w:iCs w:val="false"/>
        </w:rPr>
        <w:t>Paiement de la carence pour le 1</w:t>
      </w:r>
      <w:r>
        <w:rPr>
          <w:b/>
          <w:bCs/>
          <w:i w:val="false"/>
          <w:iCs w:val="false"/>
          <w:vertAlign w:val="superscript"/>
        </w:rPr>
        <w:t>er</w:t>
      </w:r>
      <w:r>
        <w:rPr>
          <w:b/>
          <w:bCs/>
          <w:i w:val="false"/>
          <w:iCs w:val="false"/>
        </w:rPr>
        <w:t xml:space="preserve"> arrêt au cours de l’année civile.</w:t>
      </w:r>
    </w:p>
    <w:p>
      <w:pPr>
        <w:pStyle w:val="Sansinterligne"/>
        <w:jc w:val="both"/>
        <w:rPr>
          <w:i w:val="false"/>
          <w:i w:val="false"/>
          <w:iCs w:val="false"/>
        </w:rPr>
      </w:pPr>
      <w:r>
        <w:rPr>
          <w:i w:val="false"/>
          <w:iCs w:val="false"/>
        </w:rPr>
        <w:t>Cette mesure avait été mise en place pour tenter de limiter les petits arrêts de travail. Elle s’applique depuis plusieurs années. Il est décidé de rendre cette mesure définitive pour les arrêts à compter de janvier 2023. Elle s’appréciera sur l’année civile.</w:t>
      </w:r>
    </w:p>
    <w:p>
      <w:pPr>
        <w:pStyle w:val="Sansinterligne"/>
        <w:jc w:val="both"/>
        <w:rPr>
          <w:i w:val="false"/>
          <w:i w:val="false"/>
          <w:iCs w:val="false"/>
        </w:rPr>
      </w:pPr>
      <w:r>
        <w:rPr>
          <w:i w:val="false"/>
          <w:iCs w:val="false"/>
        </w:rPr>
      </w:r>
    </w:p>
    <w:p>
      <w:pPr>
        <w:pStyle w:val="Sansinterligne"/>
        <w:jc w:val="both"/>
        <w:rPr>
          <w:i w:val="false"/>
          <w:i w:val="false"/>
          <w:iCs w:val="false"/>
        </w:rPr>
      </w:pPr>
      <w:r>
        <w:rPr>
          <w:b/>
          <w:bCs/>
          <w:i w:val="false"/>
          <w:iCs w:val="false"/>
          <w:sz w:val="22"/>
          <w:szCs w:val="22"/>
        </w:rPr>
        <w:t>2</w:t>
      </w:r>
      <w:r>
        <w:rPr>
          <w:i w:val="false"/>
          <w:iCs w:val="false"/>
        </w:rPr>
        <w:t xml:space="preserve"> – Egalité H/F : échange sur document remis. Volonté affichée de la Direction de « féminiser » certains métiers. Il a été notamment embauché :</w:t>
      </w:r>
    </w:p>
    <w:p>
      <w:pPr>
        <w:pStyle w:val="Sansinterligne"/>
        <w:numPr>
          <w:ilvl w:val="0"/>
          <w:numId w:val="5"/>
        </w:numPr>
        <w:jc w:val="both"/>
        <w:rPr/>
      </w:pPr>
      <w:r>
        <w:rPr>
          <w:i w:val="false"/>
          <w:iCs w:val="false"/>
        </w:rPr>
        <w:t>Une opératrice en production à Fleurance</w:t>
      </w:r>
    </w:p>
    <w:p>
      <w:pPr>
        <w:pStyle w:val="Sansinterligne"/>
        <w:numPr>
          <w:ilvl w:val="0"/>
          <w:numId w:val="5"/>
        </w:numPr>
        <w:jc w:val="both"/>
        <w:rPr>
          <w:i w:val="false"/>
          <w:i w:val="false"/>
          <w:iCs w:val="false"/>
        </w:rPr>
      </w:pPr>
      <w:r>
        <w:rPr>
          <w:i w:val="false"/>
          <w:iCs w:val="false"/>
        </w:rPr>
        <w:t xml:space="preserve">Une conductrice de travaux en alternance </w:t>
      </w:r>
    </w:p>
    <w:p>
      <w:pPr>
        <w:pStyle w:val="Sansinterligne"/>
        <w:jc w:val="both"/>
        <w:rPr>
          <w:i w:val="false"/>
          <w:i w:val="false"/>
          <w:iCs w:val="false"/>
        </w:rPr>
      </w:pPr>
      <w:r>
        <w:rPr>
          <w:i w:val="false"/>
          <w:iCs w:val="false"/>
        </w:rPr>
      </w:r>
    </w:p>
    <w:p>
      <w:pPr>
        <w:pStyle w:val="Sansinterligne"/>
        <w:jc w:val="both"/>
        <w:rPr>
          <w:i w:val="false"/>
          <w:i w:val="false"/>
          <w:iCs w:val="false"/>
        </w:rPr>
      </w:pPr>
      <w:r>
        <w:rPr>
          <w:b/>
          <w:bCs/>
          <w:i w:val="false"/>
          <w:iCs w:val="false"/>
          <w:sz w:val="22"/>
          <w:szCs w:val="22"/>
        </w:rPr>
        <w:t>3</w:t>
      </w:r>
      <w:r>
        <w:rPr>
          <w:i w:val="false"/>
          <w:iCs w:val="false"/>
        </w:rPr>
        <w:t xml:space="preserve"> – Handicap : échange sur document remis. La journée du handicap a permis l’embauche en intérim dans notre entreprise un demandeur d’emploi présent à la journée du handicap.</w:t>
      </w:r>
    </w:p>
    <w:p>
      <w:pPr>
        <w:pStyle w:val="Sansinterligne"/>
        <w:jc w:val="both"/>
        <w:rPr>
          <w:i w:val="false"/>
          <w:i w:val="false"/>
          <w:iCs w:val="false"/>
        </w:rPr>
      </w:pPr>
      <w:r>
        <w:rPr>
          <w:i w:val="false"/>
          <w:iCs w:val="false"/>
        </w:rPr>
      </w:r>
    </w:p>
    <w:p>
      <w:pPr>
        <w:pStyle w:val="Sansinterligne"/>
        <w:jc w:val="both"/>
        <w:rPr>
          <w:i w:val="false"/>
          <w:i w:val="false"/>
          <w:iCs w:val="false"/>
        </w:rPr>
      </w:pPr>
      <w:r>
        <w:rPr>
          <w:b/>
          <w:bCs/>
          <w:i w:val="false"/>
          <w:iCs w:val="false"/>
          <w:sz w:val="22"/>
          <w:szCs w:val="22"/>
        </w:rPr>
        <w:t xml:space="preserve">4 </w:t>
      </w:r>
      <w:r>
        <w:rPr>
          <w:i w:val="false"/>
          <w:iCs w:val="false"/>
        </w:rPr>
        <w:t>– Nbre de RTT 2023 : 12 jours.</w:t>
      </w:r>
    </w:p>
    <w:p>
      <w:pPr>
        <w:pStyle w:val="Sansinterligne"/>
        <w:jc w:val="both"/>
        <w:rPr>
          <w:i w:val="false"/>
          <w:i w:val="false"/>
          <w:iCs w:val="false"/>
        </w:rPr>
      </w:pPr>
      <w:r>
        <w:rPr>
          <w:i w:val="false"/>
          <w:iCs w:val="false"/>
        </w:rPr>
      </w:r>
    </w:p>
    <w:p>
      <w:pPr>
        <w:pStyle w:val="Sansinterligne"/>
        <w:jc w:val="both"/>
        <w:rPr>
          <w:i w:val="false"/>
          <w:i w:val="false"/>
          <w:iCs w:val="false"/>
        </w:rPr>
      </w:pPr>
      <w:r>
        <w:rPr>
          <w:b/>
          <w:bCs/>
          <w:i w:val="false"/>
          <w:iCs w:val="false"/>
          <w:sz w:val="22"/>
          <w:szCs w:val="22"/>
        </w:rPr>
        <w:t>5</w:t>
      </w:r>
      <w:r>
        <w:rPr>
          <w:i w:val="false"/>
          <w:iCs w:val="false"/>
        </w:rPr>
        <w:t xml:space="preserve"> – Revalorisation prime de panier à l’atelier. Cette prime est destinée aux salariés travaillant en équipe (matin ou après-midi). Elle était de 5€ en 2022. Demande de revalorisation à 6€. La Direction y est favorable.</w:t>
      </w:r>
    </w:p>
    <w:p>
      <w:pPr>
        <w:pStyle w:val="Sansinterligne"/>
        <w:jc w:val="both"/>
        <w:rPr>
          <w:i w:val="false"/>
          <w:i w:val="false"/>
          <w:iCs w:val="false"/>
        </w:rPr>
      </w:pPr>
      <w:r>
        <w:rPr>
          <w:i w:val="false"/>
          <w:iCs w:val="false"/>
        </w:rPr>
      </w:r>
    </w:p>
    <w:p>
      <w:pPr>
        <w:pStyle w:val="Sansinterligne"/>
        <w:jc w:val="both"/>
        <w:rPr>
          <w:i w:val="false"/>
          <w:i w:val="false"/>
          <w:iCs w:val="false"/>
        </w:rPr>
      </w:pPr>
      <w:r>
        <w:rPr>
          <w:b/>
          <w:bCs/>
          <w:i w:val="false"/>
          <w:iCs w:val="false"/>
          <w:sz w:val="22"/>
          <w:szCs w:val="22"/>
        </w:rPr>
        <w:t>6</w:t>
      </w:r>
      <w:r>
        <w:rPr>
          <w:i w:val="false"/>
          <w:iCs w:val="false"/>
        </w:rPr>
        <w:t xml:space="preserve"> – Frais de déplacement. Demande de revalorisation du forfait déplacement en métropole pour nos équipes de monteurs à hauteur de 110€ pour les grands déplacements et de +10% pour les petits déplacements (indemnité km). La Direction est favorable à une revalorisation pour ces 2 types d’indemnisation.</w:t>
      </w:r>
    </w:p>
    <w:p>
      <w:pPr>
        <w:pStyle w:val="Sansinterligne"/>
        <w:jc w:val="both"/>
        <w:rPr>
          <w:i w:val="false"/>
          <w:i w:val="false"/>
          <w:iCs w:val="false"/>
        </w:rPr>
      </w:pPr>
      <w:r>
        <w:rPr>
          <w:i w:val="false"/>
          <w:iCs w:val="false"/>
        </w:rPr>
      </w:r>
    </w:p>
    <w:p>
      <w:pPr>
        <w:pStyle w:val="Sansinterligne"/>
        <w:jc w:val="both"/>
        <w:rPr>
          <w:i w:val="false"/>
          <w:i w:val="false"/>
          <w:iCs w:val="false"/>
        </w:rPr>
      </w:pPr>
      <w:r>
        <w:rPr>
          <w:b/>
          <w:bCs/>
          <w:i w:val="false"/>
          <w:iCs w:val="false"/>
          <w:sz w:val="22"/>
          <w:szCs w:val="22"/>
        </w:rPr>
        <w:t>7</w:t>
      </w:r>
      <w:r>
        <w:rPr>
          <w:i w:val="false"/>
          <w:iCs w:val="false"/>
        </w:rPr>
        <w:t xml:space="preserve"> – Remboursement frais de repas. Pour les salariés non soumis au forfait grand déplacement, les frais engendrées par un déplacement ponctuel sont remboursés aux frais réels sous présentations des justificatifs. Le remboursement des frais de repas (hors invitation) est plafonné à 21€ pour 2022. Demande de revalorisation de ce montant. Compte tenu de l’augmentation des prix au restaurant, la Direction est favorable à revoir ce plafond. </w:t>
      </w:r>
    </w:p>
    <w:p>
      <w:pPr>
        <w:pStyle w:val="Sansinterligne"/>
        <w:jc w:val="both"/>
        <w:rPr>
          <w:i w:val="false"/>
          <w:i w:val="false"/>
          <w:iCs w:val="false"/>
        </w:rPr>
      </w:pPr>
      <w:r>
        <w:rPr>
          <w:i w:val="false"/>
          <w:iCs w:val="false"/>
        </w:rPr>
      </w:r>
    </w:p>
    <w:p>
      <w:pPr>
        <w:pStyle w:val="Sansinterligne"/>
        <w:jc w:val="both"/>
        <w:rPr>
          <w:i w:val="false"/>
          <w:i w:val="false"/>
          <w:iCs w:val="false"/>
        </w:rPr>
      </w:pPr>
      <w:r>
        <w:rPr>
          <w:i w:val="false"/>
          <w:iCs w:val="false"/>
        </w:rPr>
      </w:r>
    </w:p>
    <w:p>
      <w:pPr>
        <w:pStyle w:val="Sansinterligne"/>
        <w:jc w:val="both"/>
        <w:rPr/>
      </w:pPr>
      <w:r>
        <w:rPr>
          <w:b/>
          <w:bCs/>
          <w:i w:val="false"/>
          <w:iCs w:val="false"/>
          <w:sz w:val="22"/>
          <w:szCs w:val="22"/>
        </w:rPr>
        <w:t>8</w:t>
      </w:r>
      <w:r>
        <w:rPr>
          <w:i w:val="false"/>
          <w:iCs w:val="false"/>
        </w:rPr>
        <w:t xml:space="preserve"> – Au regard de l’inflation de 6% à ce jour, demande d’une revalorisation de l’ensemble des salaires à hauteur de 7%. Au regard des augmentations accordées sur les frais de déplacements et les paniers, de l’augmentation des coûts des matières premières, la Direction ne peut répondre favorablement à hauteur de cette demande. Néanmoins elle est bien consciente des difficultés qu’on les salariés à subvenir à leurs besoins primaires (de loger, se nourrir, se chauffer..) elle propose d’accorder une augmentation générale de 3% avec 1% de plus sur les plus bas salaires.</w:t>
      </w:r>
    </w:p>
    <w:p>
      <w:pPr>
        <w:pStyle w:val="Sansinterligne"/>
        <w:jc w:val="both"/>
        <w:rPr>
          <w:i w:val="false"/>
          <w:i w:val="false"/>
          <w:iCs w:val="false"/>
        </w:rPr>
      </w:pPr>
      <w:r>
        <w:rPr>
          <w:i w:val="false"/>
          <w:iCs w:val="false"/>
        </w:rPr>
      </w:r>
    </w:p>
    <w:p>
      <w:pPr>
        <w:pStyle w:val="Sansinterligne"/>
        <w:jc w:val="both"/>
        <w:rPr>
          <w:i w:val="false"/>
          <w:i w:val="false"/>
          <w:iCs w:val="false"/>
        </w:rPr>
      </w:pPr>
      <w:r>
        <w:rPr>
          <w:b/>
          <w:bCs/>
          <w:i w:val="false"/>
          <w:iCs w:val="false"/>
          <w:sz w:val="22"/>
          <w:szCs w:val="22"/>
        </w:rPr>
        <w:t>9</w:t>
      </w:r>
      <w:r>
        <w:rPr>
          <w:i w:val="false"/>
          <w:iCs w:val="false"/>
        </w:rPr>
        <w:t xml:space="preserve"> – Une prime de partage de la valeur est attribuée à tous les salariés, selon les conditions définies dans la décision unilatérale qui sera signée en fin d’année.</w:t>
      </w:r>
    </w:p>
    <w:p>
      <w:pPr>
        <w:pStyle w:val="Sansinterligne"/>
        <w:jc w:val="both"/>
        <w:rPr>
          <w:i w:val="false"/>
          <w:i w:val="false"/>
          <w:iCs w:val="false"/>
        </w:rPr>
      </w:pPr>
      <w:r>
        <w:rPr>
          <w:i w:val="false"/>
          <w:iCs w:val="false"/>
        </w:rPr>
      </w:r>
    </w:p>
    <w:p>
      <w:pPr>
        <w:pStyle w:val="Sansinterligne"/>
        <w:jc w:val="both"/>
        <w:rPr>
          <w:i w:val="false"/>
          <w:i w:val="false"/>
          <w:iCs w:val="false"/>
        </w:rPr>
      </w:pPr>
      <w:bookmarkStart w:id="4" w:name="_Hlk90476982"/>
      <w:bookmarkEnd w:id="4"/>
      <w:r>
        <w:rPr>
          <w:b/>
          <w:bCs/>
          <w:i w:val="false"/>
          <w:iCs w:val="false"/>
          <w:sz w:val="22"/>
          <w:szCs w:val="22"/>
        </w:rPr>
        <w:t>10</w:t>
      </w:r>
      <w:r>
        <w:rPr>
          <w:i w:val="false"/>
          <w:iCs w:val="false"/>
        </w:rPr>
        <w:t xml:space="preserve"> – Depuis le 1</w:t>
      </w:r>
      <w:r>
        <w:rPr>
          <w:i w:val="false"/>
          <w:iCs w:val="false"/>
          <w:vertAlign w:val="superscript"/>
        </w:rPr>
        <w:t>er</w:t>
      </w:r>
      <w:r>
        <w:rPr>
          <w:i w:val="false"/>
          <w:iCs w:val="false"/>
        </w:rPr>
        <w:t xml:space="preserve"> janvier 2022 une charte instaurant 1 jour de télétravail par semaine pour ceux qui le peuvent est en place. Après 1 an de mise en application, la Direction ne souhaite pas augmenter ce nombre de jour.</w:t>
      </w:r>
    </w:p>
    <w:p>
      <w:pPr>
        <w:pStyle w:val="Sansinterligne"/>
        <w:jc w:val="both"/>
        <w:rPr>
          <w:i w:val="false"/>
          <w:i w:val="false"/>
          <w:iCs w:val="false"/>
        </w:rPr>
      </w:pPr>
      <w:bookmarkStart w:id="5" w:name="_Hlk90476982"/>
      <w:bookmarkStart w:id="6" w:name="_Hlk90476982"/>
      <w:bookmarkEnd w:id="6"/>
      <w:r>
        <w:rPr>
          <w:i w:val="false"/>
          <w:iCs w:val="false"/>
        </w:rPr>
      </w:r>
    </w:p>
    <w:p>
      <w:pPr>
        <w:pStyle w:val="Sansinterligne"/>
        <w:jc w:val="both"/>
        <w:rPr/>
      </w:pPr>
      <w:r>
        <w:rPr>
          <w:b/>
          <w:bCs/>
          <w:i w:val="false"/>
          <w:iCs w:val="false"/>
          <w:sz w:val="22"/>
          <w:szCs w:val="22"/>
        </w:rPr>
        <w:t>11</w:t>
      </w:r>
      <w:r>
        <w:rPr>
          <w:i w:val="false"/>
          <w:iCs w:val="false"/>
        </w:rPr>
        <w:t xml:space="preserve"> – Accord d’intéressement : Un projet d’accord est en cours au niveau du Groupe. On ne fera pas un accord « Castel et Fromaget », nous attendons la finalisation au niveau groupe de ce projet.</w:t>
      </w:r>
    </w:p>
    <w:p>
      <w:pPr>
        <w:pStyle w:val="Sansinterligne"/>
        <w:jc w:val="both"/>
        <w:rPr>
          <w:i w:val="false"/>
          <w:i w:val="false"/>
          <w:iCs w:val="false"/>
        </w:rPr>
      </w:pPr>
      <w:r>
        <w:rPr>
          <w:i w:val="false"/>
          <w:iCs w:val="false"/>
        </w:rPr>
      </w:r>
    </w:p>
    <w:p>
      <w:pPr>
        <w:pStyle w:val="Sansinterligne"/>
        <w:jc w:val="both"/>
        <w:rPr>
          <w:i w:val="false"/>
          <w:i w:val="false"/>
          <w:iCs w:val="false"/>
        </w:rPr>
      </w:pPr>
      <w:r>
        <w:rPr>
          <w:rFonts w:eastAsia="Calibri" w:cs="Calibri"/>
          <w:i w:val="false"/>
          <w:iCs w:val="false"/>
        </w:rPr>
        <w:t xml:space="preserve"> </w:t>
      </w:r>
      <w:r>
        <w:rPr>
          <w:b/>
          <w:bCs/>
          <w:i w:val="false"/>
          <w:iCs w:val="false"/>
          <w:sz w:val="22"/>
          <w:szCs w:val="22"/>
        </w:rPr>
        <w:t>12</w:t>
      </w:r>
      <w:r>
        <w:rPr>
          <w:i w:val="false"/>
          <w:iCs w:val="false"/>
        </w:rPr>
        <w:t xml:space="preserve"> – La nouvelle convention de la métallurgie aura à compter du 1</w:t>
      </w:r>
      <w:r>
        <w:rPr>
          <w:i w:val="false"/>
          <w:iCs w:val="false"/>
          <w:vertAlign w:val="superscript"/>
        </w:rPr>
        <w:t>er</w:t>
      </w:r>
      <w:r>
        <w:rPr>
          <w:i w:val="false"/>
          <w:iCs w:val="false"/>
        </w:rPr>
        <w:t xml:space="preserve"> janvier 2023 un impact sur la répartition des taux de cotisations. Cet impact n’est pas encore connu à ce jour. Face à cette incertitude la Direction ne souhaite pas modifier la répartition actuelle de la cotisation mutuelle. </w:t>
      </w:r>
    </w:p>
    <w:p>
      <w:pPr>
        <w:pStyle w:val="Sansinterligne"/>
        <w:jc w:val="both"/>
        <w:rPr>
          <w:i w:val="false"/>
          <w:i w:val="false"/>
          <w:iCs w:val="false"/>
        </w:rPr>
      </w:pPr>
      <w:r>
        <w:rPr>
          <w:rFonts w:eastAsia="Calibri" w:cs="Calibri"/>
          <w:i w:val="false"/>
          <w:iCs w:val="false"/>
        </w:rPr>
        <w:t xml:space="preserve">  </w:t>
      </w:r>
    </w:p>
    <w:p>
      <w:pPr>
        <w:pStyle w:val="Sansinterligne"/>
        <w:jc w:val="both"/>
        <w:rPr>
          <w:i w:val="false"/>
          <w:i w:val="false"/>
          <w:iCs w:val="false"/>
        </w:rPr>
      </w:pPr>
      <w:r>
        <w:rPr>
          <w:b/>
          <w:bCs/>
          <w:i w:val="false"/>
          <w:iCs w:val="false"/>
          <w:sz w:val="22"/>
          <w:szCs w:val="22"/>
        </w:rPr>
        <w:t>13</w:t>
      </w:r>
      <w:r>
        <w:rPr>
          <w:i w:val="false"/>
          <w:iCs w:val="false"/>
        </w:rPr>
        <w:t xml:space="preserve"> – Tenue vestimentaire – Il ne s’agit pas d’une question NAO. Un code vestimentaire sera établi avec les partenaires sociaux pour le personnel travaillant dans les bureaux.</w:t>
      </w:r>
    </w:p>
    <w:p>
      <w:pPr>
        <w:pStyle w:val="Sansinterligne"/>
        <w:jc w:val="both"/>
        <w:rPr>
          <w:i w:val="false"/>
          <w:i w:val="false"/>
          <w:iCs w:val="false"/>
        </w:rPr>
      </w:pPr>
      <w:r>
        <w:rPr>
          <w:i w:val="false"/>
          <w:iCs w:val="false"/>
        </w:rPr>
      </w:r>
    </w:p>
    <w:p>
      <w:pPr>
        <w:pStyle w:val="Sansinterligne"/>
        <w:jc w:val="both"/>
        <w:rPr>
          <w:i w:val="false"/>
          <w:i w:val="false"/>
          <w:iCs w:val="false"/>
        </w:rPr>
      </w:pPr>
      <w:r>
        <w:rPr>
          <w:b/>
          <w:bCs/>
          <w:i w:val="false"/>
          <w:iCs w:val="false"/>
          <w:sz w:val="22"/>
          <w:szCs w:val="22"/>
        </w:rPr>
        <w:t>14</w:t>
      </w:r>
      <w:r>
        <w:rPr>
          <w:i w:val="false"/>
          <w:iCs w:val="false"/>
        </w:rPr>
        <w:t xml:space="preserve"> – Paiement des 3 jours pour enfant malade. La Direction entend accorder ces 3 jours mais non rémunérés comme le prévoit la convention collective.</w:t>
      </w:r>
    </w:p>
    <w:p>
      <w:pPr>
        <w:pStyle w:val="Sansinterligne"/>
        <w:jc w:val="both"/>
        <w:rPr>
          <w:i w:val="false"/>
          <w:i w:val="false"/>
          <w:iCs w:val="false"/>
        </w:rPr>
      </w:pPr>
      <w:r>
        <w:rPr>
          <w:i w:val="false"/>
          <w:iCs w:val="false"/>
        </w:rPr>
      </w:r>
    </w:p>
    <w:p>
      <w:pPr>
        <w:pStyle w:val="Sansinterligne"/>
        <w:jc w:val="both"/>
        <w:rPr>
          <w:i w:val="false"/>
          <w:i w:val="false"/>
          <w:iCs w:val="false"/>
        </w:rPr>
      </w:pPr>
      <w:r>
        <w:rPr>
          <w:i w:val="false"/>
          <w:iCs w:val="false"/>
        </w:rPr>
      </w:r>
    </w:p>
    <w:p>
      <w:pPr>
        <w:pStyle w:val="Sansinterligne"/>
        <w:jc w:val="both"/>
        <w:rPr>
          <w:i w:val="false"/>
          <w:i w:val="false"/>
          <w:iCs w:val="false"/>
        </w:rPr>
      </w:pPr>
      <w:r>
        <w:rPr>
          <w:i w:val="false"/>
          <w:iCs w:val="false"/>
        </w:rPr>
      </w:r>
    </w:p>
    <w:p>
      <w:pPr>
        <w:pStyle w:val="Normal"/>
        <w:rPr>
          <w:b/>
          <w:b/>
          <w:bCs/>
          <w:i w:val="false"/>
          <w:i w:val="false"/>
          <w:iCs w:val="false"/>
          <w:sz w:val="22"/>
          <w:szCs w:val="22"/>
          <w:u w:val="single"/>
        </w:rPr>
      </w:pPr>
      <w:r>
        <w:rPr>
          <w:b/>
          <w:bCs/>
          <w:i w:val="false"/>
          <w:iCs w:val="false"/>
          <w:sz w:val="22"/>
          <w:szCs w:val="22"/>
          <w:u w:val="single"/>
        </w:rPr>
        <w:t>CGT :</w:t>
      </w:r>
    </w:p>
    <w:p>
      <w:pPr>
        <w:pStyle w:val="Sansinterligne"/>
        <w:jc w:val="both"/>
        <w:rPr>
          <w:i w:val="false"/>
          <w:i w:val="false"/>
          <w:iCs w:val="false"/>
        </w:rPr>
      </w:pPr>
      <w:bookmarkStart w:id="7" w:name="_Hlk90485991"/>
      <w:bookmarkEnd w:id="7"/>
      <w:r>
        <w:rPr>
          <w:b/>
          <w:bCs/>
          <w:i w:val="false"/>
          <w:iCs w:val="false"/>
          <w:sz w:val="22"/>
          <w:szCs w:val="22"/>
        </w:rPr>
        <w:t>1</w:t>
      </w:r>
      <w:r>
        <w:rPr>
          <w:i w:val="false"/>
          <w:iCs w:val="false"/>
        </w:rPr>
        <w:t xml:space="preserve"> – Voir réponse précédente.</w:t>
      </w:r>
    </w:p>
    <w:p>
      <w:pPr>
        <w:pStyle w:val="Sansinterligne"/>
        <w:jc w:val="both"/>
        <w:rPr>
          <w:b/>
          <w:b/>
          <w:bCs/>
          <w:i w:val="false"/>
          <w:i w:val="false"/>
          <w:iCs w:val="false"/>
          <w:sz w:val="22"/>
          <w:szCs w:val="22"/>
        </w:rPr>
      </w:pPr>
      <w:bookmarkStart w:id="8" w:name="_Hlk90485991"/>
      <w:bookmarkStart w:id="9" w:name="_Hlk90485991"/>
      <w:bookmarkEnd w:id="9"/>
      <w:r>
        <w:rPr>
          <w:b/>
          <w:bCs/>
          <w:i w:val="false"/>
          <w:iCs w:val="false"/>
          <w:sz w:val="22"/>
          <w:szCs w:val="22"/>
        </w:rPr>
      </w:r>
    </w:p>
    <w:p>
      <w:pPr>
        <w:pStyle w:val="Sansinterligne"/>
        <w:jc w:val="both"/>
        <w:rPr>
          <w:i w:val="false"/>
          <w:i w:val="false"/>
          <w:iCs w:val="false"/>
        </w:rPr>
      </w:pPr>
      <w:r>
        <w:rPr>
          <w:b/>
          <w:bCs/>
          <w:i w:val="false"/>
          <w:iCs w:val="false"/>
          <w:sz w:val="22"/>
          <w:szCs w:val="22"/>
        </w:rPr>
        <w:t>2</w:t>
      </w:r>
      <w:r>
        <w:rPr>
          <w:i w:val="false"/>
          <w:iCs w:val="false"/>
        </w:rPr>
        <w:t xml:space="preserve"> – La Direction n’est pas favorable à la mise en place d’un 13éme mois.</w:t>
      </w:r>
    </w:p>
    <w:p>
      <w:pPr>
        <w:pStyle w:val="Sansinterligne"/>
        <w:jc w:val="both"/>
        <w:rPr>
          <w:i w:val="false"/>
          <w:i w:val="false"/>
          <w:iCs w:val="false"/>
        </w:rPr>
      </w:pPr>
      <w:r>
        <w:rPr>
          <w:i w:val="false"/>
          <w:iCs w:val="false"/>
        </w:rPr>
      </w:r>
    </w:p>
    <w:p>
      <w:pPr>
        <w:pStyle w:val="Sansinterligne"/>
        <w:jc w:val="both"/>
        <w:rPr/>
      </w:pPr>
      <w:r>
        <w:rPr>
          <w:b/>
          <w:bCs/>
          <w:i w:val="false"/>
          <w:iCs w:val="false"/>
          <w:sz w:val="22"/>
          <w:szCs w:val="22"/>
        </w:rPr>
        <w:t>3</w:t>
      </w:r>
      <w:r>
        <w:rPr>
          <w:i w:val="false"/>
          <w:iCs w:val="false"/>
        </w:rPr>
        <w:t xml:space="preserve"> – Validation / Voir réponse précédente</w:t>
      </w:r>
    </w:p>
    <w:p>
      <w:pPr>
        <w:pStyle w:val="Sansinterligne"/>
        <w:jc w:val="both"/>
        <w:rPr>
          <w:i w:val="false"/>
          <w:i w:val="false"/>
          <w:iCs w:val="false"/>
        </w:rPr>
      </w:pPr>
      <w:r>
        <w:rPr>
          <w:i w:val="false"/>
          <w:iCs w:val="false"/>
        </w:rPr>
      </w:r>
    </w:p>
    <w:p>
      <w:pPr>
        <w:pStyle w:val="Sansinterligne"/>
        <w:jc w:val="both"/>
        <w:rPr>
          <w:i w:val="false"/>
          <w:i w:val="false"/>
          <w:iCs w:val="false"/>
        </w:rPr>
      </w:pPr>
      <w:r>
        <w:rPr>
          <w:b/>
          <w:bCs/>
          <w:i w:val="false"/>
          <w:iCs w:val="false"/>
          <w:sz w:val="22"/>
          <w:szCs w:val="22"/>
        </w:rPr>
        <w:t>4</w:t>
      </w:r>
      <w:r>
        <w:rPr>
          <w:i w:val="false"/>
          <w:iCs w:val="false"/>
        </w:rPr>
        <w:t xml:space="preserve"> – La Direction n’est pas favorable à la mise en place des tickets restaurants.</w:t>
      </w:r>
    </w:p>
    <w:p>
      <w:pPr>
        <w:pStyle w:val="Sansinterligne"/>
        <w:jc w:val="both"/>
        <w:rPr>
          <w:i w:val="false"/>
          <w:i w:val="false"/>
          <w:iCs w:val="false"/>
        </w:rPr>
      </w:pPr>
      <w:r>
        <w:rPr>
          <w:i w:val="false"/>
          <w:iCs w:val="false"/>
        </w:rPr>
      </w:r>
    </w:p>
    <w:p>
      <w:pPr>
        <w:pStyle w:val="Sansinterligne"/>
        <w:jc w:val="both"/>
        <w:rPr>
          <w:i w:val="false"/>
          <w:i w:val="false"/>
          <w:iCs w:val="false"/>
        </w:rPr>
      </w:pPr>
      <w:r>
        <w:rPr>
          <w:b/>
          <w:bCs/>
          <w:i w:val="false"/>
          <w:iCs w:val="false"/>
          <w:sz w:val="22"/>
          <w:szCs w:val="22"/>
        </w:rPr>
        <w:t>5</w:t>
      </w:r>
      <w:r>
        <w:rPr>
          <w:i w:val="false"/>
          <w:iCs w:val="false"/>
        </w:rPr>
        <w:t xml:space="preserve"> – Validation / Voir réponse précédente.</w:t>
      </w:r>
    </w:p>
    <w:p>
      <w:pPr>
        <w:pStyle w:val="Sansinterligne"/>
        <w:jc w:val="both"/>
        <w:rPr>
          <w:i w:val="false"/>
          <w:i w:val="false"/>
          <w:iCs w:val="false"/>
        </w:rPr>
      </w:pPr>
      <w:r>
        <w:rPr>
          <w:i w:val="false"/>
          <w:iCs w:val="false"/>
        </w:rPr>
      </w:r>
    </w:p>
    <w:p>
      <w:pPr>
        <w:pStyle w:val="Sansinterligne"/>
        <w:jc w:val="both"/>
        <w:rPr>
          <w:i w:val="false"/>
          <w:i w:val="false"/>
          <w:iCs w:val="false"/>
        </w:rPr>
      </w:pPr>
      <w:r>
        <w:rPr>
          <w:i w:val="false"/>
          <w:iCs w:val="false"/>
        </w:rPr>
      </w:r>
    </w:p>
    <w:p>
      <w:pPr>
        <w:pStyle w:val="Sansinterligne"/>
        <w:jc w:val="both"/>
        <w:rPr>
          <w:i w:val="false"/>
          <w:i w:val="false"/>
          <w:iCs w:val="false"/>
        </w:rPr>
      </w:pPr>
      <w:r>
        <w:rPr>
          <w:i w:val="false"/>
          <w:iCs w:val="false"/>
        </w:rPr>
      </w:r>
    </w:p>
    <w:p>
      <w:pPr>
        <w:pStyle w:val="Normal"/>
        <w:jc w:val="both"/>
        <w:rPr>
          <w:i w:val="false"/>
          <w:i w:val="false"/>
          <w:iCs w:val="false"/>
        </w:rPr>
      </w:pPr>
      <w:r>
        <w:rPr>
          <w:i w:val="false"/>
          <w:iCs w:val="false"/>
        </w:rPr>
      </w:r>
    </w:p>
    <w:p>
      <w:pPr>
        <w:pStyle w:val="Normal"/>
        <w:jc w:val="both"/>
        <w:rPr>
          <w:i w:val="false"/>
          <w:i w:val="false"/>
          <w:iCs w:val="false"/>
        </w:rPr>
      </w:pPr>
      <w:r>
        <w:rPr>
          <w:i w:val="false"/>
          <w:iCs w:val="false"/>
        </w:rPr>
      </w:r>
    </w:p>
    <w:p>
      <w:pPr>
        <w:pStyle w:val="Normal"/>
        <w:jc w:val="both"/>
        <w:rPr>
          <w:i w:val="false"/>
          <w:i w:val="false"/>
          <w:iCs w:val="false"/>
        </w:rPr>
      </w:pPr>
      <w:r>
        <w:rPr>
          <w:i w:val="false"/>
          <w:iCs w:val="false"/>
        </w:rPr>
      </w:r>
    </w:p>
    <w:p>
      <w:pPr>
        <w:pStyle w:val="Normal"/>
        <w:jc w:val="both"/>
        <w:rPr>
          <w:i w:val="false"/>
          <w:i w:val="false"/>
          <w:iCs w:val="false"/>
        </w:rPr>
      </w:pPr>
      <w:r>
        <w:rPr>
          <w:i w:val="false"/>
          <w:iCs w:val="false"/>
        </w:rPr>
      </w:r>
    </w:p>
    <w:p>
      <w:pPr>
        <w:pStyle w:val="Normal"/>
        <w:jc w:val="both"/>
        <w:rPr>
          <w:i w:val="false"/>
          <w:i w:val="false"/>
          <w:iCs w:val="false"/>
        </w:rPr>
      </w:pPr>
      <w:r>
        <w:rPr>
          <w:i w:val="false"/>
          <w:iCs w:val="false"/>
        </w:rPr>
      </w:r>
    </w:p>
    <w:p>
      <w:pPr>
        <w:pStyle w:val="Normal"/>
        <w:pBdr>
          <w:top w:val="single" w:sz="4" w:space="1" w:color="000000"/>
          <w:left w:val="single" w:sz="4" w:space="4" w:color="000000"/>
          <w:bottom w:val="single" w:sz="4" w:space="1" w:color="000000"/>
          <w:right w:val="single" w:sz="4" w:space="4" w:color="000000"/>
        </w:pBdr>
        <w:jc w:val="center"/>
        <w:rPr>
          <w:rFonts w:cs="Arial"/>
          <w:b/>
          <w:b/>
          <w:bCs/>
          <w:i w:val="false"/>
          <w:i w:val="false"/>
          <w:color w:val="0000FF"/>
          <w:sz w:val="36"/>
          <w:szCs w:val="36"/>
        </w:rPr>
      </w:pPr>
      <w:r>
        <w:rPr>
          <w:rFonts w:cs="Arial"/>
          <w:b/>
          <w:bCs/>
          <w:i w:val="false"/>
          <w:color w:val="0000FF"/>
          <w:sz w:val="36"/>
          <w:szCs w:val="36"/>
        </w:rPr>
        <w:t>PROTOCOLE D’ACCORD</w:t>
      </w:r>
    </w:p>
    <w:p>
      <w:pPr>
        <w:pStyle w:val="Sansinterligne"/>
        <w:rPr>
          <w:rFonts w:cs="Arial"/>
          <w:b/>
          <w:b/>
          <w:bCs/>
          <w:i w:val="false"/>
          <w:i w:val="false"/>
          <w:color w:val="0000FF"/>
          <w:sz w:val="36"/>
          <w:szCs w:val="36"/>
        </w:rPr>
      </w:pPr>
      <w:r>
        <w:rPr>
          <w:rFonts w:cs="Arial"/>
          <w:b/>
          <w:bCs/>
          <w:i w:val="false"/>
          <w:color w:val="0000FF"/>
          <w:sz w:val="36"/>
          <w:szCs w:val="36"/>
        </w:rPr>
      </w:r>
    </w:p>
    <w:p>
      <w:pPr>
        <w:pStyle w:val="Normal"/>
        <w:jc w:val="both"/>
        <w:rPr>
          <w:rFonts w:cs="Arial"/>
          <w:i w:val="false"/>
          <w:i w:val="false"/>
        </w:rPr>
      </w:pPr>
      <w:r>
        <w:rPr>
          <w:rFonts w:cs="Arial"/>
          <w:i w:val="false"/>
        </w:rPr>
        <w:t xml:space="preserve">A l’issue des réunions de négociations il a été convenu un accord entre : </w:t>
      </w:r>
    </w:p>
    <w:p>
      <w:pPr>
        <w:pStyle w:val="Normal"/>
        <w:numPr>
          <w:ilvl w:val="0"/>
          <w:numId w:val="8"/>
        </w:numPr>
        <w:jc w:val="both"/>
        <w:rPr>
          <w:rFonts w:cs="Arial"/>
          <w:i w:val="false"/>
          <w:i w:val="false"/>
        </w:rPr>
      </w:pPr>
      <w:r>
        <w:rPr>
          <w:rFonts w:cs="Arial"/>
          <w:i w:val="false"/>
        </w:rPr>
        <w:t xml:space="preserve">la société CASTEL &amp; FROMAGET </w:t>
      </w:r>
    </w:p>
    <w:p>
      <w:pPr>
        <w:pStyle w:val="Normal"/>
        <w:numPr>
          <w:ilvl w:val="0"/>
          <w:numId w:val="8"/>
        </w:numPr>
        <w:jc w:val="both"/>
        <w:rPr>
          <w:rFonts w:cs="Arial"/>
          <w:i w:val="false"/>
          <w:i w:val="false"/>
        </w:rPr>
      </w:pPr>
      <w:r>
        <w:rPr>
          <w:rFonts w:cs="Arial"/>
          <w:i w:val="false"/>
        </w:rPr>
        <w:t>les Organisations Syndicales, Délégué Syndical FO et Délégué Syndical CGT</w:t>
      </w:r>
    </w:p>
    <w:p>
      <w:pPr>
        <w:pStyle w:val="Normal"/>
        <w:jc w:val="both"/>
        <w:rPr/>
      </w:pPr>
      <w:r>
        <w:rPr>
          <w:rFonts w:cs="Arial"/>
          <w:b/>
          <w:bCs/>
          <w:i w:val="false"/>
          <w:color w:val="0000FF"/>
          <w:sz w:val="24"/>
          <w:szCs w:val="24"/>
          <w:u w:val="single"/>
        </w:rPr>
        <w:t>ARTICLE 1</w:t>
      </w:r>
      <w:r>
        <w:rPr>
          <w:rFonts w:cs="Arial"/>
          <w:b/>
          <w:bCs/>
          <w:i w:val="false"/>
          <w:color w:val="0000FF"/>
          <w:sz w:val="24"/>
          <w:szCs w:val="24"/>
          <w:u w:val="single"/>
          <w:vertAlign w:val="superscript"/>
        </w:rPr>
        <w:t>er</w:t>
      </w:r>
      <w:r>
        <w:rPr>
          <w:rFonts w:cs="Arial"/>
          <w:b/>
          <w:bCs/>
          <w:i w:val="false"/>
          <w:color w:val="0000FF"/>
          <w:sz w:val="24"/>
          <w:szCs w:val="24"/>
          <w:u w:val="single"/>
        </w:rPr>
        <w:t xml:space="preserve"> – CHAMP D’APPLICATION DE L’ACCORD : </w:t>
      </w:r>
    </w:p>
    <w:p>
      <w:pPr>
        <w:pStyle w:val="Normal"/>
        <w:jc w:val="both"/>
        <w:rPr>
          <w:rFonts w:cs="Arial"/>
          <w:i w:val="false"/>
          <w:i w:val="false"/>
        </w:rPr>
      </w:pPr>
      <w:r>
        <w:rPr>
          <w:rFonts w:cs="Arial"/>
          <w:i w:val="false"/>
        </w:rPr>
        <w:t>Le présent accord s’applique à l’ensemble du personnel permanent travaillant dans l’entreprise CASTEL &amp; FROMAGET selon les dispositions qui suivent.</w:t>
      </w:r>
    </w:p>
    <w:p>
      <w:pPr>
        <w:pStyle w:val="Sansinterligne"/>
        <w:rPr>
          <w:rFonts w:cs="Arial"/>
          <w:i w:val="false"/>
          <w:i w:val="false"/>
        </w:rPr>
      </w:pPr>
      <w:r>
        <w:rPr>
          <w:rFonts w:cs="Arial"/>
          <w:i w:val="false"/>
        </w:rPr>
      </w:r>
    </w:p>
    <w:p>
      <w:pPr>
        <w:pStyle w:val="Normal"/>
        <w:jc w:val="both"/>
        <w:rPr/>
      </w:pPr>
      <w:r>
        <w:rPr>
          <w:rFonts w:cs="Arial"/>
          <w:b/>
          <w:bCs/>
          <w:i w:val="false"/>
          <w:color w:val="0000FF"/>
          <w:sz w:val="24"/>
          <w:szCs w:val="24"/>
          <w:u w:val="single"/>
        </w:rPr>
        <w:t xml:space="preserve">ARTICLE 2 – OBJET DE L’ACCORD : </w:t>
      </w:r>
    </w:p>
    <w:p>
      <w:pPr>
        <w:pStyle w:val="Normal"/>
        <w:jc w:val="both"/>
        <w:rPr>
          <w:rFonts w:cs="Arial"/>
          <w:i w:val="false"/>
          <w:i w:val="false"/>
        </w:rPr>
      </w:pPr>
      <w:r>
        <w:rPr>
          <w:rFonts w:cs="Arial"/>
          <w:i w:val="false"/>
        </w:rPr>
        <w:t xml:space="preserve">Les dispositions sont les suivantes : </w:t>
      </w:r>
    </w:p>
    <w:p>
      <w:pPr>
        <w:pStyle w:val="Normal"/>
        <w:jc w:val="both"/>
        <w:rPr/>
      </w:pPr>
      <w:r>
        <w:rPr>
          <w:rFonts w:cs="Arial"/>
          <w:b/>
          <w:bCs/>
          <w:i w:val="false"/>
        </w:rPr>
        <w:t xml:space="preserve">a) - </w:t>
      </w:r>
      <w:r>
        <w:rPr>
          <w:rFonts w:cs="Arial"/>
          <w:b/>
          <w:bCs/>
          <w:i w:val="false"/>
          <w:u w:val="single"/>
        </w:rPr>
        <w:t>Rémunération et avantages à effet au 1</w:t>
      </w:r>
      <w:r>
        <w:rPr>
          <w:rFonts w:cs="Arial"/>
          <w:b/>
          <w:bCs/>
          <w:i w:val="false"/>
          <w:u w:val="single"/>
          <w:vertAlign w:val="superscript"/>
        </w:rPr>
        <w:t>er</w:t>
      </w:r>
      <w:r>
        <w:rPr>
          <w:rFonts w:cs="Arial"/>
          <w:b/>
          <w:bCs/>
          <w:i w:val="false"/>
          <w:u w:val="single"/>
        </w:rPr>
        <w:t xml:space="preserve"> janvier 2023</w:t>
      </w:r>
      <w:r>
        <w:rPr>
          <w:rFonts w:cs="Arial"/>
          <w:b/>
          <w:bCs/>
          <w:i w:val="false"/>
        </w:rPr>
        <w:t xml:space="preserve"> : </w:t>
      </w:r>
    </w:p>
    <w:p>
      <w:pPr>
        <w:pStyle w:val="Normal"/>
        <w:numPr>
          <w:ilvl w:val="0"/>
          <w:numId w:val="9"/>
        </w:numPr>
        <w:jc w:val="both"/>
        <w:rPr>
          <w:rFonts w:cs="Arial"/>
          <w:i w:val="false"/>
          <w:i w:val="false"/>
        </w:rPr>
      </w:pPr>
      <w:r>
        <w:rPr>
          <w:rFonts w:cs="Arial"/>
          <w:i w:val="false"/>
        </w:rPr>
        <w:t>Une augmentation générale des salaires de base de tous les salariés ayant au moins 3 mois d’ancienneté au 1</w:t>
      </w:r>
      <w:r>
        <w:rPr>
          <w:rFonts w:cs="Arial"/>
          <w:i w:val="false"/>
          <w:vertAlign w:val="superscript"/>
        </w:rPr>
        <w:t>er</w:t>
      </w:r>
      <w:r>
        <w:rPr>
          <w:rFonts w:cs="Arial"/>
          <w:i w:val="false"/>
        </w:rPr>
        <w:t xml:space="preserve"> janvier 2023 de :</w:t>
      </w:r>
    </w:p>
    <w:p>
      <w:pPr>
        <w:pStyle w:val="Normal"/>
        <w:numPr>
          <w:ilvl w:val="2"/>
          <w:numId w:val="9"/>
        </w:numPr>
        <w:jc w:val="both"/>
        <w:rPr>
          <w:rFonts w:cs="Arial"/>
          <w:i w:val="false"/>
          <w:i w:val="false"/>
        </w:rPr>
      </w:pPr>
      <w:r>
        <w:rPr>
          <w:rFonts w:eastAsia="Calibri" w:cs="Calibri"/>
          <w:i w:val="false"/>
        </w:rPr>
        <w:t xml:space="preserve"> </w:t>
      </w:r>
      <w:r>
        <w:rPr>
          <w:rFonts w:cs="Arial"/>
          <w:b/>
          <w:i w:val="false"/>
        </w:rPr>
        <w:t>4 %</w:t>
      </w:r>
      <w:r>
        <w:rPr>
          <w:rFonts w:cs="Arial"/>
          <w:i w:val="false"/>
        </w:rPr>
        <w:t xml:space="preserve"> du salaire de base brut, pour les salariés ayant une rémunération de base &lt; à 1.5 SMIC (soit 2 518.43€).</w:t>
      </w:r>
    </w:p>
    <w:p>
      <w:pPr>
        <w:pStyle w:val="Normal"/>
        <w:numPr>
          <w:ilvl w:val="2"/>
          <w:numId w:val="9"/>
        </w:numPr>
        <w:jc w:val="both"/>
        <w:rPr>
          <w:rFonts w:cs="Arial"/>
          <w:i w:val="false"/>
          <w:i w:val="false"/>
        </w:rPr>
      </w:pPr>
      <w:r>
        <w:rPr>
          <w:rFonts w:cs="Arial"/>
          <w:b/>
          <w:bCs/>
          <w:i w:val="false"/>
        </w:rPr>
        <w:t>3 %</w:t>
      </w:r>
      <w:r>
        <w:rPr>
          <w:rFonts w:cs="Arial"/>
          <w:i w:val="false"/>
        </w:rPr>
        <w:t xml:space="preserve"> du salaire de base brut pour les salariés ayant une rémunération de base &gt; à 1.5 SMIC.</w:t>
      </w:r>
    </w:p>
    <w:p>
      <w:pPr>
        <w:pStyle w:val="Normal"/>
        <w:numPr>
          <w:ilvl w:val="0"/>
          <w:numId w:val="9"/>
        </w:numPr>
        <w:jc w:val="both"/>
        <w:rPr>
          <w:rFonts w:cs="Arial"/>
          <w:i w:val="false"/>
          <w:i w:val="false"/>
        </w:rPr>
      </w:pPr>
      <w:r>
        <w:rPr>
          <w:rFonts w:cs="Arial"/>
          <w:i w:val="false"/>
        </w:rPr>
        <w:t>Une revalorisation des frais de déplacements comme suit :</w:t>
      </w:r>
    </w:p>
    <w:p>
      <w:pPr>
        <w:pStyle w:val="Normal"/>
        <w:numPr>
          <w:ilvl w:val="1"/>
          <w:numId w:val="9"/>
        </w:numPr>
        <w:jc w:val="both"/>
        <w:rPr>
          <w:rFonts w:cs="Arial"/>
          <w:i w:val="false"/>
          <w:i w:val="false"/>
          <w:u w:val="single"/>
        </w:rPr>
      </w:pPr>
      <w:r>
        <w:rPr>
          <w:rFonts w:cs="Arial"/>
          <w:i w:val="false"/>
          <w:u w:val="single"/>
        </w:rPr>
        <w:t>Grands déplacements : L’augmentation sera conforme au barème de l’URSSAF en vigueur en 2023 et sera appliqué à compter de sa date de parution.</w:t>
      </w:r>
    </w:p>
    <w:p>
      <w:pPr>
        <w:pStyle w:val="Sansinterligne"/>
        <w:numPr>
          <w:ilvl w:val="2"/>
          <w:numId w:val="7"/>
        </w:numPr>
        <w:jc w:val="both"/>
        <w:rPr>
          <w:i w:val="false"/>
          <w:i w:val="false"/>
        </w:rPr>
      </w:pPr>
      <w:r>
        <w:rPr>
          <w:i w:val="false"/>
        </w:rPr>
        <w:t>Indemnité forfaitaire (par jour entier) comprenant le logement et petit déjeuner + repas de midi. La saisie de cette indemnisation est effectuée via le logiciel Notilus, soit 94.20€.</w:t>
      </w:r>
    </w:p>
    <w:p>
      <w:pPr>
        <w:pStyle w:val="Sansinterligne"/>
        <w:ind w:left="1800" w:hanging="0"/>
        <w:jc w:val="both"/>
        <w:rPr>
          <w:i w:val="false"/>
          <w:i w:val="false"/>
        </w:rPr>
      </w:pPr>
      <w:r>
        <w:rPr>
          <w:rFonts w:eastAsia="Calibri" w:cs="Calibri"/>
          <w:i w:val="false"/>
        </w:rPr>
        <w:t xml:space="preserve"> </w:t>
      </w:r>
    </w:p>
    <w:p>
      <w:pPr>
        <w:pStyle w:val="Sansinterligne"/>
        <w:numPr>
          <w:ilvl w:val="2"/>
          <w:numId w:val="7"/>
        </w:numPr>
        <w:jc w:val="both"/>
        <w:rPr>
          <w:i w:val="false"/>
          <w:i w:val="false"/>
        </w:rPr>
      </w:pPr>
      <w:r>
        <w:rPr>
          <w:i w:val="false"/>
        </w:rPr>
        <w:t>Indemnité forfaitaire nette de repas également conforme au barème URSSAF 20.20€.</w:t>
      </w:r>
    </w:p>
    <w:p>
      <w:pPr>
        <w:pStyle w:val="Sansinterligne"/>
        <w:ind w:left="2520" w:hanging="0"/>
        <w:jc w:val="both"/>
        <w:rPr>
          <w:i w:val="false"/>
          <w:i w:val="false"/>
        </w:rPr>
      </w:pPr>
      <w:r>
        <w:rPr>
          <w:i w:val="false"/>
        </w:rPr>
      </w:r>
    </w:p>
    <w:p>
      <w:pPr>
        <w:pStyle w:val="Sansinterligne"/>
        <w:numPr>
          <w:ilvl w:val="2"/>
          <w:numId w:val="7"/>
        </w:numPr>
        <w:jc w:val="both"/>
        <w:rPr>
          <w:bCs/>
          <w:i w:val="false"/>
          <w:i w:val="false"/>
        </w:rPr>
      </w:pPr>
      <w:r>
        <w:rPr>
          <w:i w:val="false"/>
        </w:rPr>
        <w:t xml:space="preserve">Une indemnité forfaitaire de trajet/temps de voyage brute (soumis à cotisations) par aller/retour chantier / lieu de rattachement versée sur la paie du mois en cours de </w:t>
      </w:r>
      <w:r>
        <w:rPr>
          <w:b/>
          <w:i w:val="false"/>
        </w:rPr>
        <w:t>58€.</w:t>
      </w:r>
      <w:r>
        <w:rPr>
          <w:bCs/>
          <w:i w:val="false"/>
        </w:rPr>
        <w:t xml:space="preserve">     </w:t>
      </w:r>
    </w:p>
    <w:p>
      <w:pPr>
        <w:pStyle w:val="Normal"/>
        <w:ind w:left="1866" w:hanging="0"/>
        <w:jc w:val="both"/>
        <w:rPr>
          <w:rFonts w:cs="Arial"/>
          <w:bCs/>
          <w:i w:val="false"/>
          <w:i w:val="false"/>
          <w:sz w:val="16"/>
          <w:szCs w:val="16"/>
        </w:rPr>
      </w:pPr>
      <w:r>
        <w:rPr>
          <w:rFonts w:cs="Arial"/>
          <w:bCs/>
          <w:i w:val="false"/>
          <w:sz w:val="16"/>
          <w:szCs w:val="16"/>
        </w:rPr>
      </w:r>
    </w:p>
    <w:p>
      <w:pPr>
        <w:pStyle w:val="Normal"/>
        <w:ind w:left="1866" w:hanging="0"/>
        <w:jc w:val="both"/>
        <w:rPr>
          <w:rFonts w:cs="Arial"/>
          <w:i w:val="false"/>
          <w:i w:val="false"/>
          <w:sz w:val="16"/>
          <w:szCs w:val="16"/>
        </w:rPr>
      </w:pPr>
      <w:r>
        <w:rPr>
          <w:rFonts w:cs="Arial"/>
          <w:i w:val="false"/>
          <w:sz w:val="16"/>
          <w:szCs w:val="16"/>
        </w:rPr>
      </w:r>
    </w:p>
    <w:p>
      <w:pPr>
        <w:pStyle w:val="Normal"/>
        <w:ind w:left="1866" w:hanging="0"/>
        <w:jc w:val="both"/>
        <w:rPr>
          <w:rFonts w:cs="Arial"/>
          <w:i w:val="false"/>
          <w:i w:val="false"/>
          <w:sz w:val="16"/>
          <w:szCs w:val="16"/>
        </w:rPr>
      </w:pPr>
      <w:r>
        <w:rPr>
          <w:rFonts w:cs="Arial"/>
          <w:i w:val="false"/>
          <w:sz w:val="16"/>
          <w:szCs w:val="16"/>
        </w:rPr>
      </w:r>
    </w:p>
    <w:p>
      <w:pPr>
        <w:pStyle w:val="Normal"/>
        <w:numPr>
          <w:ilvl w:val="1"/>
          <w:numId w:val="9"/>
        </w:numPr>
        <w:jc w:val="both"/>
        <w:rPr>
          <w:rFonts w:cs="Arial"/>
          <w:i w:val="false"/>
          <w:i w:val="false"/>
          <w:u w:val="single"/>
        </w:rPr>
      </w:pPr>
      <w:r>
        <w:rPr>
          <w:rFonts w:cs="Arial"/>
          <w:i w:val="false"/>
          <w:u w:val="single"/>
        </w:rPr>
        <w:t>Petits déplacements</w:t>
      </w:r>
    </w:p>
    <w:p>
      <w:pPr>
        <w:pStyle w:val="Normal"/>
        <w:numPr>
          <w:ilvl w:val="2"/>
          <w:numId w:val="7"/>
        </w:numPr>
        <w:jc w:val="both"/>
        <w:rPr>
          <w:rFonts w:cs="Arial"/>
          <w:i w:val="false"/>
          <w:i w:val="false"/>
        </w:rPr>
      </w:pPr>
      <w:r>
        <w:rPr>
          <w:rFonts w:cs="Arial"/>
          <w:i w:val="false"/>
        </w:rPr>
        <w:t xml:space="preserve">Augmentation de la grille de transport de </w:t>
      </w:r>
      <w:r>
        <w:rPr>
          <w:rFonts w:cs="Arial"/>
          <w:b/>
          <w:bCs/>
          <w:i w:val="false"/>
        </w:rPr>
        <w:t>10%</w:t>
      </w:r>
      <w:r>
        <w:rPr>
          <w:rFonts w:cs="Arial"/>
          <w:i w:val="false"/>
        </w:rPr>
        <w:t xml:space="preserve"> à compter du 1</w:t>
      </w:r>
      <w:r>
        <w:rPr>
          <w:rFonts w:cs="Arial"/>
          <w:i w:val="false"/>
          <w:vertAlign w:val="superscript"/>
        </w:rPr>
        <w:t>er</w:t>
      </w:r>
      <w:r>
        <w:rPr>
          <w:rFonts w:cs="Arial"/>
          <w:i w:val="false"/>
        </w:rPr>
        <w:t xml:space="preserve"> janvier 2023.</w:t>
      </w:r>
    </w:p>
    <w:p>
      <w:pPr>
        <w:pStyle w:val="Normal"/>
        <w:numPr>
          <w:ilvl w:val="2"/>
          <w:numId w:val="7"/>
        </w:numPr>
        <w:jc w:val="both"/>
        <w:rPr>
          <w:rFonts w:cs="Arial"/>
          <w:i w:val="false"/>
          <w:i w:val="false"/>
        </w:rPr>
      </w:pPr>
      <w:r>
        <w:rPr>
          <w:rFonts w:cs="Arial"/>
          <w:i w:val="false"/>
        </w:rPr>
        <w:t>Montant du panier : 11€ dont une partie exonérée de cotisations sociales, selon barème URSSAF 2023.</w:t>
      </w:r>
    </w:p>
    <w:p>
      <w:pPr>
        <w:pStyle w:val="Normal"/>
        <w:numPr>
          <w:ilvl w:val="0"/>
          <w:numId w:val="9"/>
        </w:numPr>
        <w:jc w:val="both"/>
        <w:rPr>
          <w:rFonts w:cs="Arial"/>
          <w:i w:val="false"/>
          <w:i w:val="false"/>
        </w:rPr>
      </w:pPr>
      <w:r>
        <w:rPr>
          <w:rFonts w:cs="Arial"/>
          <w:i w:val="false"/>
        </w:rPr>
        <w:t xml:space="preserve">Les salariés contraints de prendre leur repas au restaurant sont remboursés aux frais réels sur présentation de justificatif dans la limite de </w:t>
      </w:r>
      <w:r>
        <w:rPr>
          <w:rFonts w:cs="Arial"/>
          <w:b/>
          <w:bCs/>
          <w:i w:val="false"/>
        </w:rPr>
        <w:t xml:space="preserve">23€ </w:t>
      </w:r>
      <w:r>
        <w:rPr>
          <w:rFonts w:cs="Arial"/>
          <w:i w:val="false"/>
        </w:rPr>
        <w:t>(+ 10% par rapport à 2023).</w:t>
      </w:r>
    </w:p>
    <w:p>
      <w:pPr>
        <w:pStyle w:val="Normal"/>
        <w:numPr>
          <w:ilvl w:val="0"/>
          <w:numId w:val="9"/>
        </w:numPr>
        <w:jc w:val="both"/>
        <w:rPr>
          <w:rFonts w:cs="Arial"/>
          <w:i w:val="false"/>
          <w:i w:val="false"/>
        </w:rPr>
      </w:pPr>
      <w:r>
        <w:rPr>
          <w:rFonts w:cs="Arial"/>
          <w:i w:val="false"/>
        </w:rPr>
        <w:t xml:space="preserve">Augmentation de la prime de panier pour les opérateurs des ateliers qui travaillent en équipe alternée (matin et après-midi) : </w:t>
      </w:r>
      <w:r>
        <w:rPr>
          <w:rFonts w:cs="Arial"/>
          <w:b/>
          <w:bCs/>
          <w:i w:val="false"/>
        </w:rPr>
        <w:t>6€</w:t>
      </w:r>
      <w:r>
        <w:rPr>
          <w:rFonts w:cs="Arial"/>
          <w:b/>
          <w:bCs/>
          <w:i w:val="false"/>
          <w:color w:val="FF0000"/>
        </w:rPr>
        <w:t xml:space="preserve"> </w:t>
      </w:r>
      <w:r>
        <w:rPr>
          <w:rFonts w:cs="Arial"/>
          <w:i w:val="false"/>
        </w:rPr>
        <w:t>net par jour. (+20% par rapport à 2022).</w:t>
      </w:r>
    </w:p>
    <w:p>
      <w:pPr>
        <w:pStyle w:val="Normal"/>
        <w:jc w:val="both"/>
        <w:rPr>
          <w:rFonts w:cs="Arial"/>
          <w:b/>
          <w:b/>
          <w:bCs/>
          <w:i w:val="false"/>
          <w:i w:val="false"/>
          <w:iCs w:val="false"/>
        </w:rPr>
      </w:pPr>
      <w:r>
        <w:rPr>
          <w:rFonts w:cs="Arial"/>
          <w:b/>
          <w:bCs/>
          <w:i w:val="false"/>
        </w:rPr>
        <w:t xml:space="preserve">b) - </w:t>
      </w:r>
      <w:r>
        <w:rPr>
          <w:rFonts w:cs="Arial"/>
          <w:b/>
          <w:bCs/>
          <w:i w:val="false"/>
          <w:iCs w:val="false"/>
          <w:u w:val="single"/>
        </w:rPr>
        <w:t>Arrêts de travail pour maladie</w:t>
      </w:r>
      <w:r>
        <w:rPr>
          <w:rFonts w:cs="Arial"/>
          <w:b/>
          <w:bCs/>
          <w:i w:val="false"/>
          <w:iCs w:val="false"/>
        </w:rPr>
        <w:t xml:space="preserve"> : </w:t>
      </w:r>
    </w:p>
    <w:p>
      <w:pPr>
        <w:pStyle w:val="Normal"/>
        <w:jc w:val="both"/>
        <w:rPr>
          <w:rFonts w:cs="Arial"/>
          <w:bCs/>
          <w:i w:val="false"/>
          <w:i w:val="false"/>
          <w:iCs w:val="false"/>
        </w:rPr>
      </w:pPr>
      <w:r>
        <w:rPr>
          <w:rFonts w:cs="Arial"/>
          <w:bCs/>
          <w:i w:val="false"/>
          <w:iCs w:val="false"/>
        </w:rPr>
        <w:t>Mise en application définitive de la mesure suivante :</w:t>
      </w:r>
    </w:p>
    <w:p>
      <w:pPr>
        <w:pStyle w:val="Normal"/>
        <w:numPr>
          <w:ilvl w:val="0"/>
          <w:numId w:val="5"/>
        </w:numPr>
        <w:jc w:val="both"/>
        <w:rPr>
          <w:rFonts w:cs="Arial"/>
          <w:i w:val="false"/>
          <w:i w:val="false"/>
          <w:iCs w:val="false"/>
        </w:rPr>
      </w:pPr>
      <w:r>
        <w:rPr>
          <w:rFonts w:cs="Arial"/>
          <w:bCs/>
          <w:i w:val="false"/>
          <w:iCs w:val="false"/>
        </w:rPr>
        <w:t>P</w:t>
      </w:r>
      <w:r>
        <w:rPr>
          <w:rFonts w:cs="Arial"/>
          <w:i w:val="false"/>
          <w:iCs w:val="false"/>
        </w:rPr>
        <w:t xml:space="preserve">aiement par la société des 3 jours de carence sur présentation d’un avis d’arrêt de travail établi par un médecin ou un établissement hospitalier pour </w:t>
      </w:r>
      <w:r>
        <w:rPr>
          <w:rFonts w:cs="Arial"/>
          <w:i w:val="false"/>
          <w:iCs w:val="false"/>
          <w:u w:val="single"/>
        </w:rPr>
        <w:t>le 1</w:t>
      </w:r>
      <w:r>
        <w:rPr>
          <w:rFonts w:cs="Arial"/>
          <w:i w:val="false"/>
          <w:iCs w:val="false"/>
          <w:u w:val="single"/>
          <w:vertAlign w:val="superscript"/>
        </w:rPr>
        <w:t>er</w:t>
      </w:r>
      <w:r>
        <w:rPr>
          <w:rFonts w:cs="Arial"/>
          <w:i w:val="false"/>
          <w:iCs w:val="false"/>
          <w:u w:val="single"/>
        </w:rPr>
        <w:t xml:space="preserve"> arrêt uniquement</w:t>
      </w:r>
      <w:r>
        <w:rPr>
          <w:rFonts w:cs="Arial"/>
          <w:i w:val="false"/>
          <w:iCs w:val="false"/>
        </w:rPr>
        <w:t xml:space="preserve">. Cette mesure s’entend sur l’année civile. </w:t>
      </w:r>
    </w:p>
    <w:p>
      <w:pPr>
        <w:pStyle w:val="Normal"/>
        <w:jc w:val="both"/>
        <w:rPr>
          <w:rFonts w:cs="Arial"/>
          <w:b/>
          <w:b/>
          <w:bCs/>
          <w:i w:val="false"/>
          <w:i w:val="false"/>
          <w:color w:val="0000FF"/>
          <w:sz w:val="24"/>
          <w:szCs w:val="24"/>
          <w:u w:val="single"/>
        </w:rPr>
      </w:pPr>
      <w:r>
        <w:rPr>
          <w:rFonts w:cs="Arial"/>
          <w:b/>
          <w:bCs/>
          <w:i w:val="false"/>
          <w:color w:val="0000FF"/>
          <w:sz w:val="24"/>
          <w:szCs w:val="24"/>
          <w:u w:val="single"/>
        </w:rPr>
        <w:t xml:space="preserve">ARTICLE 3 – DUREE DE L’ACCORD : </w:t>
      </w:r>
    </w:p>
    <w:p>
      <w:pPr>
        <w:pStyle w:val="Normal"/>
        <w:jc w:val="both"/>
        <w:rPr>
          <w:i w:val="false"/>
          <w:i w:val="false"/>
        </w:rPr>
      </w:pPr>
      <w:r>
        <w:rPr>
          <w:i w:val="false"/>
        </w:rPr>
        <w:t>Le présent accord est conclu pour une durée déterminée correspondant à l’année 2023 (1</w:t>
      </w:r>
      <w:r>
        <w:rPr>
          <w:i w:val="false"/>
          <w:vertAlign w:val="superscript"/>
        </w:rPr>
        <w:t>er</w:t>
      </w:r>
      <w:r>
        <w:rPr>
          <w:i w:val="false"/>
        </w:rPr>
        <w:t xml:space="preserve"> janvier au 31 décembre 2023).</w:t>
      </w:r>
    </w:p>
    <w:p>
      <w:pPr>
        <w:pStyle w:val="Normal"/>
        <w:jc w:val="both"/>
        <w:rPr>
          <w:rFonts w:cs="Arial"/>
          <w:b/>
          <w:b/>
          <w:bCs/>
          <w:i w:val="false"/>
          <w:i w:val="false"/>
          <w:color w:val="0000FF"/>
          <w:sz w:val="24"/>
          <w:szCs w:val="24"/>
          <w:u w:val="single"/>
        </w:rPr>
      </w:pPr>
      <w:r>
        <w:rPr>
          <w:rFonts w:cs="Arial"/>
          <w:b/>
          <w:bCs/>
          <w:i w:val="false"/>
          <w:color w:val="0000FF"/>
          <w:sz w:val="24"/>
          <w:szCs w:val="24"/>
          <w:u w:val="single"/>
        </w:rPr>
        <w:t>ARTICLE 4 – PUBLICITE DE L’ACCORD :</w:t>
      </w:r>
    </w:p>
    <w:p>
      <w:pPr>
        <w:pStyle w:val="Normal"/>
        <w:jc w:val="both"/>
        <w:rPr/>
      </w:pPr>
      <w:r>
        <w:rPr>
          <w:rFonts w:cs="Arial"/>
          <w:i w:val="false"/>
        </w:rPr>
        <w:t>Le présent accord est établi en nombre suffisant d’exemplaires pour remise à chacune des parties signataires.</w:t>
      </w:r>
    </w:p>
    <w:p>
      <w:pPr>
        <w:pStyle w:val="Normal"/>
        <w:jc w:val="both"/>
        <w:rPr/>
      </w:pPr>
      <w:r>
        <w:rPr>
          <w:rFonts w:cs="Arial"/>
          <w:i w:val="false"/>
        </w:rPr>
        <w:t xml:space="preserve">Il fera l’objet d’un dépôt dématérialisé, par l’employeur, dans les conditions règlementaires en vigueur. </w:t>
      </w:r>
    </w:p>
    <w:p>
      <w:pPr>
        <w:pStyle w:val="Normal"/>
        <w:jc w:val="both"/>
        <w:rPr>
          <w:rFonts w:cs="Arial"/>
          <w:i w:val="false"/>
          <w:i w:val="false"/>
        </w:rPr>
      </w:pPr>
      <w:r>
        <w:rPr>
          <w:rFonts w:cs="Arial"/>
          <w:i w:val="false"/>
        </w:rPr>
        <w:t>Fait à FLEURANCE, le 3 janvier 2023</w:t>
      </w:r>
    </w:p>
    <w:p>
      <w:pPr>
        <w:pStyle w:val="Sansinterligne"/>
        <w:rPr>
          <w:i w:val="false"/>
          <w:i w:val="false"/>
        </w:rPr>
      </w:pPr>
      <w:r>
        <w:rPr>
          <w:i w:val="false"/>
        </w:rPr>
        <w:t xml:space="preserve">Pour l’entreprise CASTEL &amp; FROMAGET, </w:t>
        <w:tab/>
      </w:r>
    </w:p>
    <w:p>
      <w:pPr>
        <w:pStyle w:val="Sansinterligne"/>
        <w:rPr>
          <w:i w:val="false"/>
          <w:i w:val="false"/>
        </w:rPr>
      </w:pPr>
      <w:r>
        <w:rPr>
          <w:i w:val="false"/>
        </w:rPr>
        <w:tab/>
        <w:tab/>
      </w:r>
    </w:p>
    <w:p>
      <w:pPr>
        <w:pStyle w:val="Sansinterligne"/>
        <w:rPr/>
      </w:pPr>
      <w:r>
        <w:rPr>
          <w:rFonts w:eastAsia="Calibri" w:cs="Calibri"/>
          <w:b/>
          <w:i w:val="false"/>
        </w:rPr>
        <w:t xml:space="preserve"> </w:t>
      </w:r>
      <w:r>
        <w:rPr>
          <w:b/>
          <w:i w:val="false"/>
        </w:rPr>
        <w:t>Directeur</w:t>
      </w:r>
    </w:p>
    <w:p>
      <w:pPr>
        <w:pStyle w:val="Normal"/>
        <w:jc w:val="both"/>
        <w:rPr>
          <w:rFonts w:cs="Arial"/>
          <w:i w:val="false"/>
          <w:i w:val="false"/>
        </w:rPr>
      </w:pPr>
      <w:r>
        <w:rPr>
          <w:rFonts w:eastAsia="Calibri" w:cs="Calibri"/>
          <w:i w:val="false"/>
        </w:rPr>
        <w:t xml:space="preserve"> </w:t>
      </w:r>
    </w:p>
    <w:p>
      <w:pPr>
        <w:pStyle w:val="Normal"/>
        <w:jc w:val="both"/>
        <w:rPr>
          <w:rFonts w:cs="Arial"/>
          <w:i w:val="false"/>
          <w:i w:val="false"/>
        </w:rPr>
      </w:pPr>
      <w:r>
        <w:rPr>
          <w:rFonts w:cs="Arial"/>
          <w:i w:val="false"/>
        </w:rPr>
        <w:tab/>
      </w:r>
    </w:p>
    <w:p>
      <w:pPr>
        <w:pStyle w:val="Sansinterligne"/>
        <w:rPr>
          <w:i w:val="false"/>
          <w:i w:val="false"/>
        </w:rPr>
      </w:pPr>
      <w:r>
        <w:rPr>
          <w:i w:val="false"/>
        </w:rPr>
        <w:t xml:space="preserve">Pour le Syndicat FO </w:t>
        <w:tab/>
        <w:tab/>
        <w:tab/>
        <w:tab/>
        <w:tab/>
        <w:tab/>
        <w:tab/>
        <w:tab/>
        <w:t>Pour le Syndicat CGT</w:t>
      </w:r>
    </w:p>
    <w:p>
      <w:pPr>
        <w:pStyle w:val="Sansinterligne"/>
        <w:rPr>
          <w:b/>
          <w:b/>
          <w:i w:val="false"/>
          <w:i w:val="false"/>
        </w:rPr>
      </w:pPr>
      <w:r>
        <w:rPr>
          <w:i w:val="false"/>
        </w:rPr>
        <w:tab/>
        <w:tab/>
        <w:tab/>
        <w:tab/>
        <w:tab/>
        <w:tab/>
        <w:tab/>
        <w:tab/>
      </w:r>
    </w:p>
    <w:p>
      <w:pPr>
        <w:pStyle w:val="Sansinterligne"/>
        <w:rPr>
          <w:b/>
          <w:b/>
          <w:i w:val="false"/>
          <w:i w:val="false"/>
        </w:rPr>
      </w:pPr>
      <w:r>
        <w:rPr>
          <w:b/>
          <w:i w:val="false"/>
        </w:rPr>
      </w:r>
    </w:p>
    <w:p>
      <w:pPr>
        <w:pStyle w:val="Sansinterligne"/>
        <w:rPr/>
      </w:pPr>
      <w:r>
        <w:rPr/>
      </w:r>
    </w:p>
    <w:p>
      <w:pPr>
        <w:pStyle w:val="Sansinterligne"/>
        <w:rPr>
          <w:vanish/>
        </w:rPr>
      </w:pPr>
      <w:bookmarkStart w:id="10" w:name="_PictureBullets"/>
      <w:bookmarkStart w:id="11" w:name="_PictureBullets"/>
      <w:bookmarkEnd w:id="11"/>
      <w:r>
        <w:rPr>
          <w:vanish/>
        </w:rPr>
      </w:r>
    </w:p>
    <w:sectPr>
      <w:footerReference w:type="default" r:id="rId12"/>
      <w:type w:val="nextPage"/>
      <w:pgSz w:w="11906" w:h="16838"/>
      <w:pgMar w:left="1134" w:right="1134" w:header="0" w:top="720" w:footer="720" w:bottom="776"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Arial Narrow">
    <w:charset w:val="00"/>
    <w:family w:val="swiss"/>
    <w:pitch w:val="variable"/>
  </w:font>
  <w:font w:name="Monotype Sorts">
    <w:altName w:val="Symbol"/>
    <w:charset w:val="02"/>
    <w:family w:val="auto"/>
    <w:pitch w:val="variable"/>
  </w:font>
  <w:font w:name="Trebuchet MS">
    <w:charset w:val="00"/>
    <w:family w:val="swiss"/>
    <w:pitch w:val="variable"/>
  </w:font>
  <w:font w:name="Tahoma">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40" w:before="0" w:after="0"/>
      <w:ind w:right="-853" w:hanging="709"/>
      <w:rPr>
        <w:i w:val="false"/>
        <w:i w:val="false"/>
        <w:iCs w:val="false"/>
        <w:color w:val="333399"/>
        <w:sz w:val="13"/>
        <w:szCs w:val="13"/>
      </w:rPr>
    </w:pPr>
    <w:r>
      <w:rPr>
        <w:i w:val="false"/>
        <w:iCs w:val="false"/>
        <w:color w:val="333399"/>
        <w:sz w:val="13"/>
        <w:szCs w:val="13"/>
      </w:rPr>
    </w:r>
  </w:p>
  <w:p>
    <w:pPr>
      <w:pStyle w:val="Normal"/>
      <w:spacing w:lineRule="auto" w:line="240" w:before="0" w:after="0"/>
      <w:ind w:right="-853" w:hanging="709"/>
      <w:rPr>
        <w:i w:val="false"/>
        <w:i w:val="false"/>
        <w:iCs w:val="false"/>
        <w:color w:val="333399"/>
        <w:sz w:val="13"/>
        <w:szCs w:val="13"/>
      </w:rPr>
    </w:pPr>
    <w:r>
      <w:rPr>
        <w:i w:val="false"/>
        <w:iCs w:val="false"/>
        <w:color w:val="333399"/>
        <w:sz w:val="13"/>
        <w:szCs w:val="13"/>
      </w:rPr>
    </w:r>
  </w:p>
  <w:p>
    <w:pPr>
      <w:pStyle w:val="Normal"/>
      <w:spacing w:lineRule="auto" w:line="240" w:before="0" w:after="0"/>
      <w:ind w:right="-853" w:hanging="709"/>
      <w:rPr>
        <w:i w:val="false"/>
        <w:i w:val="false"/>
        <w:iCs w:val="false"/>
        <w:color w:val="333399"/>
        <w:sz w:val="13"/>
        <w:szCs w:val="13"/>
      </w:rPr>
    </w:pPr>
    <w:r>
      <w:rPr>
        <w:i w:val="false"/>
        <w:iCs w:val="false"/>
        <w:color w:val="333399"/>
        <w:sz w:val="13"/>
        <w:szCs w:val="13"/>
      </w:rPr>
    </w:r>
  </w:p>
  <w:p>
    <w:pPr>
      <w:pStyle w:val="Normal"/>
      <w:spacing w:lineRule="auto" w:line="240" w:before="0" w:after="0"/>
      <w:ind w:right="-853" w:hanging="709"/>
      <w:rPr>
        <w:i w:val="false"/>
        <w:i w:val="false"/>
        <w:iCs w:val="false"/>
        <w:color w:val="333399"/>
        <w:sz w:val="13"/>
        <w:szCs w:val="13"/>
      </w:rPr>
    </w:pPr>
    <w:r>
      <w:rPr>
        <w:i w:val="false"/>
        <w:iCs w:val="false"/>
        <w:color w:val="333399"/>
        <w:sz w:val="13"/>
        <w:szCs w:val="13"/>
      </w:rPr>
    </w:r>
  </w:p>
  <w:p>
    <w:pPr>
      <w:pStyle w:val="Normal"/>
      <w:spacing w:lineRule="auto" w:line="240" w:before="0" w:after="0"/>
      <w:ind w:right="-853" w:hanging="0"/>
      <w:rPr>
        <w:i w:val="false"/>
        <w:i w:val="false"/>
        <w:iCs w:val="false"/>
        <w:color w:val="333399"/>
        <w:sz w:val="13"/>
        <w:szCs w:val="13"/>
      </w:rPr>
    </w:pPr>
    <w:r>
      <w:rPr>
        <w:i w:val="false"/>
        <w:iCs w:val="false"/>
        <w:color w:val="333399"/>
        <w:sz w:val="13"/>
        <w:szCs w:val="13"/>
      </w:rPr>
      <w:t xml:space="preserve">Siège Social : 35 avenue Clément Fayat – BP 22 – 32501 Fleurance cedex –Tél.: +33(0)5 62 67 45 45 –Fax: +33(0)5 62 67 45 08 – </w:t>
    </w:r>
    <w:hyperlink r:id="rId1">
      <w:r>
        <w:rPr>
          <w:rStyle w:val="InternetLink"/>
          <w:i w:val="false"/>
          <w:iCs w:val="false"/>
          <w:color w:val="333399"/>
          <w:sz w:val="13"/>
          <w:szCs w:val="13"/>
          <w:u w:val="single"/>
        </w:rPr>
        <w:t>infos@castel.fayat.com</w:t>
      </w:r>
    </w:hyperlink>
    <w:r>
      <w:rPr>
        <w:i w:val="false"/>
        <w:iCs w:val="false"/>
        <w:color w:val="333399"/>
        <w:sz w:val="13"/>
        <w:szCs w:val="13"/>
      </w:rPr>
      <w:t xml:space="preserve"> – </w:t>
    </w:r>
    <w:hyperlink r:id="rId2">
      <w:r>
        <w:rPr>
          <w:rStyle w:val="InternetLink"/>
          <w:i w:val="false"/>
          <w:iCs w:val="false"/>
          <w:color w:val="333399"/>
          <w:sz w:val="13"/>
          <w:szCs w:val="13"/>
          <w:u w:val="single"/>
        </w:rPr>
        <w:t>www.casteletfromaget.com</w:t>
      </w:r>
    </w:hyperlink>
  </w:p>
  <w:p>
    <w:pPr>
      <w:pStyle w:val="Normal"/>
      <w:spacing w:lineRule="auto" w:line="240" w:before="0" w:after="0"/>
      <w:rPr>
        <w:i w:val="false"/>
        <w:i w:val="false"/>
        <w:iCs w:val="false"/>
        <w:color w:val="333399"/>
        <w:sz w:val="13"/>
        <w:szCs w:val="13"/>
      </w:rPr>
    </w:pPr>
    <w:r>
      <w:rPr>
        <w:i w:val="false"/>
        <w:iCs w:val="false"/>
        <w:color w:val="333399"/>
        <w:sz w:val="13"/>
        <w:szCs w:val="13"/>
      </w:rPr>
      <w:t>RCS Auch B 342 732 351 – SIRET 342 732 351 000 16 – NAF 2511Z – N°TVA CEE FR 72 342 732 351                QUALIBAT : 2414 –3211 – 4413 – 4421 – 3811                ISO 9001</w:t>
      <w:tab/>
      <w:tab/>
    </w:r>
  </w:p>
  <w:p>
    <w:pPr>
      <w:pStyle w:val="Normal"/>
      <w:tabs>
        <w:tab w:val="center" w:pos="4536" w:leader="none"/>
        <w:tab w:val="right" w:pos="9072" w:leader="none"/>
      </w:tabs>
      <w:spacing w:lineRule="auto" w:line="240" w:before="0" w:after="0"/>
      <w:rPr>
        <w:rFonts w:ascii="Times New Roman" w:hAnsi="Times New Roman" w:cs="Times New Roman"/>
        <w:i w:val="false"/>
        <w:i w:val="false"/>
        <w:iCs w:val="false"/>
        <w:sz w:val="24"/>
        <w:szCs w:val="24"/>
      </w:rPr>
    </w:pPr>
    <w:r>
      <w:rPr>
        <w:i w:val="false"/>
        <w:iCs w:val="false"/>
        <w:color w:val="333399"/>
        <w:sz w:val="13"/>
        <w:szCs w:val="13"/>
      </w:rPr>
      <w:tab/>
    </w:r>
    <w:r>
      <w:rPr>
        <w:rFonts w:cs="Times New Roman" w:ascii="Times New Roman" w:hAnsi="Times New Roman"/>
        <w:i w:val="false"/>
        <w:iCs w:val="false"/>
        <w:sz w:val="24"/>
        <w:szCs w:val="24"/>
        <w:lang w:val="en-GB" w:eastAsia="en-GB"/>
      </w:rPr>
      <w:drawing>
        <wp:inline distT="0" distB="0" distL="0" distR="0">
          <wp:extent cx="1186180" cy="394970"/>
          <wp:effectExtent l="0" t="0" r="0" b="0"/>
          <wp:docPr id="1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
                  <pic:cNvPicPr>
                    <a:picLocks noChangeAspect="1" noChangeArrowheads="1"/>
                  </pic:cNvPicPr>
                </pic:nvPicPr>
                <pic:blipFill>
                  <a:blip r:embed="rId3"/>
                  <a:srcRect l="-1" t="-4" r="-1" b="-4"/>
                  <a:stretch>
                    <a:fillRect/>
                  </a:stretch>
                </pic:blipFill>
                <pic:spPr bwMode="auto">
                  <a:xfrm>
                    <a:off x="0" y="0"/>
                    <a:ext cx="1186180" cy="394970"/>
                  </a:xfrm>
                  <a:prstGeom prst="rect">
                    <a:avLst/>
                  </a:prstGeom>
                </pic:spPr>
              </pic:pic>
            </a:graphicData>
          </a:graphic>
        </wp:inline>
      </w:drawing>
    </w:r>
    <w:r>
      <w:rPr>
        <w:i w:val="false"/>
        <w:iCs w:val="false"/>
        <w:color w:val="333399"/>
        <w:sz w:val="13"/>
        <w:szCs w:val="13"/>
      </w:rPr>
      <w:tab/>
    </w:r>
    <w:r>
      <w:rPr>
        <w:rFonts w:cs="Times New Roman" w:ascii="Times New Roman" w:hAnsi="Times New Roman"/>
        <w:i w:val="false"/>
        <w:iCs w:val="false"/>
        <w:sz w:val="24"/>
        <w:szCs w:val="24"/>
        <w:lang w:val="en-GB" w:eastAsia="en-GB"/>
      </w:rPr>
      <w:drawing>
        <wp:inline distT="0" distB="0" distL="0" distR="0">
          <wp:extent cx="458470" cy="434340"/>
          <wp:effectExtent l="0" t="0" r="0" b="0"/>
          <wp:docPr id="1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
                  <pic:cNvPicPr>
                    <a:picLocks noChangeAspect="1" noChangeArrowheads="1"/>
                  </pic:cNvPicPr>
                </pic:nvPicPr>
                <pic:blipFill>
                  <a:blip r:embed="rId4"/>
                  <a:srcRect l="-3" t="-3" r="-3" b="-3"/>
                  <a:stretch>
                    <a:fillRect/>
                  </a:stretch>
                </pic:blipFill>
                <pic:spPr bwMode="auto">
                  <a:xfrm>
                    <a:off x="0" y="0"/>
                    <a:ext cx="458470" cy="434340"/>
                  </a:xfrm>
                  <a:prstGeom prst="rect">
                    <a:avLst/>
                  </a:prstGeom>
                </pic:spPr>
              </pic:pic>
            </a:graphicData>
          </a:graphic>
        </wp:inline>
      </w:drawing>
    </w:r>
    <w:r>
      <w:rPr>
        <w:i w:val="false"/>
        <w:iCs w:val="false"/>
        <w:color w:val="333399"/>
        <w:sz w:val="13"/>
        <w:szCs w:val="13"/>
      </w:rPr>
      <w:tab/>
      <w:tab/>
      <w:tab/>
      <w:tab/>
    </w:r>
    <w:r>
      <w:rPr>
        <w:rFonts w:cs="Times New Roman" w:ascii="Times New Roman" w:hAnsi="Times New Roman"/>
        <w:i w:val="false"/>
        <w:iCs w:val="false"/>
        <w:sz w:val="24"/>
        <w:szCs w:val="24"/>
        <w:lang w:val="en-GB" w:eastAsia="en-GB"/>
      </w:rPr>
      <w:tab/>
      <w:t xml:space="preserve">                                     </w:t>
    </w:r>
  </w:p>
  <w:p>
    <w:pPr>
      <w:pStyle w:val="Footer"/>
      <w:tabs>
        <w:tab w:val="center" w:pos="4536" w:leader="none"/>
        <w:tab w:val="right" w:pos="9072" w:leader="none"/>
      </w:tabs>
      <w:spacing w:before="0" w:after="200"/>
      <w:rPr>
        <w:rFonts w:ascii="Arial" w:hAnsi="Arial" w:cs="Arial"/>
        <w:sz w:val="16"/>
        <w:szCs w:val="16"/>
      </w:rPr>
    </w:pPr>
    <w:r>
      <w:rPr>
        <w:rFonts w:cs="Arial" w:ascii="Arial" w:hAnsi="Arial"/>
        <w:sz w:val="16"/>
        <w:szCs w:val="16"/>
      </w:rPr>
      <w:tab/>
      <w:tab/>
      <w:t xml:space="preserve">Page </w:t>
    </w:r>
    <w:r>
      <w:rPr>
        <w:rFonts w:cs="Arial" w:ascii="Arial" w:hAnsi="Arial"/>
        <w:sz w:val="16"/>
        <w:szCs w:val="16"/>
      </w:rPr>
      <w:fldChar w:fldCharType="begin"/>
    </w:r>
    <w:r>
      <w:instrText> PAGE </w:instrText>
    </w:r>
    <w:r>
      <w:fldChar w:fldCharType="separate"/>
    </w:r>
    <w:r>
      <w:t>15</w:t>
    </w:r>
    <w:r>
      <w:fldChar w:fldCharType="end"/>
    </w:r>
    <w:r>
      <w:rPr>
        <w:rFonts w:cs="Arial" w:ascii="Arial" w:hAnsi="Arial"/>
        <w:sz w:val="16"/>
        <w:szCs w:val="16"/>
      </w:rPr>
      <w:t>/</w:t>
    </w:r>
    <w:r>
      <w:rPr>
        <w:rFonts w:cs="Arial" w:ascii="Arial" w:hAnsi="Arial"/>
        <w:sz w:val="16"/>
        <w:szCs w:val="16"/>
      </w:rPr>
      <w:fldChar w:fldCharType="begin"/>
    </w:r>
    <w:r>
      <w:instrText> NUMPAGES \* ARABIC </w:instrText>
    </w:r>
    <w:r>
      <w:fldChar w:fldCharType="separate"/>
    </w:r>
    <w:r>
      <w:t>15</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numPicBullet w:numPicBulletId="0">
    <w:pict>
      <v:shape style="width:11.25pt;height:11.25pt" o:bullet="t">
        <v:imagedata r:id="rId1" o:title=""/>
      </v:shape>
    </w:pict>
  </w:numPicBullet>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pStyle w:val="Heading7"/>
      <w:numFmt w:val="none"/>
      <w:suff w:val="nothing"/>
      <w:lvlText w:val=""/>
      <w:lvlJc w:val="left"/>
      <w:pPr>
        <w:ind w:left="0" w:hanging="0"/>
      </w:pPr>
    </w:lvl>
    <w:lvl w:ilvl="7">
      <w:start w:val="1"/>
      <w:pStyle w:val="Heading8"/>
      <w:numFmt w:val="none"/>
      <w:suff w:val="nothing"/>
      <w:lvlText w:val=""/>
      <w:lvlJc w:val="left"/>
      <w:pPr>
        <w:ind w:left="0" w:hanging="0"/>
      </w:pPr>
    </w:lvl>
    <w:lvl w:ilvl="8">
      <w:start w:val="1"/>
      <w:pStyle w:val="Heading9"/>
      <w:numFmt w:val="none"/>
      <w:suff w:val="nothing"/>
      <w:lvlText w:val=""/>
      <w:lvlJc w:val="left"/>
      <w:pPr>
        <w:ind w:left="0" w:hanging="0"/>
      </w:pPr>
    </w:lvl>
  </w:abstractNum>
  <w:abstractNum w:abstractNumId="2">
    <w:lvl w:ilvl="0">
      <w:start w:val="1"/>
      <w:numFmt w:val="bullet"/>
      <w:lvlText w:val=""/>
      <w:lvlPicBulletId w:val="0"/>
      <w:lvlJc w:val="left"/>
      <w:pPr>
        <w:ind w:left="720" w:hanging="360"/>
      </w:pPr>
      <w:rPr>
        <w:rFonts w:ascii="Symbol" w:hAnsi="Symbol" w:cs="Symbol" w:hint="default"/>
        <w:rFonts w:cs="Symbol"/>
      </w:rPr>
    </w:lvl>
  </w:abstractNum>
  <w:abstractNum w:abstractNumId="3">
    <w:lvl w:ilvl="0">
      <w:start w:val="1"/>
      <w:numFmt w:val="bullet"/>
      <w:lvlText w:val=""/>
      <w:lvlJc w:val="left"/>
      <w:pPr>
        <w:ind w:left="1800" w:hanging="360"/>
      </w:pPr>
      <w:rPr>
        <w:rFonts w:ascii="Wingdings" w:hAnsi="Wingdings" w:cs="Wingdings" w:hint="default"/>
        <w:rFonts w:cs="Wingdings"/>
      </w:rPr>
    </w:lvl>
  </w:abstractNum>
  <w:abstractNum w:abstractNumId="4">
    <w:lvl w:ilvl="0">
      <w:start w:val="1"/>
      <w:numFmt w:val="bullet"/>
      <w:lvlText w:val=""/>
      <w:lvlJc w:val="left"/>
      <w:pPr>
        <w:ind w:left="927" w:hanging="360"/>
      </w:pPr>
      <w:rPr>
        <w:rFonts w:ascii="Wingdings" w:hAnsi="Wingdings" w:cs="Wingdings" w:hint="default"/>
        <w:rFonts w:cs="Wingdings"/>
      </w:rPr>
    </w:lvl>
  </w:abstractNum>
  <w:abstractNum w:abstractNumId="5">
    <w:lvl w:ilvl="0">
      <w:numFmt w:val="bullet"/>
      <w:lvlText w:val=""/>
      <w:lvlJc w:val="left"/>
      <w:pPr>
        <w:ind w:left="720" w:hanging="360"/>
      </w:pPr>
      <w:rPr>
        <w:rFonts w:ascii="Wingdings" w:hAnsi="Wingdings" w:cs="Wingdings" w:hint="default"/>
        <w:szCs w:val="18"/>
        <w:rFonts w:cs="Arial"/>
      </w:rPr>
    </w:lvl>
  </w:abstractNum>
  <w:abstractNum w:abstractNumId="6">
    <w:lvl w:ilvl="0">
      <w:start w:val="1"/>
      <w:numFmt w:val="bullet"/>
      <w:lvlText w:val=""/>
      <w:lvlJc w:val="left"/>
      <w:pPr>
        <w:ind w:left="720" w:hanging="360"/>
      </w:pPr>
      <w:rPr>
        <w:rFonts w:ascii="Wingdings" w:hAnsi="Wingdings" w:cs="Wingdings" w:hint="default"/>
        <w:rFonts w:cs="Wingdings"/>
      </w:rPr>
    </w:lvl>
  </w:abstractNum>
  <w:abstractNum w:abstractNumId="7">
    <w:lvl w:ilvl="0">
      <w:start w:val="1"/>
      <w:numFmt w:val="bullet"/>
      <w:lvlText w:val=""/>
      <w:lvlPicBulletId w:val="0"/>
      <w:lvlJc w:val="left"/>
      <w:pPr>
        <w:ind w:left="1080" w:hanging="360"/>
      </w:pPr>
      <w:rPr>
        <w:rFonts w:ascii="Symbol" w:hAnsi="Symbol" w:cs="Symbol" w:hint="default"/>
        <w:rFonts w:cs="Symbol"/>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Fonts w:cs="Wingdings"/>
      </w:rPr>
    </w:lvl>
    <w:lvl w:ilvl="3">
      <w:start w:val="1"/>
      <w:numFmt w:val="bullet"/>
      <w:lvlText w:val=""/>
      <w:lvlJc w:val="left"/>
      <w:pPr>
        <w:ind w:left="3240" w:hanging="360"/>
      </w:pPr>
      <w:rPr>
        <w:rFonts w:ascii="Symbol" w:hAnsi="Symbol" w:cs="Symbol" w:hint="default"/>
        <w:rFonts w:cs="Symbol"/>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Fonts w:cs="Wingdings"/>
      </w:rPr>
    </w:lvl>
    <w:lvl w:ilvl="6">
      <w:start w:val="1"/>
      <w:numFmt w:val="bullet"/>
      <w:lvlText w:val=""/>
      <w:lvlJc w:val="left"/>
      <w:pPr>
        <w:ind w:left="5400" w:hanging="360"/>
      </w:pPr>
      <w:rPr>
        <w:rFonts w:ascii="Symbol" w:hAnsi="Symbol" w:cs="Symbol" w:hint="default"/>
        <w:rFonts w:cs="Symbol"/>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Fonts w:cs="Wingdings"/>
      </w:rPr>
    </w:lvl>
  </w:abstractNum>
  <w:abstractNum w:abstractNumId="8">
    <w:lvl w:ilvl="0">
      <w:start w:val="2"/>
      <w:numFmt w:val="bullet"/>
      <w:lvlText w:val="-"/>
      <w:lvlJc w:val="left"/>
      <w:pPr>
        <w:tabs>
          <w:tab w:val="num" w:pos="720"/>
        </w:tabs>
        <w:ind w:left="720" w:hanging="360"/>
      </w:pPr>
      <w:rPr>
        <w:rFonts w:ascii="Trebuchet MS" w:hAnsi="Trebuchet MS" w:cs="Trebuchet MS" w:hint="default"/>
        <w:rFonts w:cs="Times New Roman"/>
      </w:rPr>
    </w:lvl>
  </w:abstractNum>
  <w:abstractNum w:abstractNumId="9">
    <w:lvl w:ilvl="0">
      <w:start w:val="1"/>
      <w:numFmt w:val="lowerLetter"/>
      <w:lvlText w:val="%1)"/>
      <w:lvlJc w:val="left"/>
      <w:pPr>
        <w:ind w:left="1069"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0">
    <w:lvl w:ilvl="0">
      <w:numFmt w:val="bullet"/>
      <w:lvlText w:val=""/>
      <w:lvlJc w:val="left"/>
      <w:pPr>
        <w:ind w:left="1080" w:hanging="360"/>
      </w:pPr>
      <w:rPr>
        <w:rFonts w:ascii="Symbol" w:hAnsi="Symbol" w:cs="Symbol" w:hint="default"/>
        <w:rFonts w:cs="Arial"/>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Fonts w:cs="Wingdings"/>
      </w:rPr>
    </w:lvl>
    <w:lvl w:ilvl="3">
      <w:start w:val="1"/>
      <w:numFmt w:val="bullet"/>
      <w:lvlText w:val=""/>
      <w:lvlJc w:val="left"/>
      <w:pPr>
        <w:ind w:left="3240" w:hanging="360"/>
      </w:pPr>
      <w:rPr>
        <w:rFonts w:ascii="Symbol" w:hAnsi="Symbol" w:cs="Symbol" w:hint="default"/>
        <w:rFonts w:cs="Symbol"/>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Fonts w:cs="Wingdings"/>
      </w:rPr>
    </w:lvl>
    <w:lvl w:ilvl="6">
      <w:start w:val="1"/>
      <w:numFmt w:val="bullet"/>
      <w:lvlText w:val=""/>
      <w:lvlJc w:val="left"/>
      <w:pPr>
        <w:ind w:left="5400" w:hanging="360"/>
      </w:pPr>
      <w:rPr>
        <w:rFonts w:ascii="Symbol" w:hAnsi="Symbol" w:cs="Symbol" w:hint="default"/>
        <w:rFonts w:cs="Symbol"/>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Font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88" w:before="0" w:after="200"/>
    </w:pPr>
    <w:rPr>
      <w:rFonts w:ascii="Calibri" w:hAnsi="Calibri" w:eastAsia="Times New Roman" w:cs="Times New Roman"/>
      <w:i/>
      <w:iCs/>
      <w:color w:val="auto"/>
      <w:sz w:val="20"/>
      <w:szCs w:val="20"/>
      <w:lang w:val="fr-FR" w:bidi="ar-SA" w:eastAsia="zh-CN"/>
    </w:rPr>
  </w:style>
  <w:style w:type="paragraph" w:styleId="Heading1">
    <w:name w:val="Heading 1"/>
    <w:basedOn w:val="Normal"/>
    <w:next w:val="Normal"/>
    <w:qFormat/>
    <w:pPr>
      <w:numPr>
        <w:ilvl w:val="0"/>
        <w:numId w:val="1"/>
      </w:numPr>
      <w:pBdr>
        <w:top w:val="single" w:sz="8" w:space="0" w:color="C0504D"/>
        <w:left w:val="single" w:sz="8" w:space="0" w:color="C0504D"/>
        <w:bottom w:val="single" w:sz="8" w:space="0" w:color="C0504D"/>
        <w:right w:val="single" w:sz="8" w:space="0" w:color="C0504D"/>
      </w:pBdr>
      <w:shd w:fill="F2DBDB" w:val="clear"/>
      <w:spacing w:lineRule="auto" w:line="268" w:before="480" w:after="100"/>
      <w:contextualSpacing/>
      <w:outlineLvl w:val="0"/>
    </w:pPr>
    <w:rPr>
      <w:rFonts w:ascii="Cambria" w:hAnsi="Cambria" w:eastAsia="Times New Roman" w:cs="Times New Roman"/>
      <w:b/>
      <w:bCs/>
      <w:color w:val="622423"/>
      <w:sz w:val="22"/>
      <w:szCs w:val="22"/>
    </w:rPr>
  </w:style>
  <w:style w:type="paragraph" w:styleId="Heading2">
    <w:name w:val="Heading 2"/>
    <w:basedOn w:val="Normal"/>
    <w:next w:val="Normal"/>
    <w:qFormat/>
    <w:pPr>
      <w:numPr>
        <w:ilvl w:val="1"/>
        <w:numId w:val="1"/>
      </w:numPr>
      <w:pBdr>
        <w:top w:val="single" w:sz="4" w:space="0" w:color="C0504D"/>
        <w:left w:val="single" w:sz="48" w:space="2" w:color="C0504D"/>
        <w:bottom w:val="single" w:sz="4" w:space="0" w:color="C0504D"/>
        <w:right w:val="single" w:sz="4" w:space="4" w:color="C0504D"/>
      </w:pBdr>
      <w:spacing w:lineRule="auto" w:line="268" w:before="200" w:after="100"/>
      <w:ind w:left="144" w:hanging="0"/>
      <w:contextualSpacing/>
      <w:outlineLvl w:val="1"/>
    </w:pPr>
    <w:rPr>
      <w:rFonts w:ascii="Cambria" w:hAnsi="Cambria" w:eastAsia="Times New Roman" w:cs="Times New Roman"/>
      <w:b/>
      <w:bCs/>
      <w:color w:val="943634"/>
      <w:sz w:val="22"/>
      <w:szCs w:val="22"/>
    </w:rPr>
  </w:style>
  <w:style w:type="paragraph" w:styleId="Heading3">
    <w:name w:val="Heading 3"/>
    <w:basedOn w:val="Normal"/>
    <w:next w:val="Normal"/>
    <w:qFormat/>
    <w:pPr>
      <w:numPr>
        <w:ilvl w:val="2"/>
        <w:numId w:val="1"/>
      </w:numPr>
      <w:pBdr>
        <w:left w:val="single" w:sz="48" w:space="2" w:color="C0504D"/>
        <w:bottom w:val="single" w:sz="4" w:space="0" w:color="C0504D"/>
      </w:pBdr>
      <w:spacing w:lineRule="auto" w:line="240" w:before="200" w:after="100"/>
      <w:ind w:left="144" w:hanging="0"/>
      <w:contextualSpacing/>
      <w:outlineLvl w:val="2"/>
    </w:pPr>
    <w:rPr>
      <w:rFonts w:ascii="Cambria" w:hAnsi="Cambria" w:eastAsia="Times New Roman" w:cs="Times New Roman"/>
      <w:b/>
      <w:bCs/>
      <w:color w:val="943634"/>
      <w:sz w:val="22"/>
      <w:szCs w:val="22"/>
    </w:rPr>
  </w:style>
  <w:style w:type="paragraph" w:styleId="Heading4">
    <w:name w:val="Heading 4"/>
    <w:basedOn w:val="Normal"/>
    <w:next w:val="Normal"/>
    <w:qFormat/>
    <w:pPr>
      <w:numPr>
        <w:ilvl w:val="3"/>
        <w:numId w:val="1"/>
      </w:numPr>
      <w:pBdr>
        <w:left w:val="single" w:sz="4" w:space="2" w:color="C0504D"/>
        <w:bottom w:val="single" w:sz="4" w:space="2" w:color="C0504D"/>
      </w:pBdr>
      <w:spacing w:lineRule="auto" w:line="240" w:before="200" w:after="100"/>
      <w:ind w:left="86" w:hanging="0"/>
      <w:contextualSpacing/>
      <w:outlineLvl w:val="3"/>
    </w:pPr>
    <w:rPr>
      <w:rFonts w:ascii="Cambria" w:hAnsi="Cambria" w:eastAsia="Times New Roman" w:cs="Times New Roman"/>
      <w:b/>
      <w:bCs/>
      <w:color w:val="943634"/>
      <w:sz w:val="22"/>
      <w:szCs w:val="22"/>
    </w:rPr>
  </w:style>
  <w:style w:type="paragraph" w:styleId="Heading5">
    <w:name w:val="Heading 5"/>
    <w:basedOn w:val="Normal"/>
    <w:next w:val="Normal"/>
    <w:qFormat/>
    <w:pPr>
      <w:numPr>
        <w:ilvl w:val="4"/>
        <w:numId w:val="1"/>
      </w:numPr>
      <w:pBdr>
        <w:left w:val="dotted" w:sz="4" w:space="2" w:color="C0504D"/>
        <w:bottom w:val="dotted" w:sz="4" w:space="2" w:color="C0504D"/>
      </w:pBdr>
      <w:spacing w:lineRule="auto" w:line="240" w:before="200" w:after="100"/>
      <w:ind w:left="86" w:hanging="0"/>
      <w:contextualSpacing/>
      <w:outlineLvl w:val="4"/>
    </w:pPr>
    <w:rPr>
      <w:rFonts w:ascii="Cambria" w:hAnsi="Cambria" w:eastAsia="Times New Roman" w:cs="Times New Roman"/>
      <w:b/>
      <w:bCs/>
      <w:color w:val="943634"/>
      <w:sz w:val="22"/>
      <w:szCs w:val="22"/>
    </w:rPr>
  </w:style>
  <w:style w:type="paragraph" w:styleId="Heading6">
    <w:name w:val="Heading 6"/>
    <w:basedOn w:val="Normal"/>
    <w:next w:val="Normal"/>
    <w:qFormat/>
    <w:pPr>
      <w:numPr>
        <w:ilvl w:val="5"/>
        <w:numId w:val="1"/>
      </w:numPr>
      <w:pBdr>
        <w:bottom w:val="single" w:sz="4" w:space="2" w:color="E5B8B7"/>
      </w:pBdr>
      <w:spacing w:lineRule="auto" w:line="240" w:before="200" w:after="100"/>
      <w:contextualSpacing/>
      <w:outlineLvl w:val="5"/>
    </w:pPr>
    <w:rPr>
      <w:rFonts w:ascii="Cambria" w:hAnsi="Cambria" w:eastAsia="Times New Roman" w:cs="Times New Roman"/>
      <w:color w:val="943634"/>
      <w:sz w:val="22"/>
      <w:szCs w:val="22"/>
    </w:rPr>
  </w:style>
  <w:style w:type="paragraph" w:styleId="Heading7">
    <w:name w:val="Heading 7"/>
    <w:basedOn w:val="Normal"/>
    <w:next w:val="Normal"/>
    <w:qFormat/>
    <w:pPr>
      <w:numPr>
        <w:ilvl w:val="6"/>
        <w:numId w:val="1"/>
      </w:numPr>
      <w:pBdr>
        <w:bottom w:val="dotted" w:sz="4" w:space="2" w:color="D99594"/>
      </w:pBdr>
      <w:spacing w:lineRule="auto" w:line="240" w:before="200" w:after="100"/>
      <w:contextualSpacing/>
      <w:outlineLvl w:val="6"/>
    </w:pPr>
    <w:rPr>
      <w:rFonts w:ascii="Cambria" w:hAnsi="Cambria" w:eastAsia="Times New Roman" w:cs="Times New Roman"/>
      <w:color w:val="943634"/>
      <w:sz w:val="22"/>
      <w:szCs w:val="22"/>
    </w:rPr>
  </w:style>
  <w:style w:type="paragraph" w:styleId="Heading8">
    <w:name w:val="Heading 8"/>
    <w:basedOn w:val="Normal"/>
    <w:next w:val="Normal"/>
    <w:qFormat/>
    <w:pPr>
      <w:numPr>
        <w:ilvl w:val="7"/>
        <w:numId w:val="1"/>
      </w:numPr>
      <w:spacing w:lineRule="auto" w:line="240" w:before="200" w:after="100"/>
      <w:contextualSpacing/>
      <w:outlineLvl w:val="7"/>
    </w:pPr>
    <w:rPr>
      <w:rFonts w:ascii="Cambria" w:hAnsi="Cambria" w:eastAsia="Times New Roman" w:cs="Times New Roman"/>
      <w:color w:val="C0504D"/>
      <w:sz w:val="22"/>
      <w:szCs w:val="22"/>
    </w:rPr>
  </w:style>
  <w:style w:type="paragraph" w:styleId="Heading9">
    <w:name w:val="Heading 9"/>
    <w:basedOn w:val="Normal"/>
    <w:next w:val="Normal"/>
    <w:qFormat/>
    <w:pPr>
      <w:numPr>
        <w:ilvl w:val="8"/>
        <w:numId w:val="1"/>
      </w:numPr>
      <w:spacing w:lineRule="auto" w:line="240" w:before="200" w:after="100"/>
      <w:contextualSpacing/>
      <w:outlineLvl w:val="8"/>
    </w:pPr>
    <w:rPr>
      <w:rFonts w:ascii="Cambria" w:hAnsi="Cambria" w:eastAsia="Times New Roman" w:cs="Times New Roman"/>
      <w:color w:val="C0504D"/>
    </w:rPr>
  </w:style>
  <w:style w:type="character" w:styleId="WW8Num1z0">
    <w:name w:val="WW8Num1z0"/>
    <w:qFormat/>
    <w:rPr>
      <w:b/>
      <w:color w:val="0070C0"/>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Calibri" w:hAnsi="Calibri"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b/>
      <w:color w:val="0070C0"/>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b/>
      <w:color w:val="4472C4"/>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rFonts w:ascii="Wingdings" w:hAnsi="Wingdings" w:eastAsia="Times New Roman" w:cs="Arial"/>
      <w:szCs w:val="18"/>
    </w:rPr>
  </w:style>
  <w:style w:type="character" w:styleId="WW8Num17z1">
    <w:name w:val="WW8Num17z1"/>
    <w:qFormat/>
    <w:rPr>
      <w:rFonts w:ascii="Calibri" w:hAnsi="Calibri" w:eastAsia="Times New Roman" w:cs="Calibri"/>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7z4">
    <w:name w:val="WW8Num17z4"/>
    <w:qFormat/>
    <w:rPr>
      <w:rFonts w:ascii="Courier New" w:hAnsi="Courier New" w:cs="Courier New"/>
    </w:rPr>
  </w:style>
  <w:style w:type="character" w:styleId="WW8Num18z0">
    <w:name w:val="WW8Num18z0"/>
    <w:qFormat/>
    <w:rPr>
      <w:rFonts w:ascii="Calibri" w:hAnsi="Calibri"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Calibri" w:hAnsi="Calibri"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Wingdings" w:hAnsi="Wingdings" w:eastAsia="Times New Roman" w:cs="Aria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0">
    <w:name w:val="WW8Num24z0"/>
    <w:qFormat/>
    <w:rPr>
      <w:rFonts w:ascii="Arial Narrow" w:hAnsi="Arial Narrow" w:eastAsia="Times New Roman"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Symbol" w:hAnsi="Symbol" w:eastAsia="Times New Roman" w:cs="Aria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Wingdings" w:hAnsi="Wingdings" w:eastAsia="Times New Roman" w:cs="Aria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style>
  <w:style w:type="character" w:styleId="WW8Num32z0">
    <w:name w:val="WW8Num32z0"/>
    <w:qFormat/>
    <w:rPr>
      <w:rFonts w:ascii="Wingdings" w:hAnsi="Wingdings" w:cs="Wingdings"/>
    </w:rPr>
  </w:style>
  <w:style w:type="character" w:styleId="WW8Num32z1">
    <w:name w:val="WW8Num32z1"/>
    <w:qFormat/>
    <w:rPr>
      <w:rFonts w:ascii="Courier New" w:hAnsi="Courier New" w:cs="Courier New"/>
    </w:rPr>
  </w:style>
  <w:style w:type="character" w:styleId="WW8Num32z3">
    <w:name w:val="WW8Num32z3"/>
    <w:qFormat/>
    <w:rPr>
      <w:rFonts w:ascii="Symbol" w:hAnsi="Symbol" w:cs="Symbol"/>
    </w:rPr>
  </w:style>
  <w:style w:type="character" w:styleId="WW8Num33z0">
    <w:name w:val="WW8Num33z0"/>
    <w:qFormat/>
    <w:rPr/>
  </w:style>
  <w:style w:type="character" w:styleId="WW8Num33z1">
    <w:name w:val="WW8Num33z1"/>
    <w:qFormat/>
    <w:rPr/>
  </w:style>
  <w:style w:type="character" w:styleId="WW8Num33z2">
    <w:name w:val="WW8Num33z2"/>
    <w:qFormat/>
    <w:rPr/>
  </w:style>
  <w:style w:type="character" w:styleId="WW8Num33z3">
    <w:name w:val="WW8Num33z3"/>
    <w:qFormat/>
    <w:rPr/>
  </w:style>
  <w:style w:type="character" w:styleId="WW8Num33z4">
    <w:name w:val="WW8Num33z4"/>
    <w:qFormat/>
    <w:rPr/>
  </w:style>
  <w:style w:type="character" w:styleId="WW8Num33z5">
    <w:name w:val="WW8Num33z5"/>
    <w:qFormat/>
    <w:rPr/>
  </w:style>
  <w:style w:type="character" w:styleId="WW8Num33z6">
    <w:name w:val="WW8Num33z6"/>
    <w:qFormat/>
    <w:rPr/>
  </w:style>
  <w:style w:type="character" w:styleId="WW8Num33z7">
    <w:name w:val="WW8Num33z7"/>
    <w:qFormat/>
    <w:rPr/>
  </w:style>
  <w:style w:type="character" w:styleId="WW8Num33z8">
    <w:name w:val="WW8Num33z8"/>
    <w:qFormat/>
    <w:rPr/>
  </w:style>
  <w:style w:type="character" w:styleId="WW8Num34z0">
    <w:name w:val="WW8Num34z0"/>
    <w:qFormat/>
    <w:rPr>
      <w:rFonts w:ascii="Wingdings" w:hAnsi="Wingdings" w:cs="Wingdings"/>
    </w:rPr>
  </w:style>
  <w:style w:type="character" w:styleId="WW8Num34z1">
    <w:name w:val="WW8Num34z1"/>
    <w:qFormat/>
    <w:rPr>
      <w:rFonts w:ascii="Courier New" w:hAnsi="Courier New" w:cs="Courier New"/>
    </w:rPr>
  </w:style>
  <w:style w:type="character" w:styleId="WW8Num34z3">
    <w:name w:val="WW8Num34z3"/>
    <w:qFormat/>
    <w:rPr>
      <w:rFonts w:ascii="Symbol" w:hAnsi="Symbol" w:cs="Symbol"/>
    </w:rPr>
  </w:style>
  <w:style w:type="character" w:styleId="WW8Num35z0">
    <w:name w:val="WW8Num35z0"/>
    <w:qFormat/>
    <w:rPr>
      <w:rFonts w:ascii="Monotype Sorts;Symbol" w:hAnsi="Monotype Sorts;Symbol" w:eastAsia="Times New Roman" w:cs="Aria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rFonts w:ascii="Trebuchet MS" w:hAnsi="Trebuchet MS" w:eastAsia="Times New Roman" w:cs="Times New Roman"/>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style>
  <w:style w:type="character" w:styleId="WW8Num37z1">
    <w:name w:val="WW8Num37z1"/>
    <w:qFormat/>
    <w:rPr/>
  </w:style>
  <w:style w:type="character" w:styleId="WW8Num37z2">
    <w:name w:val="WW8Num37z2"/>
    <w:qFormat/>
    <w:rPr/>
  </w:style>
  <w:style w:type="character" w:styleId="WW8Num37z3">
    <w:name w:val="WW8Num37z3"/>
    <w:qFormat/>
    <w:rPr/>
  </w:style>
  <w:style w:type="character" w:styleId="WW8Num37z4">
    <w:name w:val="WW8Num37z4"/>
    <w:qFormat/>
    <w:rPr/>
  </w:style>
  <w:style w:type="character" w:styleId="WW8Num37z5">
    <w:name w:val="WW8Num37z5"/>
    <w:qFormat/>
    <w:rPr/>
  </w:style>
  <w:style w:type="character" w:styleId="WW8Num37z6">
    <w:name w:val="WW8Num37z6"/>
    <w:qFormat/>
    <w:rPr/>
  </w:style>
  <w:style w:type="character" w:styleId="WW8Num37z7">
    <w:name w:val="WW8Num37z7"/>
    <w:qFormat/>
    <w:rPr/>
  </w:style>
  <w:style w:type="character" w:styleId="WW8Num37z8">
    <w:name w:val="WW8Num37z8"/>
    <w:qFormat/>
    <w:rPr/>
  </w:style>
  <w:style w:type="character" w:styleId="WW8Num38z0">
    <w:name w:val="WW8Num38z0"/>
    <w:qFormat/>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Calibri" w:hAnsi="Calibri" w:eastAsia="Times New Roman" w:cs="Aria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eastAsia="Times New Roman" w:cs="Aria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1z3">
    <w:name w:val="WW8Num41z3"/>
    <w:qFormat/>
    <w:rPr>
      <w:rFonts w:ascii="Symbol" w:hAnsi="Symbol" w:cs="Symbol"/>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Wingdings" w:hAnsi="Wingdings" w:cs="Wingdings"/>
    </w:rPr>
  </w:style>
  <w:style w:type="character" w:styleId="WW8Num43z1">
    <w:name w:val="WW8Num43z1"/>
    <w:qFormat/>
    <w:rPr>
      <w:rFonts w:ascii="Courier New" w:hAnsi="Courier New" w:cs="Courier New"/>
    </w:rPr>
  </w:style>
  <w:style w:type="character" w:styleId="WW8Num43z3">
    <w:name w:val="WW8Num43z3"/>
    <w:qFormat/>
    <w:rPr>
      <w:rFonts w:ascii="Symbol" w:hAnsi="Symbol" w:cs="Symbol"/>
    </w:rPr>
  </w:style>
  <w:style w:type="character" w:styleId="WW8Num44z0">
    <w:name w:val="WW8Num44z0"/>
    <w:qFormat/>
    <w:rPr/>
  </w:style>
  <w:style w:type="character" w:styleId="WW8Num44z1">
    <w:name w:val="WW8Num44z1"/>
    <w:qFormat/>
    <w:rPr/>
  </w:style>
  <w:style w:type="character" w:styleId="WW8Num44z2">
    <w:name w:val="WW8Num44z2"/>
    <w:qFormat/>
    <w:rPr/>
  </w:style>
  <w:style w:type="character" w:styleId="WW8Num44z3">
    <w:name w:val="WW8Num44z3"/>
    <w:qFormat/>
    <w:rPr/>
  </w:style>
  <w:style w:type="character" w:styleId="WW8Num44z4">
    <w:name w:val="WW8Num44z4"/>
    <w:qFormat/>
    <w:rPr/>
  </w:style>
  <w:style w:type="character" w:styleId="WW8Num44z5">
    <w:name w:val="WW8Num44z5"/>
    <w:qFormat/>
    <w:rPr/>
  </w:style>
  <w:style w:type="character" w:styleId="WW8Num44z6">
    <w:name w:val="WW8Num44z6"/>
    <w:qFormat/>
    <w:rPr/>
  </w:style>
  <w:style w:type="character" w:styleId="WW8Num44z7">
    <w:name w:val="WW8Num44z7"/>
    <w:qFormat/>
    <w:rPr/>
  </w:style>
  <w:style w:type="character" w:styleId="WW8Num44z8">
    <w:name w:val="WW8Num44z8"/>
    <w:qFormat/>
    <w:rPr/>
  </w:style>
  <w:style w:type="character" w:styleId="Policepardfaut">
    <w:name w:val="Police par défaut"/>
    <w:qFormat/>
    <w:rPr/>
  </w:style>
  <w:style w:type="character" w:styleId="PageNumber">
    <w:name w:val="Page Number"/>
    <w:basedOn w:val="Policepardfaut"/>
    <w:rPr/>
  </w:style>
  <w:style w:type="character" w:styleId="Marquedecommentaire">
    <w:name w:val="Marque de commentaire"/>
    <w:qFormat/>
    <w:rPr>
      <w:sz w:val="16"/>
      <w:szCs w:val="16"/>
    </w:rPr>
  </w:style>
  <w:style w:type="character" w:styleId="CommentaireCar">
    <w:name w:val="Commentaire Car"/>
    <w:basedOn w:val="Policepardfaut"/>
    <w:qFormat/>
    <w:rPr/>
  </w:style>
  <w:style w:type="character" w:styleId="ObjetducommentaireCar">
    <w:name w:val="Objet du commentaire Car"/>
    <w:qFormat/>
    <w:rPr>
      <w:b/>
      <w:bCs/>
    </w:rPr>
  </w:style>
  <w:style w:type="character" w:styleId="TitreCar">
    <w:name w:val="Titre Car"/>
    <w:qFormat/>
    <w:rPr>
      <w:rFonts w:ascii="Cambria" w:hAnsi="Cambria" w:eastAsia="Times New Roman" w:cs="Times New Roman"/>
      <w:i/>
      <w:iCs/>
      <w:color w:val="FFFFFF"/>
      <w:spacing w:val="10"/>
      <w:sz w:val="48"/>
      <w:szCs w:val="48"/>
      <w:shd w:fill="C0504D" w:val="clear"/>
    </w:rPr>
  </w:style>
  <w:style w:type="character" w:styleId="Titre1Car">
    <w:name w:val="Titre 1 Car"/>
    <w:qFormat/>
    <w:rPr>
      <w:rFonts w:ascii="Cambria" w:hAnsi="Cambria" w:eastAsia="Times New Roman" w:cs="Times New Roman"/>
      <w:b/>
      <w:bCs/>
      <w:i/>
      <w:iCs/>
      <w:color w:val="622423"/>
      <w:shd w:fill="F2DBDB" w:val="clear"/>
    </w:rPr>
  </w:style>
  <w:style w:type="character" w:styleId="Titre2Car">
    <w:name w:val="Titre 2 Car"/>
    <w:qFormat/>
    <w:rPr>
      <w:rFonts w:ascii="Cambria" w:hAnsi="Cambria" w:eastAsia="Times New Roman" w:cs="Times New Roman"/>
      <w:b/>
      <w:bCs/>
      <w:i/>
      <w:iCs/>
      <w:color w:val="943634"/>
    </w:rPr>
  </w:style>
  <w:style w:type="character" w:styleId="Titre3Car">
    <w:name w:val="Titre 3 Car"/>
    <w:qFormat/>
    <w:rPr>
      <w:rFonts w:ascii="Cambria" w:hAnsi="Cambria" w:eastAsia="Times New Roman" w:cs="Times New Roman"/>
      <w:b/>
      <w:bCs/>
      <w:i/>
      <w:iCs/>
      <w:color w:val="943634"/>
    </w:rPr>
  </w:style>
  <w:style w:type="character" w:styleId="Titre4Car">
    <w:name w:val="Titre 4 Car"/>
    <w:qFormat/>
    <w:rPr>
      <w:rFonts w:ascii="Cambria" w:hAnsi="Cambria" w:eastAsia="Times New Roman" w:cs="Times New Roman"/>
      <w:b/>
      <w:bCs/>
      <w:i/>
      <w:iCs/>
      <w:color w:val="943634"/>
    </w:rPr>
  </w:style>
  <w:style w:type="character" w:styleId="Titre5Car">
    <w:name w:val="Titre 5 Car"/>
    <w:qFormat/>
    <w:rPr>
      <w:rFonts w:ascii="Cambria" w:hAnsi="Cambria" w:eastAsia="Times New Roman" w:cs="Times New Roman"/>
      <w:b/>
      <w:bCs/>
      <w:i/>
      <w:iCs/>
      <w:color w:val="943634"/>
    </w:rPr>
  </w:style>
  <w:style w:type="character" w:styleId="Titre6Car">
    <w:name w:val="Titre 6 Car"/>
    <w:qFormat/>
    <w:rPr>
      <w:rFonts w:ascii="Cambria" w:hAnsi="Cambria" w:eastAsia="Times New Roman" w:cs="Times New Roman"/>
      <w:i/>
      <w:iCs/>
      <w:color w:val="943634"/>
    </w:rPr>
  </w:style>
  <w:style w:type="character" w:styleId="Titre7Car">
    <w:name w:val="Titre 7 Car"/>
    <w:qFormat/>
    <w:rPr>
      <w:rFonts w:ascii="Cambria" w:hAnsi="Cambria" w:eastAsia="Times New Roman" w:cs="Times New Roman"/>
      <w:i/>
      <w:iCs/>
      <w:color w:val="943634"/>
    </w:rPr>
  </w:style>
  <w:style w:type="character" w:styleId="Titre8Car">
    <w:name w:val="Titre 8 Car"/>
    <w:qFormat/>
    <w:rPr>
      <w:rFonts w:ascii="Cambria" w:hAnsi="Cambria" w:eastAsia="Times New Roman" w:cs="Times New Roman"/>
      <w:i/>
      <w:iCs/>
      <w:color w:val="C0504D"/>
    </w:rPr>
  </w:style>
  <w:style w:type="character" w:styleId="Titre9Car">
    <w:name w:val="Titre 9 Car"/>
    <w:qFormat/>
    <w:rPr>
      <w:rFonts w:ascii="Cambria" w:hAnsi="Cambria" w:eastAsia="Times New Roman" w:cs="Times New Roman"/>
      <w:i/>
      <w:iCs/>
      <w:color w:val="C0504D"/>
      <w:sz w:val="20"/>
      <w:szCs w:val="20"/>
    </w:rPr>
  </w:style>
  <w:style w:type="character" w:styleId="SoustitreCar">
    <w:name w:val="Sous-titre Car"/>
    <w:qFormat/>
    <w:rPr>
      <w:rFonts w:ascii="Cambria" w:hAnsi="Cambria" w:eastAsia="Times New Roman" w:cs="Times New Roman"/>
      <w:i/>
      <w:iCs/>
      <w:color w:val="622423"/>
      <w:sz w:val="24"/>
      <w:szCs w:val="24"/>
    </w:rPr>
  </w:style>
  <w:style w:type="character" w:styleId="StrongEmphasis">
    <w:name w:val="Strong Emphasis"/>
    <w:qFormat/>
    <w:rPr>
      <w:b/>
      <w:bCs/>
      <w:spacing w:val="0"/>
    </w:rPr>
  </w:style>
  <w:style w:type="character" w:styleId="Emphasis">
    <w:name w:val="Emphasis"/>
    <w:qFormat/>
    <w:rPr>
      <w:rFonts w:ascii="Cambria" w:hAnsi="Cambria" w:eastAsia="Times New Roman" w:cs="Times New Roman"/>
      <w:b/>
      <w:bCs/>
      <w:i/>
      <w:iCs/>
      <w:color w:val="C0504D"/>
      <w:bdr w:val="single" w:sz="18" w:space="0" w:color="F2DBDB"/>
      <w:shd w:fill="F2DBDB" w:val="clear"/>
    </w:rPr>
  </w:style>
  <w:style w:type="character" w:styleId="CitationCar">
    <w:name w:val="Citation Car"/>
    <w:qFormat/>
    <w:rPr>
      <w:color w:val="943634"/>
      <w:sz w:val="20"/>
      <w:szCs w:val="20"/>
    </w:rPr>
  </w:style>
  <w:style w:type="character" w:styleId="CitationintenseCar">
    <w:name w:val="Citation intense Car"/>
    <w:qFormat/>
    <w:rPr>
      <w:rFonts w:ascii="Cambria" w:hAnsi="Cambria" w:eastAsia="Times New Roman" w:cs="Times New Roman"/>
      <w:b/>
      <w:bCs/>
      <w:i/>
      <w:iCs/>
      <w:color w:val="C0504D"/>
      <w:sz w:val="20"/>
      <w:szCs w:val="20"/>
    </w:rPr>
  </w:style>
  <w:style w:type="character" w:styleId="Emphaseple">
    <w:name w:val="Emphase pâle"/>
    <w:qFormat/>
    <w:rPr>
      <w:rFonts w:ascii="Cambria" w:hAnsi="Cambria" w:eastAsia="Times New Roman" w:cs="Times New Roman"/>
      <w:i/>
      <w:iCs/>
      <w:color w:val="C0504D"/>
    </w:rPr>
  </w:style>
  <w:style w:type="character" w:styleId="Emphaseintense">
    <w:name w:val="Emphase intense"/>
    <w:qFormat/>
    <w:rPr>
      <w:rFonts w:ascii="Cambria" w:hAnsi="Cambria" w:eastAsia="Times New Roman" w:cs="Times New Roman"/>
      <w:b/>
      <w:bCs/>
      <w:i/>
      <w:iCs/>
      <w:strike w:val="false"/>
      <w:dstrike w:val="false"/>
      <w:color w:val="FFFFFF"/>
      <w:position w:val="0"/>
      <w:sz w:val="24"/>
      <w:bdr w:val="single" w:sz="18" w:space="0" w:color="C0504D"/>
      <w:shd w:fill="C0504D" w:val="clear"/>
      <w:vertAlign w:val="baseline"/>
    </w:rPr>
  </w:style>
  <w:style w:type="character" w:styleId="Rfrenceple">
    <w:name w:val="Référence pâle"/>
    <w:qFormat/>
    <w:rPr>
      <w:i/>
      <w:iCs/>
      <w:smallCaps/>
      <w:color w:val="C0504D"/>
    </w:rPr>
  </w:style>
  <w:style w:type="character" w:styleId="Rfrenceintense">
    <w:name w:val="Référence intense"/>
    <w:qFormat/>
    <w:rPr>
      <w:b/>
      <w:bCs/>
      <w:i/>
      <w:iCs/>
      <w:smallCaps/>
      <w:color w:val="C0504D"/>
    </w:rPr>
  </w:style>
  <w:style w:type="character" w:styleId="Titredulivre">
    <w:name w:val="Titre du livre"/>
    <w:qFormat/>
    <w:rPr>
      <w:rFonts w:ascii="Cambria" w:hAnsi="Cambria" w:eastAsia="Times New Roman" w:cs="Times New Roman"/>
      <w:b/>
      <w:bCs/>
      <w:i/>
      <w:iCs/>
      <w:smallCaps/>
      <w:color w:val="943634"/>
      <w:u w:val="single"/>
    </w:rPr>
  </w:style>
  <w:style w:type="character" w:styleId="InternetLink">
    <w:name w:val="Internet Link"/>
    <w:rPr>
      <w:color w:val="000080"/>
      <w:u w:val="single"/>
      <w:lang w:val="zxx" w:eastAsia="zxx" w:bidi="zxx"/>
    </w:rPr>
  </w:style>
  <w:style w:type="paragraph" w:styleId="Heading">
    <w:name w:val="Heading"/>
    <w:basedOn w:val="Normal"/>
    <w:next w:val="Normal"/>
    <w:qFormat/>
    <w:pPr>
      <w:pBdr>
        <w:top w:val="single" w:sz="48" w:space="0" w:color="C0504D"/>
        <w:bottom w:val="single" w:sz="48" w:space="0" w:color="C0504D"/>
      </w:pBdr>
      <w:shd w:fill="C0504D" w:val="clear"/>
      <w:spacing w:lineRule="auto" w:line="240" w:before="0" w:after="0"/>
      <w:jc w:val="center"/>
    </w:pPr>
    <w:rPr>
      <w:rFonts w:ascii="Cambria" w:hAnsi="Cambria" w:eastAsia="Times New Roman" w:cs="Times New Roman"/>
      <w:color w:val="FFFFFF"/>
      <w:spacing w:val="10"/>
      <w:sz w:val="48"/>
      <w:szCs w:val="48"/>
    </w:rPr>
  </w:style>
  <w:style w:type="paragraph" w:styleId="TextBody">
    <w:name w:val="Body Text"/>
    <w:basedOn w:val="Normal"/>
    <w:pPr>
      <w:jc w:val="both"/>
    </w:pPr>
    <w:rPr>
      <w:sz w:val="24"/>
      <w:szCs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BodyIndent">
    <w:name w:val="Body Text Indent"/>
    <w:basedOn w:val="Normal"/>
    <w:pPr>
      <w:ind w:left="284" w:hanging="0"/>
    </w:pPr>
    <w:rPr>
      <w:sz w:val="24"/>
      <w:szCs w:val="24"/>
    </w:rPr>
  </w:style>
  <w:style w:type="paragraph" w:styleId="Retraitcorpsdetexte2">
    <w:name w:val="Retrait corps de texte 2"/>
    <w:basedOn w:val="Normal"/>
    <w:qFormat/>
    <w:pPr>
      <w:ind w:left="708" w:hanging="0"/>
      <w:jc w:val="both"/>
    </w:pPr>
    <w:rPr>
      <w:sz w:val="24"/>
      <w:szCs w:val="24"/>
    </w:rPr>
  </w:style>
  <w:style w:type="paragraph" w:styleId="Corpsdetexte2">
    <w:name w:val="Corps de texte 2"/>
    <w:basedOn w:val="Normal"/>
    <w:qFormat/>
    <w:pPr>
      <w:jc w:val="both"/>
    </w:pPr>
    <w:rPr>
      <w:b/>
      <w:bCs/>
      <w:sz w:val="24"/>
      <w:szCs w:val="24"/>
    </w:rPr>
  </w:style>
  <w:style w:type="paragraph" w:styleId="Footer">
    <w:name w:val="Footer"/>
    <w:basedOn w:val="Normal"/>
    <w:pPr>
      <w:tabs>
        <w:tab w:val="center" w:pos="4536" w:leader="none"/>
        <w:tab w:val="right" w:pos="9072" w:leader="none"/>
      </w:tabs>
    </w:pPr>
    <w:rPr/>
  </w:style>
  <w:style w:type="paragraph" w:styleId="Header">
    <w:name w:val="Header"/>
    <w:basedOn w:val="Normal"/>
    <w:pPr>
      <w:tabs>
        <w:tab w:val="center" w:pos="4536" w:leader="none"/>
        <w:tab w:val="right" w:pos="9072" w:leader="none"/>
      </w:tabs>
    </w:pPr>
    <w:rPr/>
  </w:style>
  <w:style w:type="paragraph" w:styleId="Textedebulles">
    <w:name w:val="Texte de bulles"/>
    <w:basedOn w:val="Normal"/>
    <w:qFormat/>
    <w:pPr/>
    <w:rPr>
      <w:rFonts w:ascii="Tahoma" w:hAnsi="Tahoma" w:cs="Tahoma"/>
      <w:sz w:val="16"/>
      <w:szCs w:val="16"/>
    </w:rPr>
  </w:style>
  <w:style w:type="paragraph" w:styleId="Commentaire">
    <w:name w:val="Commentaire"/>
    <w:basedOn w:val="Normal"/>
    <w:qFormat/>
    <w:pPr/>
    <w:rPr/>
  </w:style>
  <w:style w:type="paragraph" w:styleId="Objetducommentaire">
    <w:name w:val="Objet du commentaire"/>
    <w:basedOn w:val="Commentaire"/>
    <w:next w:val="Commentaire"/>
    <w:qFormat/>
    <w:pPr/>
    <w:rPr>
      <w:b/>
      <w:bCs/>
    </w:rPr>
  </w:style>
  <w:style w:type="paragraph" w:styleId="Paragraphedeliste">
    <w:name w:val="Paragraphe de liste"/>
    <w:basedOn w:val="Normal"/>
    <w:qFormat/>
    <w:pPr>
      <w:spacing w:before="0" w:after="200"/>
      <w:ind w:left="720" w:hanging="0"/>
      <w:contextualSpacing/>
    </w:pPr>
    <w:rPr/>
  </w:style>
  <w:style w:type="paragraph" w:styleId="Lgende">
    <w:name w:val="Légende"/>
    <w:basedOn w:val="Normal"/>
    <w:next w:val="Normal"/>
    <w:qFormat/>
    <w:pPr/>
    <w:rPr>
      <w:b/>
      <w:bCs/>
      <w:color w:val="943634"/>
      <w:sz w:val="18"/>
      <w:szCs w:val="18"/>
    </w:rPr>
  </w:style>
  <w:style w:type="paragraph" w:styleId="Subtitle">
    <w:name w:val="Subtitle"/>
    <w:basedOn w:val="Normal"/>
    <w:next w:val="Normal"/>
    <w:qFormat/>
    <w:pPr>
      <w:pBdr>
        <w:bottom w:val="dotted" w:sz="8" w:space="10" w:color="C0504D"/>
      </w:pBdr>
      <w:spacing w:lineRule="auto" w:line="240" w:before="200" w:after="900"/>
      <w:jc w:val="center"/>
    </w:pPr>
    <w:rPr>
      <w:rFonts w:ascii="Cambria" w:hAnsi="Cambria" w:eastAsia="Times New Roman" w:cs="Times New Roman"/>
      <w:color w:val="622423"/>
      <w:sz w:val="24"/>
      <w:szCs w:val="24"/>
    </w:rPr>
  </w:style>
  <w:style w:type="paragraph" w:styleId="Sansinterligne">
    <w:name w:val="Sans interligne"/>
    <w:basedOn w:val="Normal"/>
    <w:qFormat/>
    <w:pPr>
      <w:spacing w:lineRule="auto" w:line="240" w:before="0" w:after="0"/>
    </w:pPr>
    <w:rPr/>
  </w:style>
  <w:style w:type="paragraph" w:styleId="Citation">
    <w:name w:val="Citation"/>
    <w:basedOn w:val="Normal"/>
    <w:next w:val="Normal"/>
    <w:qFormat/>
    <w:pPr/>
    <w:rPr>
      <w:i w:val="false"/>
      <w:iCs w:val="false"/>
      <w:color w:val="943634"/>
    </w:rPr>
  </w:style>
  <w:style w:type="paragraph" w:styleId="Citationintense">
    <w:name w:val="Citation intense"/>
    <w:basedOn w:val="Normal"/>
    <w:next w:val="Normal"/>
    <w:qFormat/>
    <w:pPr>
      <w:pBdr>
        <w:top w:val="dotted" w:sz="8" w:space="10" w:color="C0504D"/>
        <w:bottom w:val="dotted" w:sz="8" w:space="10" w:color="C0504D"/>
      </w:pBdr>
      <w:spacing w:lineRule="auto" w:line="300"/>
      <w:ind w:left="2160" w:right="2160" w:hanging="0"/>
      <w:jc w:val="center"/>
    </w:pPr>
    <w:rPr>
      <w:rFonts w:ascii="Cambria" w:hAnsi="Cambria" w:eastAsia="Times New Roman" w:cs="Times New Roman"/>
      <w:b/>
      <w:bCs/>
      <w:color w:val="C0504D"/>
    </w:rPr>
  </w:style>
  <w:style w:type="paragraph" w:styleId="Enttedetabledesmatires">
    <w:name w:val="En-tête de table des matières"/>
    <w:basedOn w:val="Heading1"/>
    <w:next w:val="Normal"/>
    <w:qFormat/>
    <w:pPr>
      <w:numPr>
        <w:ilvl w:val="0"/>
        <w:numId w:val="0"/>
      </w:numPr>
      <w:pBdr>
        <w:top w:val="single" w:sz="8" w:space="0" w:color="C0504D"/>
        <w:left w:val="single" w:sz="8" w:space="0" w:color="C0504D"/>
        <w:bottom w:val="single" w:sz="8" w:space="0" w:color="C0504D"/>
        <w:right w:val="single" w:sz="8" w:space="0" w:color="C0504D"/>
      </w:pBdr>
      <w:shd w:fill="F2DBDB" w:val="clear"/>
    </w:pPr>
    <w:rPr>
      <w:rFonts w:ascii="Cambria" w:hAnsi="Cambria" w:eastAsia="Times New Roman" w:cs="Times New Roman"/>
      <w:color w:val="622423"/>
      <w:lang w:bidi="en-US"/>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hyperlink" Target="mailto:infos@castel.fayat.com" TargetMode="External"/><Relationship Id="rId2" Type="http://schemas.openxmlformats.org/officeDocument/2006/relationships/hyperlink" Target="http://www.casteletfromaget.com/" TargetMode="External"/><Relationship Id="rId3" Type="http://schemas.openxmlformats.org/officeDocument/2006/relationships/image" Target="media/image11.jpeg"/><Relationship Id="rId4" Type="http://schemas.openxmlformats.org/officeDocument/2006/relationships/image" Target="media/image12.jpeg"/>
</Relationships>
</file>

<file path=word/_rels/numbering.xml.rels><?xml version="1.0" encoding="UTF-8"?>
<Relationships xmlns="http://schemas.openxmlformats.org/package/2006/relationships"><Relationship Id="rId1" Type="http://schemas.openxmlformats.org/officeDocument/2006/relationships/image" Target="media/image13.png"/>
</Relationships>
</file>

<file path=docProps/app.xml><?xml version="1.0" encoding="utf-8"?>
<Properties xmlns="http://schemas.openxmlformats.org/officeDocument/2006/extended-properties" xmlns:vt="http://schemas.openxmlformats.org/officeDocument/2006/docPropsVTypes">
  <Template>Normal.dotm</Template>
  <TotalTime>4</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2023-01-11T17:38:00Z</dcterms:created>
  <dc:creator/>
  <dc:description/>
  <dc:language>en-GB</dc:language>
  <cp:lastModifiedBy/>
  <cp:lastPrinted>2021-12-15T19:19:00Z</cp:lastPrinted>
  <dcterms:modified xsi:type="dcterms:W3CDTF">2023-01-11T17:42:00Z</dcterms:modified>
  <cp:revision>3</cp:revision>
  <dc:subject/>
  <dc:title>NEGOCIATIONS ANNUELLES</dc:title>
</cp:coreProperties>
</file>