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package.relationships+xml" PartName="/_rels/.rels"/>
  <Override ContentType="application/vnd.openxmlformats-package.relationships+xml" PartName="/customXml/_rels/item1.xml.rels"/>
  <Override ContentType="application/xml" PartName="/customXml/item1.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body>
    <w:p>
      <w:pPr>
        <w:pStyle w:val="Normal"/>
        <w:pBdr>
          <w:top w:color="000000" w:space="8" w:sz="4" w:val="single"/>
          <w:left w:color="000000" w:space="4" w:sz="4" w:val="single"/>
          <w:bottom w:color="000000" w:space="8" w:sz="4" w:val="single"/>
          <w:right w:color="000000" w:space="4" w:sz="4" w:val="single"/>
        </w:pBdr>
        <w:jc w:val="center"/>
        <w:rPr>
          <w:rFonts w:ascii="Avenir Book" w:hAnsi="Avenir Book"/>
          <w:b/>
          <w:sz w:val="20"/>
          <w:szCs w:val="20"/>
        </w:rPr>
      </w:pPr>
      <w:r>
        <w:rPr>
          <w:rFonts w:ascii="Avenir Book" w:hAnsi="Avenir Book"/>
          <w:b/>
          <w:sz w:val="20"/>
          <w:szCs w:val="20"/>
        </w:rPr>
        <w:t>ACCORD D’ENTREPRISE</w:t>
      </w:r>
    </w:p>
    <w:p>
      <w:pPr>
        <w:pStyle w:val="Normal"/>
        <w:pBdr>
          <w:top w:color="000000" w:space="8" w:sz="4" w:val="single"/>
          <w:left w:color="000000" w:space="4" w:sz="4" w:val="single"/>
          <w:bottom w:color="000000" w:space="8" w:sz="4" w:val="single"/>
          <w:right w:color="000000" w:space="4" w:sz="4" w:val="single"/>
        </w:pBdr>
        <w:jc w:val="center"/>
        <w:rPr>
          <w:rFonts w:ascii="Avenir Book" w:hAnsi="Avenir Book"/>
          <w:b/>
          <w:sz w:val="20"/>
          <w:szCs w:val="20"/>
        </w:rPr>
      </w:pPr>
      <w:r>
        <w:rPr>
          <w:rFonts w:ascii="Avenir Book" w:hAnsi="Avenir Book"/>
          <w:b/>
          <w:sz w:val="20"/>
          <w:szCs w:val="20"/>
        </w:rPr>
        <w:t>RELATIF A L’ORGANISATION ET A LA DUREE DU TRAVAIL</w:t>
      </w:r>
    </w:p>
    <w:p>
      <w:pPr>
        <w:pStyle w:val="Normal"/>
        <w:ind w:left="567" w:right="283"/>
        <w:jc w:val="both"/>
        <w:rPr>
          <w:rFonts w:ascii="Avenir Book" w:hAnsi="Avenir Book"/>
          <w:sz w:val="20"/>
          <w:szCs w:val="20"/>
        </w:rPr>
      </w:pPr>
      <w:r>
        <w:rPr>
          <w:rFonts w:ascii="Avenir Book" w:hAnsi="Avenir Book"/>
          <w:sz w:val="20"/>
          <w:szCs w:val="20"/>
        </w:rPr>
      </w:r>
    </w:p>
    <w:p>
      <w:pPr>
        <w:pStyle w:val="Normal"/>
        <w:ind w:right="283"/>
        <w:jc w:val="both"/>
        <w:rPr>
          <w:rFonts w:ascii="Avenir Book" w:hAnsi="Avenir Book"/>
          <w:sz w:val="20"/>
          <w:szCs w:val="20"/>
        </w:rPr>
      </w:pPr>
      <w:r>
        <w:rPr>
          <w:rFonts w:ascii="Avenir Book" w:hAnsi="Avenir Book"/>
          <w:b/>
          <w:sz w:val="20"/>
          <w:szCs w:val="20"/>
          <w:u w:val="single"/>
        </w:rPr>
        <w:t>Entre les soussignés</w:t>
      </w:r>
    </w:p>
    <w:p>
      <w:pPr>
        <w:pStyle w:val="Normal"/>
        <w:ind w:right="283"/>
        <w:jc w:val="both"/>
        <w:rPr>
          <w:rFonts w:ascii="Avenir Book" w:hAnsi="Avenir Book"/>
          <w:sz w:val="20"/>
          <w:szCs w:val="20"/>
        </w:rPr>
      </w:pPr>
      <w:r>
        <w:rPr>
          <w:rFonts w:ascii="Avenir Book" w:hAnsi="Avenir Book"/>
          <w:sz w:val="20"/>
          <w:szCs w:val="20"/>
        </w:rPr>
      </w:r>
    </w:p>
    <w:p>
      <w:pPr>
        <w:pStyle w:val="Default"/>
        <w:spacing w:after="0" w:before="0"/>
        <w:contextualSpacing/>
        <w:jc w:val="both"/>
        <w:rPr>
          <w:rFonts w:ascii="Avenir Book" w:cs="Times New Roman" w:hAnsi="Avenir Book"/>
          <w:color w:val="auto"/>
          <w:sz w:val="20"/>
          <w:szCs w:val="20"/>
        </w:rPr>
      </w:pPr>
      <w:r>
        <w:rPr>
          <w:rFonts w:ascii="Avenir Book" w:cs="Times New Roman" w:hAnsi="Avenir Book"/>
          <w:color w:val="auto"/>
          <w:sz w:val="20"/>
          <w:szCs w:val="20"/>
        </w:rPr>
        <w:t>GUIMBEAUD, Société à responsabilité limitée au capital de 10 000 €, code NAF 8130 Z, dont le siège est situé 662 Rue de la Guérenne - 33220 SAINT AVIT SAINT NAZAIRE, représentée par M., Co-gérants.</w:t>
      </w:r>
    </w:p>
    <w:p>
      <w:pPr>
        <w:pStyle w:val="Normal"/>
        <w:ind w:firstLine="142"/>
        <w:jc w:val="both"/>
        <w:rPr>
          <w:rFonts w:ascii="Avenir Book" w:hAnsi="Avenir Book"/>
          <w:sz w:val="20"/>
          <w:szCs w:val="20"/>
        </w:rPr>
      </w:pPr>
      <w:r>
        <w:rPr>
          <w:rFonts w:ascii="Avenir Book" w:hAnsi="Avenir Book"/>
          <w:sz w:val="20"/>
          <w:szCs w:val="20"/>
        </w:rPr>
      </w:r>
    </w:p>
    <w:p>
      <w:pPr>
        <w:pStyle w:val="Heading2"/>
        <w:keepNext w:val="false"/>
        <w:tabs>
          <w:tab w:leader="none" w:pos="708" w:val="left"/>
          <w:tab w:leader="none" w:pos="9072" w:val="right"/>
        </w:tabs>
        <w:spacing w:after="0" w:before="0"/>
        <w:jc w:val="both"/>
        <w:rPr>
          <w:rFonts w:ascii="Avenir Book" w:cs="Times New Roman" w:eastAsia="Arial Unicode MS" w:hAnsi="Avenir Book"/>
          <w:b w:val="false"/>
          <w:i w:val="false"/>
          <w:i w:val="false"/>
          <w:iCs w:val="false"/>
          <w:sz w:val="20"/>
          <w:szCs w:val="20"/>
        </w:rPr>
      </w:pPr>
      <w:r>
        <w:rPr>
          <w:rFonts w:ascii="Avenir Book" w:cs="Times New Roman" w:eastAsia="Arial Unicode MS" w:hAnsi="Avenir Book"/>
          <w:b w:val="false"/>
          <w:i w:val="false"/>
          <w:iCs w:val="false"/>
          <w:sz w:val="20"/>
          <w:szCs w:val="20"/>
        </w:rPr>
        <w:t>Ci-après dénommée "la Société" ou "l'Entreprise"</w:t>
      </w:r>
    </w:p>
    <w:p>
      <w:pPr>
        <w:pStyle w:val="Normal"/>
        <w:ind w:right="283"/>
        <w:jc w:val="both"/>
        <w:rPr>
          <w:rFonts w:ascii="Avenir Book" w:hAnsi="Avenir Book"/>
          <w:sz w:val="20"/>
          <w:szCs w:val="20"/>
        </w:rPr>
      </w:pPr>
      <w:r>
        <w:rPr>
          <w:rFonts w:ascii="Avenir Book" w:hAnsi="Avenir Book"/>
          <w:sz w:val="20"/>
          <w:szCs w:val="20"/>
        </w:rPr>
      </w:r>
    </w:p>
    <w:p>
      <w:pPr>
        <w:pStyle w:val="Normal"/>
        <w:ind w:right="283"/>
        <w:jc w:val="both"/>
        <w:rPr>
          <w:rFonts w:ascii="Avenir Book" w:hAnsi="Avenir Book"/>
          <w:b/>
          <w:sz w:val="20"/>
          <w:szCs w:val="20"/>
        </w:rPr>
      </w:pPr>
      <w:r>
        <w:rPr>
          <w:rFonts w:ascii="Avenir Book" w:hAnsi="Avenir Book"/>
          <w:b/>
          <w:sz w:val="20"/>
          <w:szCs w:val="20"/>
        </w:rPr>
        <w:t>D’une part,</w:t>
      </w:r>
    </w:p>
    <w:p>
      <w:pPr>
        <w:pStyle w:val="Normal"/>
        <w:ind w:right="283"/>
        <w:jc w:val="both"/>
        <w:rPr>
          <w:rFonts w:ascii="Avenir Book" w:hAnsi="Avenir Book"/>
          <w:sz w:val="20"/>
          <w:szCs w:val="20"/>
        </w:rPr>
      </w:pPr>
      <w:r>
        <w:rPr>
          <w:rFonts w:ascii="Avenir Book" w:hAnsi="Avenir Book"/>
          <w:sz w:val="20"/>
          <w:szCs w:val="20"/>
        </w:rPr>
      </w:r>
    </w:p>
    <w:p>
      <w:pPr>
        <w:pStyle w:val="Normal"/>
        <w:ind w:right="283"/>
        <w:jc w:val="both"/>
        <w:rPr>
          <w:rFonts w:ascii="Avenir Book" w:hAnsi="Avenir Book"/>
          <w:sz w:val="20"/>
          <w:szCs w:val="20"/>
        </w:rPr>
      </w:pPr>
      <w:r>
        <w:rPr>
          <w:rFonts w:ascii="Avenir Book" w:hAnsi="Avenir Book"/>
          <w:b/>
          <w:sz w:val="20"/>
          <w:szCs w:val="20"/>
          <w:u w:val="single"/>
        </w:rPr>
        <w:t>Et</w:t>
      </w:r>
    </w:p>
    <w:p>
      <w:pPr>
        <w:pStyle w:val="ListParagraph"/>
        <w:ind w:left="0"/>
        <w:jc w:val="both"/>
        <w:rPr>
          <w:rFonts w:ascii="Avenir Book" w:eastAsia="Times New Roman" w:hAnsi="Avenir Book"/>
          <w:sz w:val="20"/>
          <w:lang w:eastAsia="fr-FR"/>
        </w:rPr>
      </w:pPr>
      <w:r>
        <w:rPr>
          <w:rFonts w:ascii="Avenir Book" w:eastAsia="Times New Roman" w:hAnsi="Avenir Book"/>
          <w:sz w:val="20"/>
          <w:lang w:eastAsia="fr-FR"/>
        </w:rPr>
      </w:r>
    </w:p>
    <w:p>
      <w:pPr>
        <w:pStyle w:val="Normal"/>
        <w:ind w:right="283"/>
        <w:jc w:val="both"/>
        <w:rPr>
          <w:rFonts w:ascii="Avenir Book" w:hAnsi="Avenir Book"/>
          <w:sz w:val="20"/>
          <w:szCs w:val="20"/>
        </w:rPr>
      </w:pPr>
      <w:r>
        <w:rPr>
          <w:rFonts w:ascii="Avenir Book" w:hAnsi="Avenir Book"/>
          <w:b/>
          <w:sz w:val="20"/>
          <w:szCs w:val="20"/>
        </w:rPr>
        <w:t>L’ensemble du personnel de la société</w:t>
      </w:r>
      <w:r>
        <w:rPr>
          <w:rFonts w:ascii="Avenir Book" w:hAnsi="Avenir Book"/>
          <w:sz w:val="20"/>
          <w:szCs w:val="20"/>
        </w:rPr>
        <w:t xml:space="preserve"> ayant ratifié l’accord à la suite d’un vote qui a recueilli la majorité des deux tiers des salariés et dont la liste d’émargement et le procès-verbal sont joints au présent accord.</w:t>
      </w:r>
    </w:p>
    <w:p>
      <w:pPr>
        <w:pStyle w:val="Normal"/>
        <w:ind w:right="283"/>
        <w:jc w:val="both"/>
        <w:rPr>
          <w:rFonts w:ascii="Avenir Book" w:hAnsi="Avenir Book"/>
          <w:sz w:val="20"/>
          <w:szCs w:val="20"/>
        </w:rPr>
      </w:pPr>
      <w:r>
        <w:rPr>
          <w:rFonts w:ascii="Avenir Book" w:hAnsi="Avenir Book"/>
          <w:sz w:val="20"/>
          <w:szCs w:val="20"/>
        </w:rPr>
      </w:r>
    </w:p>
    <w:p>
      <w:pPr>
        <w:pStyle w:val="Normal"/>
        <w:ind w:right="283"/>
        <w:jc w:val="both"/>
        <w:rPr>
          <w:rFonts w:ascii="Avenir Book" w:hAnsi="Avenir Book"/>
          <w:b/>
          <w:sz w:val="20"/>
          <w:szCs w:val="20"/>
          <w:u w:val="single"/>
        </w:rPr>
      </w:pPr>
      <w:r>
        <w:rPr>
          <w:rFonts w:ascii="Avenir Book" w:hAnsi="Avenir Book"/>
          <w:b/>
          <w:sz w:val="20"/>
          <w:szCs w:val="20"/>
        </w:rPr>
        <w:t>D’autre part</w:t>
      </w:r>
      <w:r>
        <w:rPr>
          <w:rFonts w:ascii="Avenir Book" w:hAnsi="Avenir Book"/>
          <w:b/>
          <w:sz w:val="20"/>
          <w:szCs w:val="20"/>
          <w:u w:val="single"/>
        </w:rPr>
        <w:t>.</w:t>
      </w:r>
    </w:p>
    <w:p>
      <w:pPr>
        <w:pStyle w:val="Normal"/>
        <w:ind w:right="283"/>
        <w:jc w:val="both"/>
        <w:rPr>
          <w:rFonts w:ascii="Avenir Book" w:hAnsi="Avenir Book"/>
          <w:sz w:val="20"/>
          <w:szCs w:val="20"/>
        </w:rPr>
      </w:pPr>
      <w:r>
        <w:rPr>
          <w:rFonts w:ascii="Avenir Book" w:hAnsi="Avenir Book"/>
          <w:sz w:val="20"/>
          <w:szCs w:val="20"/>
        </w:rPr>
      </w:r>
    </w:p>
    <w:p>
      <w:pPr>
        <w:pStyle w:val="Normal"/>
        <w:ind w:right="283"/>
        <w:jc w:val="both"/>
        <w:rPr>
          <w:rFonts w:ascii="Avenir Book" w:hAnsi="Avenir Book"/>
          <w:b/>
          <w:sz w:val="20"/>
          <w:szCs w:val="20"/>
          <w:u w:val="single"/>
        </w:rPr>
      </w:pPr>
      <w:r>
        <w:rPr>
          <w:rFonts w:ascii="Avenir Book" w:hAnsi="Avenir Book"/>
          <w:b/>
          <w:sz w:val="20"/>
          <w:szCs w:val="20"/>
          <w:u w:val="single"/>
        </w:rPr>
        <w:t>PREAMBULE</w:t>
      </w:r>
    </w:p>
    <w:p>
      <w:pPr>
        <w:pStyle w:val="Normal"/>
        <w:jc w:val="both"/>
        <w:rPr>
          <w:rFonts w:ascii="Avenir Book" w:hAnsi="Avenir Book"/>
          <w:sz w:val="20"/>
          <w:szCs w:val="20"/>
        </w:rPr>
      </w:pPr>
      <w:r>
        <w:rPr>
          <w:rFonts w:ascii="Avenir Book" w:hAnsi="Avenir Book"/>
          <w:sz w:val="20"/>
          <w:szCs w:val="20"/>
        </w:rPr>
      </w:r>
    </w:p>
    <w:p>
      <w:pPr>
        <w:pStyle w:val="Normal"/>
        <w:spacing w:after="120" w:before="0"/>
        <w:jc w:val="both"/>
        <w:rPr>
          <w:rFonts w:ascii="Avenir Book" w:hAnsi="Avenir Book"/>
          <w:sz w:val="20"/>
          <w:szCs w:val="20"/>
        </w:rPr>
      </w:pPr>
      <w:r>
        <w:rPr>
          <w:rFonts w:ascii="Avenir Book" w:hAnsi="Avenir Book"/>
          <w:sz w:val="20"/>
          <w:szCs w:val="20"/>
        </w:rPr>
        <w:t>La société GUIMBEAUD relève de la Convention Collective Nationale des entreprises du Paysage du 10 octobre 2008 et de l’accord national sur la durée du travail en agriculture du 23 décembre 1981.</w:t>
      </w:r>
    </w:p>
    <w:p>
      <w:pPr>
        <w:pStyle w:val="Normal"/>
        <w:spacing w:after="120" w:before="0"/>
        <w:jc w:val="both"/>
        <w:rPr>
          <w:rFonts w:ascii="Avenir Book" w:hAnsi="Avenir Book"/>
          <w:sz w:val="20"/>
          <w:szCs w:val="20"/>
        </w:rPr>
      </w:pPr>
      <w:r>
        <w:rPr>
          <w:rFonts w:ascii="Avenir Book" w:hAnsi="Avenir Book"/>
          <w:sz w:val="20"/>
          <w:szCs w:val="20"/>
        </w:rPr>
        <w:t>En application de l’avenant n° 24 du 26 avril 2019 à la Convention Collective Nationale du Paysage, une discussion s’est engagée entre la Société et les salariés portant principalement sur les modalités d’organisation du temps de travail.</w:t>
      </w:r>
    </w:p>
    <w:p>
      <w:pPr>
        <w:pStyle w:val="Normal"/>
        <w:spacing w:after="120" w:before="0"/>
        <w:jc w:val="both"/>
        <w:rPr>
          <w:rFonts w:ascii="Avenir Book" w:hAnsi="Avenir Book"/>
          <w:sz w:val="20"/>
          <w:szCs w:val="20"/>
        </w:rPr>
      </w:pPr>
      <w:r>
        <w:rPr>
          <w:rFonts w:ascii="Avenir Book" w:hAnsi="Avenir Book"/>
          <w:sz w:val="20"/>
          <w:szCs w:val="20"/>
        </w:rPr>
        <w:t xml:space="preserve">La négociation a été conduite dans un souci permanent d’équilibre, avec l’objectif commun de concilier d’une part les besoins de l’entreprise soumise à un environnement imprévisible et concurrentiel et d’autre part les attentes des salariés en termes d’équilibre entre leur vie professionnelle et personnelle par une meilleure organisation du travail et par la possibilité d’accomplir des heures supplémentaires dans un cadre précis et structuré. </w:t>
      </w:r>
    </w:p>
    <w:p>
      <w:pPr>
        <w:pStyle w:val="Normal"/>
        <w:spacing w:after="120" w:before="0"/>
        <w:jc w:val="both"/>
        <w:rPr>
          <w:rFonts w:ascii="Avenir Book" w:hAnsi="Avenir Book"/>
          <w:sz w:val="20"/>
          <w:szCs w:val="20"/>
        </w:rPr>
      </w:pPr>
      <w:r>
        <w:rPr>
          <w:rFonts w:ascii="Avenir Book" w:hAnsi="Avenir Book"/>
          <w:sz w:val="20"/>
          <w:szCs w:val="20"/>
        </w:rPr>
        <w:t>Le présent accord entend pérenniser certaines modalités préexistantes jugées satisfaisantes, améliorer celles qui peuvent l’être et en développer de nouvelles dans l’intérêt commun et concerté des parties.</w:t>
      </w:r>
    </w:p>
    <w:p>
      <w:pPr>
        <w:pStyle w:val="Normal"/>
        <w:spacing w:after="120" w:before="0"/>
        <w:jc w:val="both"/>
        <w:rPr>
          <w:rFonts w:ascii="Avenir Book" w:hAnsi="Avenir Book"/>
          <w:sz w:val="20"/>
          <w:szCs w:val="20"/>
        </w:rPr>
      </w:pPr>
      <w:r>
        <w:rPr>
          <w:rFonts w:ascii="Avenir Book" w:hAnsi="Avenir Book"/>
          <w:sz w:val="20"/>
          <w:szCs w:val="20"/>
        </w:rPr>
        <w:t>Le présent accord se substitue aux dispositions préexistantes (en application de conventions, d’accords ou d’usages) relatives à l’aménagement et à la durée du temps de travail au sein de l’entreprise.</w:t>
      </w:r>
    </w:p>
    <w:p>
      <w:pPr>
        <w:pStyle w:val="Normal"/>
        <w:jc w:val="both"/>
        <w:rPr>
          <w:rFonts w:ascii="Avenir Book" w:hAnsi="Avenir Book"/>
          <w:i/>
          <w:i/>
          <w:sz w:val="20"/>
          <w:szCs w:val="20"/>
        </w:rPr>
      </w:pPr>
      <w:r>
        <w:rPr>
          <w:rFonts w:ascii="Avenir Book" w:hAnsi="Avenir Book"/>
          <w:sz w:val="20"/>
          <w:szCs w:val="20"/>
        </w:rPr>
        <w:t>Le présent accord est conclu en application de l’article L2232-21 du code du travail</w:t>
      </w:r>
      <w:r>
        <w:rPr>
          <w:rFonts w:ascii="Avenir Book" w:hAnsi="Avenir Book"/>
          <w:i/>
          <w:sz w:val="20"/>
          <w:szCs w:val="20"/>
        </w:rPr>
        <w:t>.</w:t>
      </w:r>
    </w:p>
    <w:p>
      <w:pPr>
        <w:pStyle w:val="Normal"/>
        <w:jc w:val="both"/>
        <w:rPr>
          <w:rFonts w:ascii="Avenir Book" w:hAnsi="Avenir Book"/>
          <w:i/>
          <w:i/>
          <w:sz w:val="20"/>
          <w:szCs w:val="20"/>
        </w:rPr>
      </w:pPr>
      <w:r>
        <w:rPr>
          <w:rFonts w:ascii="Avenir Book" w:hAnsi="Avenir Book"/>
          <w:i/>
          <w:sz w:val="20"/>
          <w:szCs w:val="20"/>
        </w:rPr>
      </w:r>
    </w:p>
    <w:p>
      <w:pPr>
        <w:pStyle w:val="Normal"/>
        <w:spacing w:after="200" w:before="0"/>
        <w:ind w:right="284"/>
        <w:jc w:val="both"/>
        <w:rPr>
          <w:rFonts w:ascii="Avenir Book" w:hAnsi="Avenir Book"/>
          <w:sz w:val="20"/>
          <w:szCs w:val="20"/>
        </w:rPr>
      </w:pPr>
      <w:r>
        <w:rPr>
          <w:rFonts w:ascii="Avenir Book" w:hAnsi="Avenir Book"/>
          <w:b/>
          <w:sz w:val="20"/>
          <w:szCs w:val="20"/>
          <w:u w:val="single"/>
        </w:rPr>
        <w:t>TITRE I - CHAMP D’APPLICATION</w:t>
      </w:r>
    </w:p>
    <w:p>
      <w:pPr>
        <w:pStyle w:val="Normal"/>
        <w:rPr>
          <w:rFonts w:ascii="Avenir Book" w:hAnsi="Avenir Book"/>
          <w:sz w:val="20"/>
          <w:szCs w:val="20"/>
        </w:rPr>
      </w:pPr>
      <w:r>
        <w:rPr>
          <w:rFonts w:ascii="Avenir Book" w:hAnsi="Avenir Book"/>
          <w:sz w:val="20"/>
          <w:szCs w:val="20"/>
        </w:rPr>
        <w:t xml:space="preserve">Le présent accord s’applique à l’ensemble des salariés suivants : </w:t>
      </w:r>
    </w:p>
    <w:p>
      <w:pPr>
        <w:pStyle w:val="Normal"/>
        <w:numPr>
          <w:ilvl w:val="0"/>
          <w:numId w:val="6"/>
        </w:numPr>
        <w:spacing w:after="0" w:before="0"/>
        <w:contextualSpacing/>
        <w:rPr>
          <w:rFonts w:ascii="Avenir Book" w:hAnsi="Avenir Book"/>
          <w:sz w:val="20"/>
          <w:szCs w:val="20"/>
        </w:rPr>
      </w:pPr>
      <w:r>
        <w:rPr>
          <w:rFonts w:ascii="Avenir Book" w:hAnsi="Avenir Book"/>
          <w:sz w:val="20"/>
          <w:szCs w:val="20"/>
        </w:rPr>
        <w:t>Ouvriers O1 à O6</w:t>
      </w:r>
    </w:p>
    <w:p>
      <w:pPr>
        <w:pStyle w:val="Normal"/>
        <w:numPr>
          <w:ilvl w:val="0"/>
          <w:numId w:val="6"/>
        </w:numPr>
        <w:spacing w:after="0" w:before="0"/>
        <w:contextualSpacing/>
        <w:rPr>
          <w:rFonts w:ascii="Avenir Book" w:hAnsi="Avenir Book"/>
          <w:sz w:val="20"/>
          <w:szCs w:val="20"/>
        </w:rPr>
      </w:pPr>
      <w:r>
        <w:rPr>
          <w:rFonts w:ascii="Avenir Book" w:hAnsi="Avenir Book"/>
          <w:sz w:val="20"/>
          <w:szCs w:val="20"/>
        </w:rPr>
        <w:t>Employés E1 à E4</w:t>
      </w:r>
    </w:p>
    <w:p>
      <w:pPr>
        <w:pStyle w:val="Normal"/>
        <w:numPr>
          <w:ilvl w:val="0"/>
          <w:numId w:val="6"/>
        </w:numPr>
        <w:spacing w:after="120" w:before="0"/>
        <w:jc w:val="both"/>
        <w:rPr>
          <w:rFonts w:ascii="Avenir Book" w:hAnsi="Avenir Book"/>
          <w:sz w:val="20"/>
          <w:szCs w:val="20"/>
        </w:rPr>
      </w:pPr>
      <w:r>
        <w:rPr>
          <w:rFonts w:ascii="Avenir Book" w:hAnsi="Avenir Book"/>
          <w:sz w:val="20"/>
          <w:szCs w:val="20"/>
        </w:rPr>
        <w:t>Ainsi qu’aux techniciens Agents de Maitrise TAM 1 à TAM 4 et aux cadres non titulaires d’une convention de forfait annuel en heures ou en jours</w:t>
      </w:r>
    </w:p>
    <w:p>
      <w:pPr>
        <w:pStyle w:val="Normal"/>
        <w:spacing w:after="120" w:before="0"/>
        <w:jc w:val="both"/>
        <w:rPr>
          <w:rFonts w:ascii="Avenir Book" w:hAnsi="Avenir Book"/>
          <w:sz w:val="20"/>
          <w:szCs w:val="20"/>
        </w:rPr>
      </w:pPr>
      <w:r>
        <w:rPr>
          <w:rFonts w:ascii="Avenir Book" w:hAnsi="Avenir Book"/>
          <w:sz w:val="20"/>
          <w:szCs w:val="20"/>
        </w:rPr>
        <w:t>Pour assurer la cohérence dans l’organisation, les parties conviennent que cet accord s’applique aux salariés liés par un contrat de travail à durée indéterminée ou par un contrat de travail à durée déterminée, quel qu’en soit le motif, y compris aux apprentis.</w:t>
      </w:r>
    </w:p>
    <w:p>
      <w:pPr>
        <w:pStyle w:val="Normal"/>
        <w:spacing w:after="120" w:before="0"/>
        <w:jc w:val="both"/>
        <w:rPr>
          <w:rFonts w:ascii="Avenir Book" w:hAnsi="Avenir Book"/>
          <w:sz w:val="20"/>
          <w:szCs w:val="20"/>
        </w:rPr>
      </w:pPr>
      <w:r>
        <w:rPr>
          <w:rFonts w:ascii="Avenir Book" w:hAnsi="Avenir Book"/>
          <w:sz w:val="20"/>
          <w:szCs w:val="20"/>
        </w:rPr>
      </w:r>
    </w:p>
    <w:p>
      <w:pPr>
        <w:pStyle w:val="Normal"/>
        <w:spacing w:after="200" w:before="0"/>
        <w:ind w:right="284"/>
        <w:jc w:val="both"/>
        <w:rPr>
          <w:rFonts w:ascii="Avenir Book" w:hAnsi="Avenir Book"/>
          <w:b/>
          <w:sz w:val="20"/>
          <w:szCs w:val="20"/>
          <w:u w:val="single"/>
        </w:rPr>
      </w:pPr>
      <w:r>
        <w:rPr>
          <w:rFonts w:ascii="Avenir Book" w:hAnsi="Avenir Book"/>
          <w:b/>
          <w:sz w:val="20"/>
          <w:szCs w:val="20"/>
          <w:u w:val="single"/>
        </w:rPr>
        <w:t>TITRE II - ORGANISATION DU TEMPS DE TRAVAIL</w:t>
      </w:r>
    </w:p>
    <w:p>
      <w:pPr>
        <w:pStyle w:val="Normal"/>
        <w:spacing w:after="120" w:before="0"/>
        <w:jc w:val="both"/>
        <w:rPr>
          <w:rFonts w:ascii="Avenir Book" w:hAnsi="Avenir Book"/>
          <w:b/>
          <w:sz w:val="20"/>
          <w:szCs w:val="20"/>
          <w:u w:val="single"/>
        </w:rPr>
      </w:pPr>
      <w:r>
        <w:rPr>
          <w:rFonts w:ascii="Avenir Book" w:hAnsi="Avenir Book"/>
          <w:b/>
          <w:sz w:val="20"/>
          <w:szCs w:val="20"/>
          <w:u w:val="single"/>
        </w:rPr>
        <w:t>Article 1 - Modalités d’organisation du travail dans l’entreprise</w:t>
      </w:r>
    </w:p>
    <w:p>
      <w:pPr>
        <w:pStyle w:val="Normal"/>
        <w:spacing w:after="120" w:before="0"/>
        <w:jc w:val="both"/>
        <w:rPr>
          <w:rFonts w:ascii="Avenir Book" w:hAnsi="Avenir Book"/>
          <w:sz w:val="20"/>
          <w:szCs w:val="20"/>
        </w:rPr>
      </w:pPr>
      <w:r>
        <w:rPr>
          <w:rFonts w:ascii="Avenir Book" w:hAnsi="Avenir Book"/>
          <w:sz w:val="20"/>
          <w:szCs w:val="20"/>
        </w:rPr>
        <w:t xml:space="preserve">Lors de la négociation du présent accord, plusieurs modalités d’organisation du travail ont été envisagées et étudiées entre les parties. </w:t>
      </w:r>
    </w:p>
    <w:p>
      <w:pPr>
        <w:pStyle w:val="Normal"/>
        <w:spacing w:after="120" w:before="0"/>
        <w:jc w:val="both"/>
        <w:rPr>
          <w:rFonts w:ascii="Avenir Book" w:hAnsi="Avenir Book"/>
          <w:sz w:val="20"/>
          <w:szCs w:val="20"/>
        </w:rPr>
      </w:pPr>
      <w:r>
        <w:rPr>
          <w:rFonts w:ascii="Avenir Book" w:hAnsi="Avenir Book"/>
          <w:sz w:val="20"/>
          <w:szCs w:val="20"/>
        </w:rPr>
        <w:t xml:space="preserve">L’objectif partagé était de retenir l’organisation la plus adaptée aux attentes respectives de l’entreprise et des salariés et la volonté de l’entreprise était d’aboutir à une organisation permettant de maintenir sa compétitivité en maîtrisant ses charges dans un contexte fortement concurrentiel. </w:t>
      </w:r>
    </w:p>
    <w:p>
      <w:pPr>
        <w:pStyle w:val="Normal"/>
        <w:spacing w:after="60" w:before="0"/>
        <w:jc w:val="both"/>
        <w:rPr>
          <w:rFonts w:ascii="Avenir Book" w:hAnsi="Avenir Book"/>
          <w:sz w:val="20"/>
          <w:szCs w:val="20"/>
        </w:rPr>
      </w:pPr>
      <w:r>
        <w:rPr>
          <w:rFonts w:ascii="Avenir Book" w:hAnsi="Avenir Book"/>
          <w:sz w:val="20"/>
          <w:szCs w:val="20"/>
        </w:rPr>
        <w:t xml:space="preserve">Ainsi, selon les modalités d’organisation négociées dans le cadre du présent accord : </w:t>
      </w:r>
    </w:p>
    <w:p>
      <w:pPr>
        <w:pStyle w:val="Normal"/>
        <w:numPr>
          <w:ilvl w:val="0"/>
          <w:numId w:val="1"/>
        </w:numPr>
        <w:spacing w:after="120" w:before="0"/>
        <w:ind w:hanging="284" w:left="284"/>
        <w:jc w:val="both"/>
        <w:rPr>
          <w:rFonts w:ascii="Avenir Book" w:hAnsi="Avenir Book"/>
          <w:sz w:val="20"/>
          <w:szCs w:val="20"/>
        </w:rPr>
      </w:pPr>
      <w:r>
        <w:rPr>
          <w:rFonts w:ascii="Avenir Book" w:hAnsi="Avenir Book"/>
          <w:sz w:val="20"/>
          <w:szCs w:val="20"/>
        </w:rPr>
        <w:t xml:space="preserve">Les salariés, quelles que soient leurs fonctions, ne sont pas contraints de passer préalablement au siège, à l’agence ou au dépôt avant de se rendre sur les chantiers. </w:t>
      </w:r>
    </w:p>
    <w:p>
      <w:pPr>
        <w:pStyle w:val="Normal"/>
        <w:spacing w:after="120" w:before="0"/>
        <w:jc w:val="both"/>
        <w:rPr>
          <w:rFonts w:ascii="Avenir Book" w:hAnsi="Avenir Book"/>
          <w:sz w:val="20"/>
          <w:szCs w:val="20"/>
        </w:rPr>
      </w:pPr>
      <w:r>
        <w:rPr>
          <w:rFonts w:ascii="Avenir Book" w:hAnsi="Avenir Book"/>
          <w:sz w:val="20"/>
          <w:szCs w:val="20"/>
        </w:rPr>
        <w:t xml:space="preserve">Les modalités d’organisation négociées laissent en effet aux salariés le choix de se rendre directement sur les chantiers par leurs propres moyens ou de passer préalablement au siège, au dépôt ou à l’agence pour bénéficier des moyens de transports mis à leur disposition par l’entreprise. </w:t>
      </w:r>
    </w:p>
    <w:p>
      <w:pPr>
        <w:pStyle w:val="Normal"/>
        <w:spacing w:after="120" w:before="0"/>
        <w:jc w:val="both"/>
        <w:rPr>
          <w:rFonts w:ascii="Avenir Book" w:hAnsi="Avenir Book"/>
          <w:sz w:val="20"/>
          <w:szCs w:val="20"/>
        </w:rPr>
      </w:pPr>
      <w:r>
        <w:rPr>
          <w:rFonts w:ascii="Avenir Book" w:hAnsi="Avenir Book"/>
          <w:sz w:val="20"/>
          <w:szCs w:val="20"/>
        </w:rPr>
        <w:t>Pour des raisons tenant à la bonne organisation des équipes, les salariés devront affirmer leur choix.</w:t>
      </w:r>
    </w:p>
    <w:p>
      <w:pPr>
        <w:pStyle w:val="Normal"/>
        <w:spacing w:after="160" w:before="0"/>
        <w:jc w:val="both"/>
        <w:rPr>
          <w:rFonts w:ascii="Avenir Book" w:hAnsi="Avenir Book"/>
          <w:sz w:val="20"/>
          <w:szCs w:val="20"/>
        </w:rPr>
      </w:pPr>
      <w:r>
        <w:rPr>
          <w:rFonts w:ascii="Avenir Book" w:hAnsi="Avenir Book"/>
          <w:sz w:val="20"/>
          <w:szCs w:val="20"/>
        </w:rPr>
        <w:t xml:space="preserve">Durant le temps de trajet pour se rendre sur les chantiers, les salariés ne sont pas à la disposition de l’employeur, ne sont pas tenus de se conformer à ses directives et peuvent le cas échéant vaquer à des occupations personnelles. </w:t>
      </w:r>
    </w:p>
    <w:p>
      <w:pPr>
        <w:pStyle w:val="Normal"/>
        <w:spacing w:after="120" w:before="0"/>
        <w:jc w:val="both"/>
        <w:rPr>
          <w:rFonts w:ascii="Avenir Book" w:hAnsi="Avenir Book"/>
          <w:b/>
          <w:sz w:val="20"/>
          <w:szCs w:val="20"/>
          <w:u w:val="single"/>
        </w:rPr>
      </w:pPr>
      <w:r>
        <w:rPr>
          <w:rFonts w:ascii="Avenir Book" w:hAnsi="Avenir Book"/>
          <w:b/>
          <w:sz w:val="20"/>
          <w:szCs w:val="20"/>
          <w:u w:val="single"/>
        </w:rPr>
        <w:t xml:space="preserve">Article 2 – Temps d’habillage / déshabillage </w:t>
      </w:r>
    </w:p>
    <w:p>
      <w:pPr>
        <w:pStyle w:val="Normal"/>
        <w:spacing w:after="120" w:before="0"/>
        <w:jc w:val="both"/>
        <w:rPr>
          <w:rFonts w:ascii="Avenir Book" w:hAnsi="Avenir Book"/>
          <w:sz w:val="20"/>
          <w:szCs w:val="20"/>
        </w:rPr>
      </w:pPr>
      <w:r>
        <w:rPr>
          <w:rFonts w:ascii="Avenir Book" w:hAnsi="Avenir Book"/>
          <w:sz w:val="20"/>
          <w:szCs w:val="20"/>
        </w:rPr>
        <w:t>Le port d’une tenue de travail sur chantier est obligatoire, toutefois l’entreprise n’impose pas aux salariés que le temps d’habillage soit réalisé sur le lieu de travail.</w:t>
      </w:r>
    </w:p>
    <w:p>
      <w:pPr>
        <w:pStyle w:val="Normal"/>
        <w:spacing w:after="160" w:before="0"/>
        <w:jc w:val="both"/>
        <w:rPr>
          <w:rFonts w:ascii="Avenir Book" w:hAnsi="Avenir Book"/>
          <w:sz w:val="20"/>
          <w:szCs w:val="20"/>
        </w:rPr>
      </w:pPr>
      <w:r>
        <w:rPr>
          <w:rFonts w:ascii="Avenir Book" w:hAnsi="Avenir Book"/>
          <w:sz w:val="20"/>
          <w:szCs w:val="20"/>
        </w:rPr>
        <w:t>L’éventuel temps passé à l’habillage/déshabillage ne fait donc pas l’objet de contreparties en argent ou en repos.</w:t>
      </w:r>
    </w:p>
    <w:p>
      <w:pPr>
        <w:pStyle w:val="Normal"/>
        <w:spacing w:after="120" w:before="0"/>
        <w:jc w:val="both"/>
        <w:rPr>
          <w:rFonts w:ascii="Avenir Book" w:hAnsi="Avenir Book"/>
          <w:b/>
          <w:sz w:val="20"/>
          <w:szCs w:val="20"/>
          <w:u w:val="single"/>
        </w:rPr>
      </w:pPr>
      <w:r>
        <w:rPr>
          <w:rFonts w:ascii="Avenir Book" w:hAnsi="Avenir Book"/>
          <w:b/>
          <w:sz w:val="20"/>
          <w:szCs w:val="20"/>
          <w:u w:val="single"/>
        </w:rPr>
        <w:t xml:space="preserve">Article 3 – Temps de chargement / Déchargement – Préparation du chantier </w:t>
      </w:r>
    </w:p>
    <w:p>
      <w:pPr>
        <w:pStyle w:val="Normal"/>
        <w:spacing w:after="120" w:before="0"/>
        <w:jc w:val="both"/>
        <w:rPr>
          <w:rFonts w:ascii="Avenir Book" w:hAnsi="Avenir Book"/>
          <w:sz w:val="20"/>
          <w:szCs w:val="20"/>
        </w:rPr>
      </w:pPr>
      <w:r>
        <w:rPr>
          <w:rFonts w:ascii="Avenir Book" w:hAnsi="Avenir Book"/>
          <w:sz w:val="20"/>
          <w:szCs w:val="20"/>
        </w:rPr>
        <w:t>Outre le temps de travail effectif sur les chantiers, le personnel qui choisit de passer préalablement par le siège ou le dépôt, peut être amené à accomplir des travaux de chargement/déchargement du matériel et de préparation des véhicules (véhicules légers et/ou camions).</w:t>
      </w:r>
    </w:p>
    <w:p>
      <w:pPr>
        <w:pStyle w:val="Normal"/>
        <w:spacing w:after="120" w:before="0"/>
        <w:jc w:val="both"/>
        <w:rPr>
          <w:rFonts w:ascii="Avenir Book" w:hAnsi="Avenir Book"/>
          <w:sz w:val="20"/>
          <w:szCs w:val="20"/>
        </w:rPr>
      </w:pPr>
      <w:r>
        <w:rPr>
          <w:rFonts w:ascii="Avenir Book" w:hAnsi="Avenir Book"/>
          <w:sz w:val="20"/>
          <w:szCs w:val="20"/>
        </w:rPr>
        <w:t>Seuls sont autorisés à participer aux tâches de préparation du chantier, en amont du départ (chargement, prises de consignes) les salariés ayant affirmé leur choix par écrit.</w:t>
      </w:r>
    </w:p>
    <w:p>
      <w:pPr>
        <w:pStyle w:val="Normal"/>
        <w:spacing w:after="120" w:before="0"/>
        <w:jc w:val="both"/>
        <w:rPr>
          <w:rFonts w:ascii="Avenir Book" w:hAnsi="Avenir Book"/>
          <w:sz w:val="20"/>
          <w:szCs w:val="20"/>
        </w:rPr>
      </w:pPr>
      <w:r>
        <w:rPr>
          <w:rFonts w:ascii="Avenir Book" w:hAnsi="Avenir Book"/>
          <w:sz w:val="20"/>
          <w:szCs w:val="20"/>
        </w:rPr>
        <w:t>Dans le cadre du présent accord, et compte tenu de la pratique habituelle, il est expressément convenu entre les parties que ces temps de travail au dépôt ou au siège en amont et/ou en aval des chantiers, constituent un temps de travail effectif.</w:t>
      </w:r>
    </w:p>
    <w:p>
      <w:pPr>
        <w:pStyle w:val="Normal"/>
        <w:spacing w:after="160" w:before="0"/>
        <w:ind w:right="284"/>
        <w:jc w:val="both"/>
        <w:rPr>
          <w:rFonts w:ascii="Avenir Book" w:hAnsi="Avenir Book"/>
          <w:sz w:val="20"/>
          <w:szCs w:val="20"/>
        </w:rPr>
      </w:pPr>
      <w:r>
        <w:rPr>
          <w:rFonts w:ascii="Avenir Book" w:hAnsi="Avenir Book"/>
          <w:sz w:val="20"/>
          <w:szCs w:val="20"/>
        </w:rPr>
        <w:t>Ce temps de travail s’ajoute au temps de travail effectif sur le chantier.</w:t>
      </w:r>
    </w:p>
    <w:p>
      <w:pPr>
        <w:pStyle w:val="Normal"/>
        <w:spacing w:after="120" w:before="0"/>
        <w:jc w:val="both"/>
        <w:rPr>
          <w:rFonts w:ascii="Avenir Book" w:hAnsi="Avenir Book"/>
          <w:b/>
          <w:sz w:val="20"/>
          <w:szCs w:val="20"/>
          <w:u w:val="single"/>
        </w:rPr>
      </w:pPr>
      <w:r>
        <w:rPr>
          <w:rFonts w:ascii="Avenir Book" w:hAnsi="Avenir Book"/>
          <w:b/>
          <w:sz w:val="20"/>
          <w:szCs w:val="20"/>
          <w:u w:val="single"/>
        </w:rPr>
        <w:t>Article 4 - Temps de déplacements pour se rendre sur les chantiers</w:t>
      </w:r>
    </w:p>
    <w:p>
      <w:pPr>
        <w:pStyle w:val="Normal"/>
        <w:spacing w:after="120" w:before="0"/>
        <w:jc w:val="both"/>
        <w:rPr>
          <w:rFonts w:ascii="Avenir Book" w:hAnsi="Avenir Book"/>
          <w:sz w:val="20"/>
          <w:szCs w:val="20"/>
        </w:rPr>
      </w:pPr>
      <w:r>
        <w:rPr>
          <w:rFonts w:ascii="Avenir Book" w:hAnsi="Avenir Book"/>
          <w:sz w:val="20"/>
          <w:szCs w:val="20"/>
        </w:rPr>
        <w:t>Pour les salariés qui choisissent de passer au siège, à l’agence ou au dépôt pour être transportés sur les chantiers, il est convenu entre les parties que constitue un temps normal de trajet celui qui les éloigne de moins de 50 km (appréciation en rayon) du chantier.</w:t>
      </w:r>
    </w:p>
    <w:p>
      <w:pPr>
        <w:pStyle w:val="Normal"/>
        <w:spacing w:after="120" w:before="0"/>
        <w:jc w:val="both"/>
        <w:rPr>
          <w:rFonts w:ascii="Avenir Book" w:hAnsi="Avenir Book"/>
          <w:sz w:val="20"/>
          <w:szCs w:val="20"/>
        </w:rPr>
      </w:pPr>
      <w:r>
        <w:rPr>
          <w:rFonts w:ascii="Avenir Book" w:hAnsi="Avenir Book"/>
          <w:sz w:val="20"/>
          <w:szCs w:val="20"/>
        </w:rPr>
        <w:t xml:space="preserve">Le temps nécessaire aux trajets entre le siège, l’agence ou le dépôt et le lieu de travail qu’est le chantier ne constitue pas du temps de travail effectif, nonobstant l’éventuel temps de chargement considéré en temps de travail effectif, dès lors que le salarié n’est pas contraint de passer préalablement par le siège, l’agence ou le dépôt. </w:t>
      </w:r>
    </w:p>
    <w:p>
      <w:pPr>
        <w:pStyle w:val="ListParagraph"/>
        <w:spacing w:after="120" w:before="0"/>
        <w:ind w:left="0"/>
        <w:contextualSpacing w:val="false"/>
        <w:jc w:val="both"/>
        <w:rPr>
          <w:rFonts w:ascii="Avenir Book" w:hAnsi="Avenir Book"/>
          <w:sz w:val="20"/>
        </w:rPr>
      </w:pPr>
      <w:r>
        <w:rPr>
          <w:rFonts w:ascii="Avenir Book" w:eastAsia="Times New Roman" w:hAnsi="Avenir Book"/>
          <w:sz w:val="20"/>
          <w:lang w:eastAsia="fr-FR"/>
        </w:rPr>
        <w:t xml:space="preserve">Si les salariés choisissent de </w:t>
      </w:r>
      <w:r>
        <w:rPr>
          <w:rFonts w:ascii="Avenir Book" w:hAnsi="Avenir Book"/>
          <w:sz w:val="20"/>
        </w:rPr>
        <w:t>se rendre directement sur les chantiers par leurs propres moyens, ils perçoivent pour leurs frais de repas, et s’ils ne déjeunent ni à l’entreprise ni à leur domicile, une indemnité de panier dont le montant est égal à la valeur de 2.5 MG en vigueur.</w:t>
      </w:r>
    </w:p>
    <w:p>
      <w:pPr>
        <w:pStyle w:val="ListParagraph"/>
        <w:spacing w:after="120" w:before="0"/>
        <w:ind w:left="0"/>
        <w:contextualSpacing w:val="false"/>
        <w:jc w:val="both"/>
        <w:rPr>
          <w:rFonts w:ascii="Avenir Book" w:hAnsi="Avenir Book"/>
          <w:sz w:val="20"/>
        </w:rPr>
      </w:pPr>
      <w:r>
        <w:rPr>
          <w:rFonts w:ascii="Avenir Book" w:hAnsi="Avenir Book"/>
          <w:sz w:val="20"/>
        </w:rPr>
        <w:t xml:space="preserve">S’ils choisissent de se rendre au siège, au dépôt ou à l’agence pour être transportés par les moyens de l’Entreprise sur les chantiers, ils sont indemnisés dans les conditions suivantes issues de la convention collective : </w:t>
      </w:r>
    </w:p>
    <w:p>
      <w:pPr>
        <w:pStyle w:val="ListParagraph"/>
        <w:numPr>
          <w:ilvl w:val="0"/>
          <w:numId w:val="4"/>
        </w:numPr>
        <w:ind w:hanging="284" w:left="284"/>
        <w:jc w:val="both"/>
        <w:rPr>
          <w:rFonts w:ascii="Avenir Book" w:hAnsi="Avenir Book"/>
          <w:sz w:val="20"/>
        </w:rPr>
      </w:pPr>
      <w:r>
        <w:rPr>
          <w:rFonts w:ascii="Avenir Book" w:hAnsi="Avenir Book"/>
          <w:sz w:val="20"/>
        </w:rPr>
        <w:t>Dans la limite du temps normal de trajet, le salarié est globalement indemnisé de ses frais de panier et de déplacement par le biais d’une indemnité pour petit déplacement fixée à la date des présentes comme suit par la convention collective :</w:t>
      </w:r>
    </w:p>
    <w:p>
      <w:pPr>
        <w:pStyle w:val="ListParagraph"/>
        <w:numPr>
          <w:ilvl w:val="0"/>
          <w:numId w:val="3"/>
        </w:numPr>
        <w:ind w:hanging="283" w:left="567"/>
        <w:jc w:val="both"/>
        <w:rPr>
          <w:rFonts w:ascii="Avenir Book" w:hAnsi="Avenir Book"/>
          <w:sz w:val="20"/>
        </w:rPr>
      </w:pPr>
      <w:r>
        <w:rPr>
          <w:rFonts w:ascii="Avenir Book" w:hAnsi="Avenir Book"/>
          <w:sz w:val="20"/>
        </w:rPr>
        <w:t>dans un rayon de 0 à 5 km du siège ou du dépôt jusqu’au chantier : 3 MG</w:t>
      </w:r>
    </w:p>
    <w:p>
      <w:pPr>
        <w:pStyle w:val="ListParagraph"/>
        <w:numPr>
          <w:ilvl w:val="0"/>
          <w:numId w:val="3"/>
        </w:numPr>
        <w:ind w:hanging="283" w:left="567"/>
        <w:jc w:val="both"/>
        <w:rPr>
          <w:rFonts w:ascii="Avenir Book" w:hAnsi="Avenir Book"/>
          <w:sz w:val="20"/>
        </w:rPr>
      </w:pPr>
      <w:r>
        <w:rPr>
          <w:rFonts w:ascii="Avenir Book" w:hAnsi="Avenir Book"/>
          <w:sz w:val="20"/>
        </w:rPr>
        <w:t>dans un rayon de plus de 5 km jusqu’à 20 km : 4.5 MG</w:t>
      </w:r>
    </w:p>
    <w:p>
      <w:pPr>
        <w:pStyle w:val="ListParagraph"/>
        <w:numPr>
          <w:ilvl w:val="0"/>
          <w:numId w:val="3"/>
        </w:numPr>
        <w:ind w:hanging="283" w:left="567"/>
        <w:jc w:val="both"/>
        <w:rPr>
          <w:rFonts w:ascii="Avenir Book" w:hAnsi="Avenir Book"/>
          <w:sz w:val="20"/>
        </w:rPr>
      </w:pPr>
      <w:r>
        <w:rPr>
          <w:rFonts w:ascii="Avenir Book" w:hAnsi="Avenir Book"/>
          <w:sz w:val="20"/>
        </w:rPr>
        <w:t>dans un rayon de plus de 20 km jusqu’à 30 km : 5.5 MG</w:t>
      </w:r>
    </w:p>
    <w:p>
      <w:pPr>
        <w:pStyle w:val="ListParagraph"/>
        <w:numPr>
          <w:ilvl w:val="0"/>
          <w:numId w:val="3"/>
        </w:numPr>
        <w:spacing w:after="120" w:before="0"/>
        <w:ind w:hanging="283" w:left="567"/>
        <w:contextualSpacing w:val="false"/>
        <w:jc w:val="both"/>
        <w:rPr>
          <w:rFonts w:ascii="Avenir Book" w:hAnsi="Avenir Book"/>
          <w:sz w:val="20"/>
        </w:rPr>
      </w:pPr>
      <w:r>
        <w:rPr>
          <w:rFonts w:ascii="Avenir Book" w:hAnsi="Avenir Book"/>
          <w:sz w:val="20"/>
        </w:rPr>
        <w:t>dans un rayon de 30 km jusqu’à 50 km : 6.5 MG</w:t>
      </w:r>
    </w:p>
    <w:p>
      <w:pPr>
        <w:pStyle w:val="Normal"/>
        <w:spacing w:after="120" w:before="0"/>
        <w:ind w:hanging="284" w:left="284"/>
        <w:jc w:val="both"/>
        <w:rPr>
          <w:rFonts w:ascii="Avenir Book" w:eastAsia="Calibri" w:hAnsi="Avenir Book"/>
          <w:sz w:val="20"/>
          <w:szCs w:val="20"/>
          <w:lang w:eastAsia="en-US"/>
        </w:rPr>
      </w:pPr>
      <w:r>
        <w:rPr>
          <w:rFonts w:ascii="Avenir Book" w:eastAsia="Calibri" w:hAnsi="Avenir Book"/>
          <w:sz w:val="20"/>
          <w:szCs w:val="20"/>
          <w:lang w:eastAsia="en-US"/>
        </w:rPr>
        <w:t>Le MG applicable est celui en vigueur.</w:t>
      </w:r>
    </w:p>
    <w:p>
      <w:pPr>
        <w:pStyle w:val="ListParagraph"/>
        <w:numPr>
          <w:ilvl w:val="0"/>
          <w:numId w:val="4"/>
        </w:numPr>
        <w:spacing w:after="0" w:before="0"/>
        <w:ind w:hanging="284" w:left="284"/>
        <w:contextualSpacing w:val="false"/>
        <w:jc w:val="both"/>
        <w:rPr>
          <w:rFonts w:ascii="Avenir Book" w:hAnsi="Avenir Book"/>
          <w:sz w:val="20"/>
        </w:rPr>
      </w:pPr>
      <w:r>
        <w:rPr>
          <w:rFonts w:ascii="Avenir Book" w:hAnsi="Avenir Book"/>
          <w:sz w:val="20"/>
        </w:rPr>
        <w:t xml:space="preserve">Au-delà du temps normal de trajet, le salarié est, en outre, rémunéré pour le trajet restant comme s’il s’agissait d’un temps de travail. Ce temps de trajet servant au calcul de l’indemnité complémentaire n’est pas qualifié de temps de travail effectif. </w:t>
      </w:r>
    </w:p>
    <w:p>
      <w:pPr>
        <w:pStyle w:val="Normal"/>
        <w:jc w:val="both"/>
        <w:rPr>
          <w:rFonts w:ascii="Avenir Book" w:hAnsi="Avenir Book"/>
          <w:sz w:val="20"/>
          <w:szCs w:val="20"/>
        </w:rPr>
      </w:pPr>
      <w:r>
        <w:rPr>
          <w:rFonts w:ascii="Avenir Book" w:hAnsi="Avenir Book"/>
          <w:sz w:val="20"/>
          <w:szCs w:val="20"/>
        </w:rPr>
      </w:r>
    </w:p>
    <w:p>
      <w:pPr>
        <w:pStyle w:val="Normal"/>
        <w:spacing w:after="120" w:before="0"/>
        <w:jc w:val="both"/>
        <w:rPr>
          <w:rFonts w:ascii="Avenir Book" w:hAnsi="Avenir Book"/>
          <w:b/>
          <w:sz w:val="20"/>
          <w:szCs w:val="20"/>
          <w:u w:val="single"/>
        </w:rPr>
      </w:pPr>
      <w:r>
        <w:rPr>
          <w:rFonts w:ascii="Avenir Book" w:hAnsi="Avenir Book"/>
          <w:b/>
          <w:sz w:val="20"/>
          <w:szCs w:val="20"/>
          <w:u w:val="single"/>
        </w:rPr>
        <w:t xml:space="preserve">Article 5 - Temps de pause </w:t>
      </w:r>
    </w:p>
    <w:p>
      <w:pPr>
        <w:pStyle w:val="Normal"/>
        <w:tabs>
          <w:tab w:pos="708" w:val="clear"/>
          <w:tab w:leader="none" w:pos="8931" w:val="left"/>
        </w:tabs>
        <w:spacing w:after="160" w:before="0"/>
        <w:ind w:right="-1"/>
        <w:jc w:val="both"/>
        <w:rPr>
          <w:rFonts w:ascii="Avenir Book" w:hAnsi="Avenir Book"/>
          <w:sz w:val="20"/>
          <w:szCs w:val="20"/>
        </w:rPr>
      </w:pPr>
      <w:r>
        <w:rPr>
          <w:rFonts w:ascii="Avenir Book" w:hAnsi="Avenir Book"/>
          <w:sz w:val="20"/>
          <w:szCs w:val="20"/>
        </w:rPr>
        <w:t xml:space="preserve">Le temps de pause déjeuner est fixé à une durée minimum de 30 minutes comprise entre 12h00 et 14h00. </w:t>
      </w:r>
    </w:p>
    <w:p>
      <w:pPr>
        <w:pStyle w:val="Normal"/>
        <w:spacing w:after="120" w:before="0"/>
        <w:jc w:val="both"/>
        <w:rPr>
          <w:rFonts w:ascii="Avenir Book" w:hAnsi="Avenir Book"/>
          <w:b/>
          <w:sz w:val="20"/>
          <w:szCs w:val="20"/>
          <w:u w:val="single"/>
        </w:rPr>
      </w:pPr>
      <w:r>
        <w:rPr>
          <w:rFonts w:ascii="Avenir Book" w:hAnsi="Avenir Book"/>
          <w:b/>
          <w:sz w:val="20"/>
          <w:szCs w:val="20"/>
          <w:u w:val="single"/>
        </w:rPr>
        <w:t>Article 6 – Intempéries</w:t>
      </w:r>
    </w:p>
    <w:p>
      <w:pPr>
        <w:pStyle w:val="Normal"/>
        <w:spacing w:after="120" w:before="0"/>
        <w:jc w:val="both"/>
        <w:rPr>
          <w:rFonts w:ascii="Avenir Book" w:hAnsi="Avenir Book"/>
          <w:sz w:val="20"/>
          <w:szCs w:val="20"/>
        </w:rPr>
      </w:pPr>
      <w:r>
        <w:rPr>
          <w:rFonts w:ascii="Avenir Book" w:hAnsi="Avenir Book"/>
          <w:sz w:val="20"/>
          <w:szCs w:val="20"/>
        </w:rPr>
        <w:t xml:space="preserve">En cas de circonstances exceptionnelles liées notamment aux conditions climatiques, le personnel de chantier bénéficie d’un dispositif intempéries permettant de reporter des heures de travail, non effectuées au moment des intempéries, dans les 12 mois suivant l’interruption du travail. </w:t>
      </w:r>
    </w:p>
    <w:p>
      <w:pPr>
        <w:pStyle w:val="Normal"/>
        <w:spacing w:after="120" w:before="0"/>
        <w:jc w:val="both"/>
        <w:rPr>
          <w:rFonts w:ascii="Avenir Book" w:hAnsi="Avenir Book"/>
          <w:sz w:val="20"/>
          <w:szCs w:val="20"/>
        </w:rPr>
      </w:pPr>
      <w:r>
        <w:rPr>
          <w:rFonts w:ascii="Avenir Book" w:hAnsi="Avenir Book"/>
          <w:sz w:val="20"/>
          <w:szCs w:val="20"/>
        </w:rPr>
        <w:t>Sont ainsi considérées comme des heures déplacées (et non comme des heures supplémentaires) les heures de travail effectuées au-delà de la durée légale en compensation d’heures de travail perdues du fait des intempéries.</w:t>
      </w:r>
    </w:p>
    <w:p>
      <w:pPr>
        <w:pStyle w:val="Normal"/>
        <w:spacing w:after="120" w:before="0"/>
        <w:jc w:val="both"/>
        <w:rPr>
          <w:rFonts w:ascii="Avenir Book" w:hAnsi="Avenir Book"/>
          <w:sz w:val="20"/>
          <w:szCs w:val="20"/>
        </w:rPr>
      </w:pPr>
      <w:r>
        <w:rPr>
          <w:rFonts w:ascii="Avenir Book" w:hAnsi="Avenir Book"/>
          <w:sz w:val="20"/>
          <w:szCs w:val="20"/>
        </w:rPr>
        <w:t>La récupération ne peut concerner que les salariés présents lors de l'interruption.</w:t>
      </w:r>
    </w:p>
    <w:p>
      <w:pPr>
        <w:pStyle w:val="Normal"/>
        <w:jc w:val="both"/>
        <w:rPr>
          <w:rFonts w:ascii="Avenir Book" w:hAnsi="Avenir Book"/>
          <w:sz w:val="20"/>
          <w:szCs w:val="20"/>
        </w:rPr>
      </w:pPr>
      <w:r>
        <w:rPr>
          <w:rFonts w:ascii="Avenir Book" w:hAnsi="Avenir Book"/>
          <w:sz w:val="20"/>
          <w:szCs w:val="20"/>
        </w:rPr>
        <w:t>Le nombre d'heures de récupération ne peut excéder 8 heures par semaine.</w:t>
      </w:r>
      <w:r>
        <w:fldChar w:fldCharType="begin"/>
      </w:r>
      <w:r>
        <w:rPr>
          <w:rStyle w:val="ListLabel370"/>
          <w:sz w:val="20"/>
          <w:szCs w:val="20"/>
          <w:rFonts w:ascii="Avenir Book" w:hAnsi="Avenir Book"/>
        </w:rPr>
        <w:instrText xml:space="preserve"> HYPERLINK "https://www.legifrance.gouv.fr/conv_coll/id/KALIARTI000042192095/" \l "RENVOI_KALIARTI000042192095_3"</w:instrText>
      </w:r>
      <w:r>
        <w:rPr>
          <w:rStyle w:val="ListLabel370"/>
          <w:sz w:val="20"/>
          <w:szCs w:val="20"/>
          <w:rFonts w:ascii="Avenir Book" w:hAnsi="Avenir Book"/>
        </w:rPr>
        <w:fldChar w:fldCharType="separate"/>
      </w:r>
      <w:r>
        <w:rPr>
          <w:rStyle w:val="ListLabel370"/>
          <w:rFonts w:ascii="Avenir Book" w:hAnsi="Avenir Book"/>
          <w:sz w:val="20"/>
          <w:szCs w:val="20"/>
        </w:rPr>
        <w:t xml:space="preserve"> </w:t>
      </w:r>
      <w:r>
        <w:rPr>
          <w:rStyle w:val="ListLabel370"/>
          <w:sz w:val="20"/>
          <w:szCs w:val="20"/>
          <w:rFonts w:ascii="Avenir Book" w:hAnsi="Avenir Book"/>
        </w:rPr>
        <w:fldChar w:fldCharType="end"/>
      </w:r>
    </w:p>
    <w:p>
      <w:pPr>
        <w:pStyle w:val="Normal"/>
        <w:jc w:val="both"/>
        <w:rPr>
          <w:rFonts w:ascii="Avenir Book" w:hAnsi="Avenir Book"/>
          <w:sz w:val="20"/>
          <w:szCs w:val="20"/>
        </w:rPr>
      </w:pPr>
      <w:r>
        <w:rPr>
          <w:rFonts w:ascii="Avenir Book" w:hAnsi="Avenir Book"/>
          <w:sz w:val="20"/>
          <w:szCs w:val="20"/>
        </w:rPr>
      </w:r>
    </w:p>
    <w:p>
      <w:pPr>
        <w:pStyle w:val="Normal"/>
        <w:spacing w:after="200" w:before="0"/>
        <w:ind w:right="284"/>
        <w:jc w:val="both"/>
        <w:rPr>
          <w:rFonts w:ascii="Avenir Book" w:hAnsi="Avenir Book"/>
          <w:b/>
          <w:sz w:val="20"/>
          <w:szCs w:val="20"/>
          <w:u w:val="single"/>
        </w:rPr>
      </w:pPr>
      <w:r>
        <w:rPr>
          <w:rFonts w:ascii="Avenir Book" w:hAnsi="Avenir Book"/>
          <w:b/>
          <w:sz w:val="20"/>
          <w:szCs w:val="20"/>
          <w:u w:val="single"/>
        </w:rPr>
        <w:t xml:space="preserve">TITRE III – GESTION DU TEMPS DE TRAVAIL </w:t>
      </w:r>
    </w:p>
    <w:p>
      <w:pPr>
        <w:pStyle w:val="Normal"/>
        <w:spacing w:after="120" w:before="0"/>
        <w:jc w:val="both"/>
        <w:rPr>
          <w:rFonts w:ascii="Avenir Book" w:hAnsi="Avenir Book"/>
          <w:b/>
          <w:sz w:val="20"/>
          <w:szCs w:val="20"/>
          <w:u w:val="single"/>
        </w:rPr>
      </w:pPr>
      <w:r>
        <w:rPr>
          <w:rFonts w:ascii="Avenir Book" w:hAnsi="Avenir Book"/>
          <w:b/>
          <w:sz w:val="20"/>
          <w:szCs w:val="20"/>
          <w:u w:val="single"/>
        </w:rPr>
        <w:t xml:space="preserve">Article 1 - Modalités d’organisation du temps de travail </w:t>
      </w:r>
    </w:p>
    <w:p>
      <w:pPr>
        <w:pStyle w:val="Normal"/>
        <w:spacing w:after="120" w:before="0"/>
        <w:jc w:val="both"/>
        <w:rPr>
          <w:rFonts w:ascii="Avenir Book" w:hAnsi="Avenir Book"/>
          <w:sz w:val="20"/>
          <w:szCs w:val="20"/>
        </w:rPr>
      </w:pPr>
      <w:r>
        <w:rPr>
          <w:rFonts w:ascii="Avenir Book" w:hAnsi="Avenir Book"/>
          <w:sz w:val="20"/>
          <w:szCs w:val="20"/>
        </w:rPr>
        <w:t>Le temps de travail effectif est la période au cours de laquelle un salarié doit respecter les directives de son employeur, sans pouvoir s'adonner à des occupations autres que professionnelles.</w:t>
      </w:r>
    </w:p>
    <w:p>
      <w:pPr>
        <w:pStyle w:val="Normal"/>
        <w:spacing w:after="160" w:before="0"/>
        <w:jc w:val="both"/>
        <w:rPr>
          <w:rFonts w:ascii="Avenir Book" w:hAnsi="Avenir Book"/>
          <w:sz w:val="20"/>
          <w:szCs w:val="20"/>
        </w:rPr>
      </w:pPr>
      <w:r>
        <w:rPr>
          <w:rFonts w:ascii="Avenir Book" w:hAnsi="Avenir Book"/>
          <w:sz w:val="20"/>
          <w:szCs w:val="20"/>
        </w:rPr>
        <w:t>La durée du travail est de 35 heures par semaine.</w:t>
      </w:r>
    </w:p>
    <w:p>
      <w:pPr>
        <w:pStyle w:val="Normal"/>
        <w:spacing w:after="120" w:before="0"/>
        <w:jc w:val="both"/>
        <w:rPr>
          <w:rFonts w:ascii="Avenir Book" w:hAnsi="Avenir Book"/>
          <w:b/>
          <w:sz w:val="20"/>
          <w:szCs w:val="20"/>
          <w:u w:val="single"/>
        </w:rPr>
      </w:pPr>
      <w:r>
        <w:rPr>
          <w:rFonts w:ascii="Avenir Book" w:hAnsi="Avenir Book"/>
          <w:b/>
          <w:sz w:val="20"/>
          <w:szCs w:val="20"/>
          <w:u w:val="single"/>
        </w:rPr>
        <w:t xml:space="preserve">Article 2 - Les heures supplémentaires  </w:t>
      </w:r>
    </w:p>
    <w:p>
      <w:pPr>
        <w:pStyle w:val="Normal"/>
        <w:numPr>
          <w:ilvl w:val="0"/>
          <w:numId w:val="5"/>
        </w:numPr>
        <w:spacing w:after="60" w:before="0"/>
        <w:ind w:hanging="284" w:left="425"/>
        <w:jc w:val="both"/>
        <w:rPr>
          <w:rFonts w:ascii="Avenir Book" w:hAnsi="Avenir Book"/>
          <w:b/>
          <w:sz w:val="20"/>
          <w:szCs w:val="20"/>
        </w:rPr>
      </w:pPr>
      <w:r>
        <w:rPr>
          <w:rFonts w:ascii="Avenir Book" w:hAnsi="Avenir Book"/>
          <w:b/>
          <w:sz w:val="20"/>
          <w:szCs w:val="20"/>
        </w:rPr>
        <w:t xml:space="preserve">Les modalités de paiement </w:t>
      </w:r>
    </w:p>
    <w:p>
      <w:pPr>
        <w:pStyle w:val="Normal"/>
        <w:spacing w:after="120" w:before="0"/>
        <w:ind w:left="425"/>
        <w:jc w:val="both"/>
        <w:rPr>
          <w:rFonts w:ascii="Avenir Book" w:hAnsi="Avenir Book"/>
          <w:sz w:val="20"/>
          <w:szCs w:val="20"/>
        </w:rPr>
      </w:pPr>
      <w:r>
        <w:rPr>
          <w:rFonts w:ascii="Avenir Book" w:hAnsi="Avenir Book"/>
          <w:sz w:val="20"/>
          <w:szCs w:val="20"/>
        </w:rPr>
        <w:t xml:space="preserve">Les heures supplémentaires effectuées la dernière semaine travaillée du mois seront payées avec le bulletin de paie du mois suivant afin de pouvoir établir les bulletins de paye avant la fin du mois. </w:t>
      </w:r>
    </w:p>
    <w:p>
      <w:pPr>
        <w:pStyle w:val="Normal"/>
        <w:numPr>
          <w:ilvl w:val="0"/>
          <w:numId w:val="5"/>
        </w:numPr>
        <w:spacing w:after="60" w:before="0"/>
        <w:ind w:hanging="284" w:left="425"/>
        <w:jc w:val="both"/>
        <w:rPr>
          <w:rFonts w:ascii="Avenir Book" w:hAnsi="Avenir Book"/>
          <w:b/>
          <w:sz w:val="20"/>
          <w:szCs w:val="20"/>
        </w:rPr>
      </w:pPr>
      <w:r>
        <w:rPr>
          <w:rFonts w:ascii="Avenir Book" w:hAnsi="Avenir Book"/>
          <w:b/>
          <w:sz w:val="20"/>
          <w:szCs w:val="20"/>
        </w:rPr>
        <w:t>Les taux de majorations</w:t>
      </w:r>
    </w:p>
    <w:p>
      <w:pPr>
        <w:pStyle w:val="Normal"/>
        <w:spacing w:after="120" w:before="0"/>
        <w:ind w:left="425"/>
        <w:jc w:val="both"/>
        <w:rPr>
          <w:rFonts w:ascii="Avenir Book" w:hAnsi="Avenir Book"/>
          <w:sz w:val="20"/>
          <w:szCs w:val="20"/>
        </w:rPr>
      </w:pPr>
      <w:r>
        <w:rPr>
          <w:rFonts w:ascii="Avenir Book" w:hAnsi="Avenir Book"/>
          <w:sz w:val="20"/>
          <w:szCs w:val="20"/>
        </w:rPr>
        <w:t xml:space="preserve">Toute heure travaillée au-delà de 35 heures par semaine donne droit à une majoration de la rémunération. Le taux de majoration des heures supplémentaires est de 25% pour les 8 premières heures effectuées, c’est-à-dire entre la 36ème et la 43ème heure. Le taux de majoration des heures supplémentaires est de 50% pour les heures suivantes, c’est-à-dire entre la 44ème et la 48ème heure. </w:t>
      </w:r>
    </w:p>
    <w:p>
      <w:pPr>
        <w:pStyle w:val="Normal"/>
        <w:spacing w:after="160" w:before="0"/>
        <w:jc w:val="both"/>
        <w:rPr>
          <w:rFonts w:ascii="Avenir Book" w:hAnsi="Avenir Book"/>
          <w:sz w:val="20"/>
          <w:szCs w:val="20"/>
        </w:rPr>
      </w:pPr>
      <w:bookmarkStart w:id="0" w:name="_Hlk98501447"/>
      <w:r>
        <w:rPr>
          <w:rFonts w:ascii="Avenir Book" w:hAnsi="Avenir Book"/>
          <w:sz w:val="20"/>
          <w:szCs w:val="20"/>
        </w:rPr>
        <w:t xml:space="preserve">Les heures à partir de 40 heures, et les majorations correspondantes sont remplacées par du repos compensateur conformément aux dispositions actuellement applicables dans l’entreprise. </w:t>
      </w:r>
    </w:p>
    <w:p>
      <w:pPr>
        <w:pStyle w:val="Normal"/>
        <w:spacing w:after="160" w:before="0"/>
        <w:jc w:val="both"/>
        <w:rPr>
          <w:rFonts w:ascii="Avenir Book" w:hAnsi="Avenir Book"/>
          <w:sz w:val="20"/>
          <w:szCs w:val="20"/>
        </w:rPr>
      </w:pPr>
      <w:bookmarkStart w:id="1" w:name="_Hlk98501447"/>
      <w:r>
        <w:rPr>
          <w:rFonts w:ascii="Avenir Book" w:hAnsi="Avenir Book"/>
          <w:sz w:val="20"/>
          <w:szCs w:val="20"/>
        </w:rPr>
        <w:t>En pratique, notre entreprise a rédigé une décision unilatérale qui prévoit les modalités de fonctionnement du repos compensateur de remplacement.</w:t>
      </w:r>
      <w:bookmarkEnd w:id="1"/>
    </w:p>
    <w:p>
      <w:pPr>
        <w:pStyle w:val="Normal"/>
        <w:spacing w:after="120" w:before="0"/>
        <w:jc w:val="both"/>
        <w:rPr>
          <w:rFonts w:ascii="Avenir Book" w:hAnsi="Avenir Book"/>
          <w:b/>
          <w:sz w:val="20"/>
          <w:szCs w:val="20"/>
          <w:u w:val="single"/>
        </w:rPr>
      </w:pPr>
      <w:r>
        <w:rPr>
          <w:rFonts w:ascii="Avenir Book" w:hAnsi="Avenir Book"/>
          <w:b/>
          <w:sz w:val="20"/>
          <w:szCs w:val="20"/>
          <w:u w:val="single"/>
        </w:rPr>
        <w:t>Article 3 - Modalités d’enregistrement du temps de travail</w:t>
      </w:r>
    </w:p>
    <w:p>
      <w:pPr>
        <w:pStyle w:val="Normal"/>
        <w:jc w:val="both"/>
        <w:rPr>
          <w:rFonts w:ascii="Avenir Book" w:hAnsi="Avenir Book"/>
          <w:sz w:val="20"/>
          <w:szCs w:val="20"/>
        </w:rPr>
      </w:pPr>
      <w:r>
        <w:rPr>
          <w:rFonts w:ascii="Avenir Book" w:hAnsi="Avenir Book"/>
          <w:sz w:val="20"/>
          <w:szCs w:val="20"/>
        </w:rPr>
        <w:t>Les salariés remplissent les fiches d’heures chaque soir. Celles-ci sont remises à l’employeur en fin de mois, signées par le salarié.</w:t>
      </w:r>
    </w:p>
    <w:p>
      <w:pPr>
        <w:pStyle w:val="Normal"/>
        <w:jc w:val="both"/>
        <w:rPr>
          <w:rFonts w:ascii="Avenir Book" w:hAnsi="Avenir Book"/>
          <w:sz w:val="20"/>
          <w:szCs w:val="20"/>
        </w:rPr>
      </w:pPr>
      <w:r>
        <w:rPr>
          <w:rFonts w:ascii="Avenir Book" w:hAnsi="Avenir Book"/>
          <w:sz w:val="20"/>
          <w:szCs w:val="20"/>
        </w:rPr>
      </w:r>
    </w:p>
    <w:p>
      <w:pPr>
        <w:pStyle w:val="Normal"/>
        <w:spacing w:after="200" w:before="0"/>
        <w:jc w:val="both"/>
        <w:rPr>
          <w:rFonts w:ascii="Avenir Book" w:hAnsi="Avenir Book"/>
          <w:b/>
          <w:sz w:val="20"/>
          <w:szCs w:val="20"/>
          <w:u w:val="single"/>
        </w:rPr>
      </w:pPr>
      <w:r>
        <w:rPr>
          <w:rFonts w:ascii="Avenir Book" w:hAnsi="Avenir Book"/>
          <w:b/>
          <w:sz w:val="20"/>
          <w:szCs w:val="20"/>
          <w:u w:val="single"/>
        </w:rPr>
        <w:t xml:space="preserve">TITRE IV – DISPOSITIONS FINALES </w:t>
      </w:r>
    </w:p>
    <w:p>
      <w:pPr>
        <w:pStyle w:val="Normal"/>
        <w:spacing w:after="120" w:before="0"/>
        <w:jc w:val="both"/>
        <w:rPr>
          <w:rFonts w:ascii="Avenir Book" w:hAnsi="Avenir Book"/>
          <w:b/>
          <w:sz w:val="20"/>
          <w:szCs w:val="20"/>
          <w:u w:val="single"/>
        </w:rPr>
      </w:pPr>
      <w:r>
        <w:rPr>
          <w:rFonts w:ascii="Avenir Book" w:hAnsi="Avenir Book"/>
          <w:b/>
          <w:sz w:val="20"/>
          <w:szCs w:val="20"/>
          <w:u w:val="single"/>
        </w:rPr>
        <w:t>Article 1 - Modalités de conclusion du présent accord</w:t>
      </w:r>
    </w:p>
    <w:p>
      <w:pPr>
        <w:pStyle w:val="Normal"/>
        <w:spacing w:after="160" w:before="0"/>
        <w:jc w:val="both"/>
        <w:rPr>
          <w:rFonts w:ascii="Avenir Book" w:hAnsi="Avenir Book"/>
          <w:i/>
          <w:i/>
          <w:sz w:val="20"/>
          <w:szCs w:val="20"/>
        </w:rPr>
      </w:pPr>
      <w:r>
        <w:rPr>
          <w:rFonts w:ascii="Avenir Book" w:hAnsi="Avenir Book"/>
          <w:sz w:val="20"/>
          <w:szCs w:val="20"/>
        </w:rPr>
        <w:t>Le présent accord est conclu selon les modalités prévues à l’article L2232-21 du code du travail</w:t>
      </w:r>
      <w:r>
        <w:rPr>
          <w:rFonts w:ascii="Avenir Book" w:hAnsi="Avenir Book"/>
          <w:i/>
          <w:sz w:val="20"/>
          <w:szCs w:val="20"/>
        </w:rPr>
        <w:t>.</w:t>
      </w:r>
    </w:p>
    <w:p>
      <w:pPr>
        <w:pStyle w:val="Normal"/>
        <w:spacing w:after="120" w:before="0"/>
        <w:jc w:val="both"/>
        <w:rPr>
          <w:rFonts w:ascii="Avenir Book" w:hAnsi="Avenir Book"/>
          <w:b/>
          <w:sz w:val="20"/>
          <w:szCs w:val="20"/>
          <w:u w:val="single"/>
        </w:rPr>
      </w:pPr>
      <w:r>
        <w:rPr>
          <w:rFonts w:ascii="Avenir Book" w:hAnsi="Avenir Book"/>
          <w:b/>
          <w:sz w:val="20"/>
          <w:szCs w:val="20"/>
          <w:u w:val="single"/>
        </w:rPr>
        <w:t>Article 2 - Date d’effet et durée d’application</w:t>
      </w:r>
    </w:p>
    <w:p>
      <w:pPr>
        <w:pStyle w:val="Normal"/>
        <w:spacing w:after="120" w:before="0"/>
        <w:jc w:val="both"/>
        <w:rPr>
          <w:rFonts w:ascii="Avenir Book" w:hAnsi="Avenir Book"/>
          <w:sz w:val="20"/>
          <w:szCs w:val="20"/>
        </w:rPr>
      </w:pPr>
      <w:r>
        <w:rPr>
          <w:rFonts w:ascii="Avenir Book" w:hAnsi="Avenir Book"/>
          <w:sz w:val="20"/>
          <w:szCs w:val="20"/>
        </w:rPr>
        <w:t>Le présent accord prend effet à compter du 1</w:t>
      </w:r>
      <w:r>
        <w:rPr>
          <w:rFonts w:ascii="Avenir Book" w:hAnsi="Avenir Book"/>
          <w:sz w:val="20"/>
          <w:szCs w:val="20"/>
          <w:vertAlign w:val="superscript"/>
        </w:rPr>
        <w:t>er</w:t>
      </w:r>
      <w:r>
        <w:rPr>
          <w:rFonts w:ascii="Avenir Book" w:hAnsi="Avenir Book"/>
          <w:sz w:val="20"/>
          <w:szCs w:val="20"/>
        </w:rPr>
        <w:t xml:space="preserve"> juin 2025.</w:t>
      </w:r>
    </w:p>
    <w:p>
      <w:pPr>
        <w:pStyle w:val="Normal"/>
        <w:spacing w:after="160" w:before="0"/>
        <w:jc w:val="both"/>
        <w:rPr>
          <w:rFonts w:ascii="Avenir Book" w:hAnsi="Avenir Book"/>
          <w:sz w:val="20"/>
          <w:szCs w:val="20"/>
        </w:rPr>
      </w:pPr>
      <w:r>
        <w:rPr>
          <w:rFonts w:ascii="Avenir Book" w:hAnsi="Avenir Book"/>
          <w:sz w:val="20"/>
          <w:szCs w:val="20"/>
        </w:rPr>
        <w:t>Le présent accord est conclu pour une durée indéterminée.</w:t>
      </w:r>
    </w:p>
    <w:p>
      <w:pPr>
        <w:pStyle w:val="Normal"/>
        <w:spacing w:after="120" w:before="0"/>
        <w:jc w:val="both"/>
        <w:rPr>
          <w:rFonts w:ascii="Avenir Book" w:hAnsi="Avenir Book"/>
          <w:b/>
          <w:sz w:val="20"/>
          <w:szCs w:val="20"/>
          <w:u w:val="single"/>
        </w:rPr>
      </w:pPr>
      <w:r>
        <w:rPr>
          <w:rFonts w:ascii="Avenir Book" w:hAnsi="Avenir Book"/>
          <w:b/>
          <w:sz w:val="20"/>
          <w:szCs w:val="20"/>
          <w:u w:val="single"/>
        </w:rPr>
        <w:t>Article 3 - Dénonciation de l’accord</w:t>
      </w:r>
    </w:p>
    <w:p>
      <w:pPr>
        <w:pStyle w:val="Normal"/>
        <w:spacing w:after="160" w:before="0"/>
        <w:jc w:val="both"/>
        <w:rPr>
          <w:rFonts w:ascii="Avenir Book" w:hAnsi="Avenir Book"/>
          <w:sz w:val="20"/>
          <w:szCs w:val="20"/>
        </w:rPr>
      </w:pPr>
      <w:r>
        <w:rPr>
          <w:rFonts w:ascii="Avenir Book" w:hAnsi="Avenir Book"/>
          <w:sz w:val="20"/>
          <w:szCs w:val="20"/>
        </w:rPr>
        <w:t>Le</w:t>
      </w:r>
      <w:r>
        <w:rPr>
          <w:rFonts w:ascii="Avenir Book" w:hAnsi="Avenir Book"/>
          <w:b/>
          <w:sz w:val="20"/>
          <w:szCs w:val="20"/>
        </w:rPr>
        <w:t xml:space="preserve"> </w:t>
      </w:r>
      <w:r>
        <w:rPr>
          <w:rFonts w:ascii="Avenir Book" w:hAnsi="Avenir Book"/>
          <w:sz w:val="20"/>
          <w:szCs w:val="20"/>
        </w:rPr>
        <w:t>présent accord pourra être dénoncé par les parties conformément aux dispositions légales en vigueur.</w:t>
      </w:r>
    </w:p>
    <w:p>
      <w:pPr>
        <w:pStyle w:val="Normal"/>
        <w:spacing w:after="120" w:before="0"/>
        <w:jc w:val="both"/>
        <w:rPr>
          <w:rFonts w:ascii="Avenir Book" w:hAnsi="Avenir Book"/>
          <w:b/>
          <w:sz w:val="20"/>
          <w:szCs w:val="20"/>
          <w:u w:val="single"/>
        </w:rPr>
      </w:pPr>
      <w:r>
        <w:rPr>
          <w:rFonts w:ascii="Avenir Book" w:hAnsi="Avenir Book"/>
          <w:b/>
          <w:sz w:val="20"/>
          <w:szCs w:val="20"/>
          <w:u w:val="single"/>
        </w:rPr>
        <w:t xml:space="preserve">Article 4 - Dépôt et publicité de l’accord  </w:t>
      </w:r>
    </w:p>
    <w:p>
      <w:pPr>
        <w:pStyle w:val="Normal"/>
        <w:spacing w:after="120" w:before="0"/>
        <w:jc w:val="both"/>
        <w:rPr>
          <w:rFonts w:ascii="Avenir Book" w:hAnsi="Avenir Book"/>
          <w:sz w:val="20"/>
          <w:szCs w:val="20"/>
        </w:rPr>
      </w:pPr>
      <w:r>
        <w:rPr>
          <w:rFonts w:ascii="Avenir Book" w:hAnsi="Avenir Book"/>
          <w:sz w:val="20"/>
          <w:szCs w:val="20"/>
        </w:rPr>
        <w:t xml:space="preserve">Le présent accord sera déposé, à la diligence de l’employeur : </w:t>
      </w:r>
    </w:p>
    <w:p>
      <w:pPr>
        <w:pStyle w:val="ListParagraph"/>
        <w:numPr>
          <w:ilvl w:val="0"/>
          <w:numId w:val="2"/>
        </w:numPr>
        <w:spacing w:after="120" w:before="0"/>
        <w:contextualSpacing w:val="false"/>
        <w:jc w:val="both"/>
        <w:rPr>
          <w:rFonts w:ascii="Avenir Book" w:hAnsi="Avenir Book"/>
          <w:sz w:val="20"/>
        </w:rPr>
      </w:pPr>
      <w:r>
        <w:rPr>
          <w:rFonts w:ascii="Avenir Book" w:hAnsi="Avenir Book"/>
          <w:sz w:val="20"/>
        </w:rPr>
        <w:t>Auprès de la DIRECCTE en version électronique sur la plateforme de téléprocédure du ministère du Travail dénommée « TéléAccords » accessible sur le site Internet </w:t>
      </w:r>
      <w:hyperlink r:id="rId2" w:tgtFrame="_blank">
        <w:r>
          <w:rPr>
            <w:rStyle w:val="ListLabel371"/>
            <w:rFonts w:ascii="Avenir Book" w:hAnsi="Avenir Book"/>
            <w:sz w:val="20"/>
          </w:rPr>
          <w:t>www.teleaccords.travail-emploi.gouv.fr</w:t>
        </w:r>
      </w:hyperlink>
      <w:r>
        <w:rPr>
          <w:rFonts w:ascii="Avenir Book" w:hAnsi="Avenir Book"/>
          <w:sz w:val="20"/>
        </w:rPr>
        <w:t>. (accord complet et version anonymisée en format .docx)</w:t>
      </w:r>
    </w:p>
    <w:p>
      <w:pPr>
        <w:pStyle w:val="ListParagraph"/>
        <w:numPr>
          <w:ilvl w:val="0"/>
          <w:numId w:val="2"/>
        </w:numPr>
        <w:spacing w:after="120" w:before="0"/>
        <w:contextualSpacing w:val="false"/>
        <w:jc w:val="both"/>
        <w:rPr>
          <w:rFonts w:ascii="Avenir Book" w:hAnsi="Avenir Book"/>
          <w:sz w:val="20"/>
        </w:rPr>
      </w:pPr>
      <w:r>
        <w:rPr>
          <w:rFonts w:ascii="Avenir Book" w:hAnsi="Avenir Book"/>
          <w:sz w:val="20"/>
        </w:rPr>
        <w:t>Auprès de la commission paritaire permanente de négociation et d'interprétation (CPPNI) : c</w:t>
      </w:r>
      <w:r>
        <w:rPr>
          <w:rFonts w:ascii="Avenir Book" w:hAnsi="Avenir Book"/>
          <w:bCs/>
          <w:color w:val="000000"/>
          <w:sz w:val="20"/>
          <w:shd w:fill="FFFFFF" w:val="clear"/>
        </w:rPr>
        <w:t>ppnipaysage@unep-fr.org</w:t>
      </w:r>
    </w:p>
    <w:p>
      <w:pPr>
        <w:pStyle w:val="ListParagraph"/>
        <w:numPr>
          <w:ilvl w:val="0"/>
          <w:numId w:val="2"/>
        </w:numPr>
        <w:spacing w:after="120" w:before="0"/>
        <w:ind w:hanging="357" w:left="714"/>
        <w:contextualSpacing w:val="false"/>
        <w:jc w:val="both"/>
        <w:rPr>
          <w:rFonts w:ascii="Avenir Book" w:hAnsi="Avenir Book"/>
          <w:sz w:val="20"/>
        </w:rPr>
      </w:pPr>
      <w:r>
        <w:rPr>
          <w:rFonts w:ascii="Avenir Book" w:hAnsi="Avenir Book"/>
          <w:sz w:val="20"/>
        </w:rPr>
        <w:t>Auprès du secrétariat du greffe du Conseil de Prud’hommes de Libourne.</w:t>
      </w:r>
    </w:p>
    <w:p>
      <w:pPr>
        <w:pStyle w:val="Normal"/>
        <w:jc w:val="both"/>
        <w:rPr>
          <w:rFonts w:ascii="Avenir Book" w:hAnsi="Avenir Book"/>
          <w:sz w:val="20"/>
          <w:szCs w:val="20"/>
        </w:rPr>
      </w:pPr>
      <w:r>
        <w:rPr>
          <w:rFonts w:ascii="Avenir Book" w:hAnsi="Avenir Book"/>
          <w:sz w:val="20"/>
          <w:szCs w:val="20"/>
        </w:rPr>
        <w:t xml:space="preserve">Le présent accord sera publié, dans une version anonyme, sur la base de données en ligne des accords collectifs : </w:t>
      </w:r>
      <w:hyperlink r:id="rId3" w:tgtFrame="legifrance.gouv.fr (nouvelle fenêtre)">
        <w:r>
          <w:rPr>
            <w:rStyle w:val="ListLabel370"/>
            <w:rFonts w:ascii="Avenir Book" w:hAnsi="Avenir Book"/>
            <w:sz w:val="20"/>
            <w:szCs w:val="20"/>
          </w:rPr>
          <w:t>legifrance.gouv.fr</w:t>
        </w:r>
      </w:hyperlink>
      <w:r>
        <w:rPr>
          <w:rFonts w:ascii="Avenir Book" w:hAnsi="Avenir Book"/>
          <w:sz w:val="20"/>
          <w:szCs w:val="20"/>
        </w:rPr>
        <w:t>.</w:t>
      </w:r>
    </w:p>
    <w:p>
      <w:pPr>
        <w:pStyle w:val="Normal"/>
        <w:jc w:val="both"/>
        <w:rPr>
          <w:rFonts w:ascii="Avenir Book" w:hAnsi="Avenir Book"/>
          <w:sz w:val="20"/>
          <w:szCs w:val="20"/>
        </w:rPr>
      </w:pPr>
      <w:r>
        <w:rPr>
          <w:rFonts w:ascii="Avenir Book" w:hAnsi="Avenir Book"/>
          <w:sz w:val="20"/>
          <w:szCs w:val="20"/>
        </w:rPr>
      </w:r>
    </w:p>
    <w:p>
      <w:pPr>
        <w:pStyle w:val="Normal"/>
        <w:jc w:val="both"/>
        <w:rPr>
          <w:rFonts w:ascii="Avenir Book" w:hAnsi="Avenir Book"/>
          <w:sz w:val="20"/>
          <w:szCs w:val="20"/>
        </w:rPr>
      </w:pPr>
      <w:r>
        <w:rPr>
          <w:rFonts w:ascii="Avenir Book" w:hAnsi="Avenir Book"/>
          <w:sz w:val="20"/>
          <w:szCs w:val="20"/>
        </w:rPr>
        <w:t xml:space="preserve">Fait à Saint Avit Saint Nazaire, le </w:t>
      </w:r>
      <w:r>
        <w:rPr>
          <w:rFonts w:ascii="Avenir Book" w:hAnsi="Avenir Book"/>
          <w:sz w:val="20"/>
          <w:szCs w:val="20"/>
        </w:rPr>
        <w:t>6 juin 2</w:t>
      </w:r>
      <w:r>
        <w:rPr>
          <w:rFonts w:ascii="Avenir Book" w:hAnsi="Avenir Book"/>
          <w:sz w:val="20"/>
          <w:szCs w:val="20"/>
        </w:rPr>
        <w:t>025</w:t>
      </w:r>
    </w:p>
    <w:p>
      <w:pPr>
        <w:pStyle w:val="ListParagraph"/>
        <w:ind w:left="0"/>
        <w:jc w:val="both"/>
        <w:rPr>
          <w:rFonts w:ascii="Avenir Book" w:hAnsi="Avenir Book"/>
          <w:sz w:val="20"/>
        </w:rPr>
      </w:pPr>
      <w:r>
        <w:rPr>
          <w:rFonts w:ascii="Avenir Book" w:hAnsi="Avenir Book"/>
          <w:sz w:val="20"/>
        </w:rPr>
      </w:r>
    </w:p>
    <w:p>
      <w:pPr>
        <w:pStyle w:val="ListParagraph"/>
        <w:ind w:left="0"/>
        <w:jc w:val="both"/>
        <w:rPr>
          <w:rFonts w:ascii="Avenir Book" w:hAnsi="Avenir Book"/>
          <w:sz w:val="20"/>
        </w:rPr>
      </w:pPr>
      <w:r>
        <w:rPr>
          <w:rFonts w:ascii="Avenir Book" w:hAnsi="Avenir Book"/>
          <w:sz w:val="20"/>
        </w:rPr>
        <w:t xml:space="preserve">Pour la Société, </w:t>
      </w:r>
    </w:p>
    <w:p>
      <w:pPr>
        <w:pStyle w:val="ListParagraph"/>
        <w:ind w:left="0"/>
        <w:jc w:val="both"/>
        <w:rPr>
          <w:rFonts w:ascii="Avenir Book" w:hAnsi="Avenir Book"/>
          <w:sz w:val="20"/>
        </w:rPr>
      </w:pPr>
      <w:r>
        <w:rPr>
          <w:rFonts w:ascii="Avenir Book" w:hAnsi="Avenir Book"/>
          <w:sz w:val="20"/>
        </w:rPr>
        <w:t>Co-gérants</w:t>
      </w:r>
    </w:p>
    <w:p>
      <w:pPr>
        <w:pStyle w:val="Default"/>
        <w:spacing w:after="0" w:before="0"/>
        <w:contextualSpacing/>
        <w:jc w:val="both"/>
        <w:rPr>
          <w:rFonts w:ascii="Avenir Book" w:hAnsi="Avenir Book"/>
          <w:sz w:val="20"/>
          <w:szCs w:val="20"/>
        </w:rPr>
      </w:pPr>
      <w:r>
        <w:rPr>
          <w:rFonts w:ascii="Avenir Book" w:hAnsi="Avenir Book"/>
          <w:sz w:val="20"/>
          <w:szCs w:val="20"/>
        </w:rPr>
      </w:r>
    </w:p>
    <w:p>
      <w:pPr>
        <w:pStyle w:val="Normal"/>
        <w:jc w:val="both"/>
        <w:rPr>
          <w:rFonts w:ascii="Avenir Book" w:hAnsi="Avenir Book"/>
          <w:sz w:val="20"/>
          <w:szCs w:val="20"/>
        </w:rPr>
      </w:pPr>
      <w:r>
        <w:rPr>
          <w:rFonts w:ascii="Avenir Book" w:hAnsi="Avenir Book"/>
          <w:sz w:val="20"/>
          <w:szCs w:val="20"/>
        </w:rPr>
      </w:r>
    </w:p>
    <w:sectPr>
      <w:footerReference r:id="rId4" w:type="even"/>
      <w:footerReference r:id="rId5" w:type="default"/>
      <w:footerReference r:id="rId6" w:type="first"/>
      <w:type w:val="nextPage"/>
      <w:pgSz w:h="16838" w:w="11906"/>
      <w:pgMar w:bottom="709" w:footer="150" w:gutter="0" w:header="0" w:left="1276" w:right="1133" w:top="1276"/>
      <w:pgNumType w:fmt="decimal"/>
      <w:formProt w:val="false"/>
      <w:textDirection w:val="lrTb"/>
      <w:docGrid w:charSpace="0" w:linePitch="36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1"/>
    <w:family w:val="auto"/>
    <w:pitch w:val="default"/>
  </w:font>
  <w:font w:name="Arial">
    <w:charset w:val="01"/>
    <w:family w:val="auto"/>
    <w:pitch w:val="default"/>
  </w:font>
  <w:font w:name="Segoe UI">
    <w:charset w:val="01"/>
    <w:family w:val="auto"/>
    <w:pitch w:val="default"/>
  </w:font>
  <w:font w:name="Marianne">
    <w:charset w:val="01"/>
    <w:family w:val="auto"/>
    <w:pitch w:val="default"/>
  </w:font>
  <w:font w:name="Avenir Book">
    <w:charset w:val="01"/>
    <w:family w:val="auto"/>
    <w:pitch w:val="default"/>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Footer"/>
      <w:ind w:right="360"/>
      <w:rPr/>
    </w:pPr>
    <w:r>
      <w:rPr/>
    </w:r>
    <w:r>
      <mc:AlternateContent>
        <mc:Choice Requires="wps">
          <w:drawing>
            <wp:anchor allowOverlap="1" behindDoc="0" distB="0" distL="0" distR="0" distT="0" layoutInCell="1" locked="0" relativeHeight="0" simplePos="0">
              <wp:simplePos x="0" y="0"/>
              <wp:positionH relativeFrom="margin">
                <wp:align>right</wp:align>
              </wp:positionH>
              <wp:positionV relativeFrom="paragraph">
                <wp:posOffset>635</wp:posOffset>
              </wp:positionV>
              <wp:extent cx="14605" cy="14605"/>
              <wp:effectExtent b="0" l="0" r="0" t="0"/>
              <wp:wrapSquare wrapText="bothSides"/>
              <wp:docPr id="1" name="Cadr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bIns="0" lIns="0" rIns="0" t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Footer"/>
      <w:jc w:val="right"/>
      <w:rPr>
        <w:rFonts w:ascii="Avenir Book" w:hAnsi="Avenir Book"/>
        <w:sz w:val="18"/>
        <w:szCs w:val="18"/>
      </w:rPr>
    </w:pPr>
    <w:r>
      <w:rPr>
        <w:rFonts w:ascii="Avenir Book" w:hAnsi="Avenir Book"/>
        <w:sz w:val="18"/>
        <w:szCs w:val="18"/>
      </w:rPr>
      <w:t xml:space="preserve">Page | </w:t>
    </w:r>
    <w:r>
      <w:rPr>
        <w:rFonts w:ascii="Avenir Book" w:hAnsi="Avenir Book"/>
        <w:sz w:val="18"/>
        <w:szCs w:val="18"/>
      </w:rPr>
      <w:fldChar w:fldCharType="begin"/>
    </w:r>
    <w:r>
      <w:rPr>
        <w:sz w:val="18"/>
        <w:szCs w:val="18"/>
        <w:rFonts w:ascii="Avenir Book" w:hAnsi="Avenir Book"/>
      </w:rPr>
      <w:instrText xml:space="preserve"> PAGE </w:instrText>
    </w:r>
    <w:r>
      <w:rPr>
        <w:sz w:val="18"/>
        <w:szCs w:val="18"/>
        <w:rFonts w:ascii="Avenir Book" w:hAnsi="Avenir Book"/>
      </w:rPr>
      <w:fldChar w:fldCharType="separate"/>
    </w:r>
    <w:r>
      <w:rPr>
        <w:sz w:val="18"/>
        <w:szCs w:val="18"/>
        <w:rFonts w:ascii="Avenir Book" w:hAnsi="Avenir Book"/>
      </w:rPr>
      <w:t>4</w:t>
    </w:r>
    <w:r>
      <w:rPr>
        <w:sz w:val="18"/>
        <w:szCs w:val="18"/>
        <w:rFonts w:ascii="Avenir Book" w:hAnsi="Avenir Book"/>
      </w:rPr>
      <w:fldChar w:fldCharType="end"/>
    </w:r>
    <w:r>
      <w:rPr>
        <w:rFonts w:ascii="Avenir Book" w:hAnsi="Avenir Book"/>
        <w:sz w:val="18"/>
        <w:szCs w:val="18"/>
      </w:rPr>
      <w:t xml:space="preserve"> </w:t>
    </w:r>
  </w:p>
  <w:p>
    <w:pPr>
      <w:pStyle w:val="Footer"/>
      <w:ind w:right="360"/>
      <w:rPr/>
    </w:pPr>
    <w:r>
      <w:rPr/>
    </w:r>
  </w:p>
</w:ftr>
</file>

<file path=word/footer3.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Footer"/>
      <w:jc w:val="right"/>
      <w:rPr>
        <w:rFonts w:ascii="Avenir Book" w:hAnsi="Avenir Book"/>
        <w:sz w:val="18"/>
        <w:szCs w:val="18"/>
      </w:rPr>
    </w:pPr>
    <w:r>
      <w:rPr>
        <w:rFonts w:ascii="Avenir Book" w:hAnsi="Avenir Book"/>
        <w:sz w:val="18"/>
        <w:szCs w:val="18"/>
      </w:rPr>
      <w:t xml:space="preserve">Page | </w:t>
    </w:r>
    <w:r>
      <w:rPr>
        <w:rFonts w:ascii="Avenir Book" w:hAnsi="Avenir Book"/>
        <w:sz w:val="18"/>
        <w:szCs w:val="18"/>
      </w:rPr>
      <w:fldChar w:fldCharType="begin"/>
    </w:r>
    <w:r>
      <w:rPr>
        <w:sz w:val="18"/>
        <w:szCs w:val="18"/>
        <w:rFonts w:ascii="Avenir Book" w:hAnsi="Avenir Book"/>
      </w:rPr>
      <w:instrText xml:space="preserve"> PAGE </w:instrText>
    </w:r>
    <w:r>
      <w:rPr>
        <w:sz w:val="18"/>
        <w:szCs w:val="18"/>
        <w:rFonts w:ascii="Avenir Book" w:hAnsi="Avenir Book"/>
      </w:rPr>
      <w:fldChar w:fldCharType="separate"/>
    </w:r>
    <w:r>
      <w:rPr>
        <w:sz w:val="18"/>
        <w:szCs w:val="18"/>
        <w:rFonts w:ascii="Avenir Book" w:hAnsi="Avenir Book"/>
      </w:rPr>
      <w:t>4</w:t>
    </w:r>
    <w:r>
      <w:rPr>
        <w:sz w:val="18"/>
        <w:szCs w:val="18"/>
        <w:rFonts w:ascii="Avenir Book" w:hAnsi="Avenir Book"/>
      </w:rPr>
      <w:fldChar w:fldCharType="end"/>
    </w:r>
    <w:r>
      <w:rPr>
        <w:rFonts w:ascii="Avenir Book" w:hAnsi="Avenir Book"/>
        <w:sz w:val="18"/>
        <w:szCs w:val="18"/>
      </w:rPr>
      <w:t xml:space="preserve"> </w:t>
    </w:r>
  </w:p>
  <w:p>
    <w:pPr>
      <w:pStyle w:val="Footer"/>
      <w:ind w:right="360"/>
      <w:rPr/>
    </w:pPr>
    <w:r>
      <w:rPr/>
    </w: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bullet"/>
      <w:lvlText w:val="-"/>
      <w:lvlJc w:val="left"/>
      <w:pPr>
        <w:tabs>
          <w:tab w:pos="0" w:val="num"/>
        </w:tabs>
        <w:ind w:hanging="360" w:left="1271"/>
      </w:pPr>
      <w:rPr>
        <w:rFonts w:ascii="Times New Roman" w:cs="Times New Roman" w:hAnsi="Times New Roman" w:hint="default"/>
      </w:rPr>
    </w:lvl>
    <w:lvl w:ilvl="1">
      <w:start w:val="1"/>
      <w:numFmt w:val="bullet"/>
      <w:lvlText w:val="o"/>
      <w:lvlJc w:val="left"/>
      <w:pPr>
        <w:tabs>
          <w:tab w:pos="0" w:val="num"/>
        </w:tabs>
        <w:ind w:hanging="360" w:left="1991"/>
      </w:pPr>
      <w:rPr>
        <w:rFonts w:ascii="Courier New" w:cs="Courier New" w:hAnsi="Courier New" w:hint="default"/>
      </w:rPr>
    </w:lvl>
    <w:lvl w:ilvl="2">
      <w:start w:val="1"/>
      <w:numFmt w:val="bullet"/>
      <w:lvlText w:val=""/>
      <w:lvlJc w:val="left"/>
      <w:pPr>
        <w:tabs>
          <w:tab w:pos="0" w:val="num"/>
        </w:tabs>
        <w:ind w:hanging="360" w:left="2711"/>
      </w:pPr>
      <w:rPr>
        <w:rFonts w:ascii="Wingdings" w:cs="Wingdings" w:hAnsi="Wingdings" w:hint="default"/>
      </w:rPr>
    </w:lvl>
    <w:lvl w:ilvl="3">
      <w:start w:val="1"/>
      <w:numFmt w:val="bullet"/>
      <w:lvlText w:val=""/>
      <w:lvlJc w:val="left"/>
      <w:pPr>
        <w:tabs>
          <w:tab w:pos="0" w:val="num"/>
        </w:tabs>
        <w:ind w:hanging="360" w:left="3431"/>
      </w:pPr>
      <w:rPr>
        <w:rFonts w:ascii="Symbol" w:cs="Symbol" w:hAnsi="Symbol" w:hint="default"/>
      </w:rPr>
    </w:lvl>
    <w:lvl w:ilvl="4">
      <w:start w:val="1"/>
      <w:numFmt w:val="bullet"/>
      <w:lvlText w:val="o"/>
      <w:lvlJc w:val="left"/>
      <w:pPr>
        <w:tabs>
          <w:tab w:pos="0" w:val="num"/>
        </w:tabs>
        <w:ind w:hanging="360" w:left="4151"/>
      </w:pPr>
      <w:rPr>
        <w:rFonts w:ascii="Courier New" w:cs="Courier New" w:hAnsi="Courier New" w:hint="default"/>
      </w:rPr>
    </w:lvl>
    <w:lvl w:ilvl="5">
      <w:start w:val="1"/>
      <w:numFmt w:val="bullet"/>
      <w:lvlText w:val=""/>
      <w:lvlJc w:val="left"/>
      <w:pPr>
        <w:tabs>
          <w:tab w:pos="0" w:val="num"/>
        </w:tabs>
        <w:ind w:hanging="360" w:left="4871"/>
      </w:pPr>
      <w:rPr>
        <w:rFonts w:ascii="Wingdings" w:cs="Wingdings" w:hAnsi="Wingdings" w:hint="default"/>
      </w:rPr>
    </w:lvl>
    <w:lvl w:ilvl="6">
      <w:start w:val="1"/>
      <w:numFmt w:val="bullet"/>
      <w:lvlText w:val=""/>
      <w:lvlJc w:val="left"/>
      <w:pPr>
        <w:tabs>
          <w:tab w:pos="0" w:val="num"/>
        </w:tabs>
        <w:ind w:hanging="360" w:left="5591"/>
      </w:pPr>
      <w:rPr>
        <w:rFonts w:ascii="Symbol" w:cs="Symbol" w:hAnsi="Symbol" w:hint="default"/>
      </w:rPr>
    </w:lvl>
    <w:lvl w:ilvl="7">
      <w:start w:val="1"/>
      <w:numFmt w:val="bullet"/>
      <w:lvlText w:val="o"/>
      <w:lvlJc w:val="left"/>
      <w:pPr>
        <w:tabs>
          <w:tab w:pos="0" w:val="num"/>
        </w:tabs>
        <w:ind w:hanging="360" w:left="6311"/>
      </w:pPr>
      <w:rPr>
        <w:rFonts w:ascii="Courier New" w:cs="Courier New" w:hAnsi="Courier New" w:hint="default"/>
      </w:rPr>
    </w:lvl>
    <w:lvl w:ilvl="8">
      <w:start w:val="1"/>
      <w:numFmt w:val="bullet"/>
      <w:lvlText w:val=""/>
      <w:lvlJc w:val="left"/>
      <w:pPr>
        <w:tabs>
          <w:tab w:pos="0" w:val="num"/>
        </w:tabs>
        <w:ind w:hanging="360" w:left="7031"/>
      </w:pPr>
      <w:rPr>
        <w:rFonts w:ascii="Wingdings" w:cs="Wingdings" w:hAnsi="Wingdings" w:hint="default"/>
      </w:rPr>
    </w:lvl>
  </w:abstractNum>
  <w:abstractNum w:abstractNumId="2">
    <w:lvl w:ilvl="0">
      <w:start w:val="1"/>
      <w:numFmt w:val="bullet"/>
      <w:lvlText w:val=""/>
      <w:lvlJc w:val="left"/>
      <w:pPr>
        <w:tabs>
          <w:tab w:pos="0" w:val="num"/>
        </w:tabs>
        <w:ind w:hanging="360" w:left="720"/>
      </w:pPr>
      <w:rPr>
        <w:rFonts w:ascii="Wingdings" w:cs="Wingdings" w:hAnsi="Wingdings"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3">
    <w:lvl w:ilvl="0">
      <w:numFmt w:val="bullet"/>
      <w:lvlText w:val="-"/>
      <w:lvlJc w:val="left"/>
      <w:pPr>
        <w:tabs>
          <w:tab w:pos="0" w:val="num"/>
        </w:tabs>
        <w:ind w:hanging="360" w:left="1925"/>
      </w:pPr>
      <w:rPr>
        <w:rFonts w:ascii="Times New Roman" w:cs="Times New Roman" w:hAnsi="Times New Roman" w:hint="default"/>
      </w:rPr>
    </w:lvl>
    <w:lvl w:ilvl="1">
      <w:start w:val="1"/>
      <w:numFmt w:val="bullet"/>
      <w:lvlText w:val="o"/>
      <w:lvlJc w:val="left"/>
      <w:pPr>
        <w:tabs>
          <w:tab w:pos="0" w:val="num"/>
        </w:tabs>
        <w:ind w:hanging="360" w:left="2645"/>
      </w:pPr>
      <w:rPr>
        <w:rFonts w:ascii="Courier New" w:cs="Courier New" w:hAnsi="Courier New" w:hint="default"/>
      </w:rPr>
    </w:lvl>
    <w:lvl w:ilvl="2">
      <w:start w:val="1"/>
      <w:numFmt w:val="bullet"/>
      <w:lvlText w:val=""/>
      <w:lvlJc w:val="left"/>
      <w:pPr>
        <w:tabs>
          <w:tab w:pos="0" w:val="num"/>
        </w:tabs>
        <w:ind w:hanging="360" w:left="3365"/>
      </w:pPr>
      <w:rPr>
        <w:rFonts w:ascii="Wingdings" w:cs="Wingdings" w:hAnsi="Wingdings" w:hint="default"/>
      </w:rPr>
    </w:lvl>
    <w:lvl w:ilvl="3">
      <w:start w:val="1"/>
      <w:numFmt w:val="bullet"/>
      <w:lvlText w:val=""/>
      <w:lvlJc w:val="left"/>
      <w:pPr>
        <w:tabs>
          <w:tab w:pos="0" w:val="num"/>
        </w:tabs>
        <w:ind w:hanging="360" w:left="4085"/>
      </w:pPr>
      <w:rPr>
        <w:rFonts w:ascii="Symbol" w:cs="Symbol" w:hAnsi="Symbol" w:hint="default"/>
      </w:rPr>
    </w:lvl>
    <w:lvl w:ilvl="4">
      <w:start w:val="1"/>
      <w:numFmt w:val="bullet"/>
      <w:lvlText w:val="o"/>
      <w:lvlJc w:val="left"/>
      <w:pPr>
        <w:tabs>
          <w:tab w:pos="0" w:val="num"/>
        </w:tabs>
        <w:ind w:hanging="360" w:left="4805"/>
      </w:pPr>
      <w:rPr>
        <w:rFonts w:ascii="Courier New" w:cs="Courier New" w:hAnsi="Courier New" w:hint="default"/>
      </w:rPr>
    </w:lvl>
    <w:lvl w:ilvl="5">
      <w:start w:val="1"/>
      <w:numFmt w:val="bullet"/>
      <w:lvlText w:val=""/>
      <w:lvlJc w:val="left"/>
      <w:pPr>
        <w:tabs>
          <w:tab w:pos="0" w:val="num"/>
        </w:tabs>
        <w:ind w:hanging="360" w:left="5525"/>
      </w:pPr>
      <w:rPr>
        <w:rFonts w:ascii="Wingdings" w:cs="Wingdings" w:hAnsi="Wingdings" w:hint="default"/>
      </w:rPr>
    </w:lvl>
    <w:lvl w:ilvl="6">
      <w:start w:val="1"/>
      <w:numFmt w:val="bullet"/>
      <w:lvlText w:val=""/>
      <w:lvlJc w:val="left"/>
      <w:pPr>
        <w:tabs>
          <w:tab w:pos="0" w:val="num"/>
        </w:tabs>
        <w:ind w:hanging="360" w:left="6245"/>
      </w:pPr>
      <w:rPr>
        <w:rFonts w:ascii="Symbol" w:cs="Symbol" w:hAnsi="Symbol" w:hint="default"/>
      </w:rPr>
    </w:lvl>
    <w:lvl w:ilvl="7">
      <w:start w:val="1"/>
      <w:numFmt w:val="bullet"/>
      <w:lvlText w:val="o"/>
      <w:lvlJc w:val="left"/>
      <w:pPr>
        <w:tabs>
          <w:tab w:pos="0" w:val="num"/>
        </w:tabs>
        <w:ind w:hanging="360" w:left="6965"/>
      </w:pPr>
      <w:rPr>
        <w:rFonts w:ascii="Courier New" w:cs="Courier New" w:hAnsi="Courier New" w:hint="default"/>
      </w:rPr>
    </w:lvl>
    <w:lvl w:ilvl="8">
      <w:start w:val="1"/>
      <w:numFmt w:val="bullet"/>
      <w:lvlText w:val=""/>
      <w:lvlJc w:val="left"/>
      <w:pPr>
        <w:tabs>
          <w:tab w:pos="0" w:val="num"/>
        </w:tabs>
        <w:ind w:hanging="360" w:left="7685"/>
      </w:pPr>
      <w:rPr>
        <w:rFonts w:ascii="Wingdings" w:cs="Wingdings" w:hAnsi="Wingdings" w:hint="default"/>
      </w:rPr>
    </w:lvl>
  </w:abstractNum>
  <w:abstractNum w:abstractNumId="4">
    <w:lvl w:ilvl="0">
      <w:start w:val="1"/>
      <w:numFmt w:val="bullet"/>
      <w:lvlText w:val=""/>
      <w:lvlJc w:val="left"/>
      <w:pPr>
        <w:tabs>
          <w:tab w:pos="0" w:val="num"/>
        </w:tabs>
        <w:ind w:hanging="360" w:left="720"/>
      </w:pPr>
      <w:rPr>
        <w:rFonts w:ascii="Symbol" w:cs="Symbol" w:hAnsi="Symbo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5">
    <w:lvl w:ilvl="0">
      <w:start w:val="1"/>
      <w:numFmt w:val="lowerLetter"/>
      <w:lvlText w:val="%1)"/>
      <w:lvlJc w:val="left"/>
      <w:pPr>
        <w:tabs>
          <w:tab w:pos="0" w:val="num"/>
        </w:tabs>
        <w:ind w:hanging="360" w:left="720"/>
      </w:pPr>
      <w:rPr/>
    </w:lvl>
    <w:lvl w:ilvl="1">
      <w:start w:val="1"/>
      <w:numFmt w:val="lowerLetter"/>
      <w:lvlText w:val="%2."/>
      <w:lvlJc w:val="left"/>
      <w:pPr>
        <w:tabs>
          <w:tab w:pos="0" w:val="num"/>
        </w:tabs>
        <w:ind w:hanging="360" w:left="1440"/>
      </w:pPr>
      <w:rPr/>
    </w:lvl>
    <w:lvl w:ilvl="2">
      <w:start w:val="1"/>
      <w:numFmt w:val="lowerRoman"/>
      <w:lvlText w:val="%3."/>
      <w:lvlJc w:val="right"/>
      <w:pPr>
        <w:tabs>
          <w:tab w:pos="0" w:val="num"/>
        </w:tabs>
        <w:ind w:hanging="180" w:left="2160"/>
      </w:pPr>
      <w:rPr/>
    </w:lvl>
    <w:lvl w:ilvl="3">
      <w:start w:val="1"/>
      <w:numFmt w:val="decimal"/>
      <w:lvlText w:val="%4."/>
      <w:lvlJc w:val="left"/>
      <w:pPr>
        <w:tabs>
          <w:tab w:pos="0" w:val="num"/>
        </w:tabs>
        <w:ind w:hanging="360" w:left="2880"/>
      </w:pPr>
      <w:rPr/>
    </w:lvl>
    <w:lvl w:ilvl="4">
      <w:start w:val="1"/>
      <w:numFmt w:val="lowerLetter"/>
      <w:lvlText w:val="%5."/>
      <w:lvlJc w:val="left"/>
      <w:pPr>
        <w:tabs>
          <w:tab w:pos="0" w:val="num"/>
        </w:tabs>
        <w:ind w:hanging="360" w:left="3600"/>
      </w:pPr>
      <w:rPr/>
    </w:lvl>
    <w:lvl w:ilvl="5">
      <w:start w:val="1"/>
      <w:numFmt w:val="lowerRoman"/>
      <w:lvlText w:val="%6."/>
      <w:lvlJc w:val="right"/>
      <w:pPr>
        <w:tabs>
          <w:tab w:pos="0" w:val="num"/>
        </w:tabs>
        <w:ind w:hanging="180" w:left="4320"/>
      </w:pPr>
      <w:rPr/>
    </w:lvl>
    <w:lvl w:ilvl="6">
      <w:start w:val="1"/>
      <w:numFmt w:val="decimal"/>
      <w:lvlText w:val="%7."/>
      <w:lvlJc w:val="left"/>
      <w:pPr>
        <w:tabs>
          <w:tab w:pos="0" w:val="num"/>
        </w:tabs>
        <w:ind w:hanging="360" w:left="5040"/>
      </w:pPr>
      <w:rPr/>
    </w:lvl>
    <w:lvl w:ilvl="7">
      <w:start w:val="1"/>
      <w:numFmt w:val="lowerLetter"/>
      <w:lvlText w:val="%8."/>
      <w:lvlJc w:val="left"/>
      <w:pPr>
        <w:tabs>
          <w:tab w:pos="0" w:val="num"/>
        </w:tabs>
        <w:ind w:hanging="360" w:left="5760"/>
      </w:pPr>
      <w:rPr/>
    </w:lvl>
    <w:lvl w:ilvl="8">
      <w:start w:val="1"/>
      <w:numFmt w:val="lowerRoman"/>
      <w:lvlText w:val="%9."/>
      <w:lvlJc w:val="right"/>
      <w:pPr>
        <w:tabs>
          <w:tab w:pos="0" w:val="num"/>
        </w:tabs>
        <w:ind w:hanging="180" w:left="6480"/>
      </w:pPr>
      <w:rPr/>
    </w:lvl>
  </w:abstractNum>
  <w:abstractNum w:abstractNumId="6">
    <w:lvl w:ilvl="0">
      <w:numFmt w:val="bullet"/>
      <w:lvlText w:val="-"/>
      <w:lvlJc w:val="left"/>
      <w:pPr>
        <w:tabs>
          <w:tab w:pos="0" w:val="num"/>
        </w:tabs>
        <w:ind w:hanging="360" w:left="720"/>
      </w:pPr>
      <w:rPr>
        <w:rFonts w:ascii="Times New Roman" w:cs="Times New Roman" w:hAnsi="Times New Roman" w:hint="default"/>
        <w:szCs w:val="22"/>
      </w:rPr>
    </w:lvl>
    <w:lvl w:ilvl="1">
      <w:start w:val="0"/>
      <w:numFmt w:val="decimal"/>
      <w:lvlText w:val=""/>
      <w:lvlJc w:val="left"/>
      <w:pPr>
        <w:tabs>
          <w:tab w:pos="0" w:val="num"/>
        </w:tabs>
        <w:ind w:hanging="0" w:left="0"/>
      </w:pPr>
      <w:rPr/>
    </w:lvl>
    <w:lvl w:ilvl="2">
      <w:start w:val="0"/>
      <w:numFmt w:val="decimal"/>
      <w:lvlText w:val=""/>
      <w:lvlJc w:val="left"/>
      <w:pPr>
        <w:tabs>
          <w:tab w:pos="0" w:val="num"/>
        </w:tabs>
        <w:ind w:hanging="0" w:left="0"/>
      </w:pPr>
      <w:rPr/>
    </w:lvl>
    <w:lvl w:ilvl="3">
      <w:start w:val="0"/>
      <w:numFmt w:val="decimal"/>
      <w:lvlText w:val=""/>
      <w:lvlJc w:val="left"/>
      <w:pPr>
        <w:tabs>
          <w:tab w:pos="0" w:val="num"/>
        </w:tabs>
        <w:ind w:hanging="0" w:left="0"/>
      </w:pPr>
      <w:rPr/>
    </w:lvl>
    <w:lvl w:ilvl="4">
      <w:start w:val="0"/>
      <w:numFmt w:val="decimal"/>
      <w:lvlText w:val=""/>
      <w:lvlJc w:val="left"/>
      <w:pPr>
        <w:tabs>
          <w:tab w:pos="0" w:val="num"/>
        </w:tabs>
        <w:ind w:hanging="0" w:left="0"/>
      </w:pPr>
      <w:rPr/>
    </w:lvl>
    <w:lvl w:ilvl="5">
      <w:start w:val="0"/>
      <w:numFmt w:val="decimal"/>
      <w:lvlText w:val=""/>
      <w:lvlJc w:val="left"/>
      <w:pPr>
        <w:tabs>
          <w:tab w:pos="0" w:val="num"/>
        </w:tabs>
        <w:ind w:hanging="0" w:left="0"/>
      </w:pPr>
      <w:rPr/>
    </w:lvl>
    <w:lvl w:ilvl="6">
      <w:start w:val="0"/>
      <w:numFmt w:val="decimal"/>
      <w:lvlText w:val=""/>
      <w:lvlJc w:val="left"/>
      <w:pPr>
        <w:tabs>
          <w:tab w:pos="0" w:val="num"/>
        </w:tabs>
        <w:ind w:hanging="0" w:left="0"/>
      </w:pPr>
      <w:rPr/>
    </w:lvl>
    <w:lvl w:ilvl="7">
      <w:start w:val="0"/>
      <w:numFmt w:val="decimal"/>
      <w:lvlText w:val=""/>
      <w:lvlJc w:val="left"/>
      <w:pPr>
        <w:tabs>
          <w:tab w:pos="0" w:val="num"/>
        </w:tabs>
        <w:ind w:hanging="0" w:left="0"/>
      </w:pPr>
      <w:rPr/>
    </w:lvl>
    <w:lvl w:ilvl="8">
      <w:start w:val="0"/>
      <w:numFmt w:val="decimal"/>
      <w:lvlText w:val=""/>
      <w:lvlJc w:val="left"/>
      <w:pPr>
        <w:tabs>
          <w:tab w:pos="0" w:val="num"/>
        </w:tabs>
        <w:ind w:hanging="0" w:left="0"/>
      </w:pPr>
      <w:rPr/>
    </w:lvl>
  </w:abstractNum>
  <w:abstractNum w:abstractNumId="7">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bidi="" w:eastAsia="" w:val="fr-FR"/>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bidi="ar-SA" w:eastAsia="fr-FR" w:val="fr-FR"/>
      </w:rPr>
    </w:rPrDefault>
    <w:pPrDefault>
      <w:pPr>
        <w:suppressAutoHyphens w:val="true"/>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footer" w:uiPriority="99"/>
    <w:lsdException w:name="caption" w:qFormat="1" w:semiHidden="1" w:unhideWhenUsed="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56db6"/>
    <w:pPr>
      <w:widowControl/>
      <w:bidi w:val="0"/>
      <w:spacing w:after="0" w:before="0"/>
      <w:jc w:val="left"/>
    </w:pPr>
    <w:rPr>
      <w:rFonts w:ascii="Times New Roman" w:cs="Times New Roman" w:eastAsia="Times New Roman" w:hAnsi="Times New Roman"/>
      <w:color w:val="auto"/>
      <w:kern w:val="0"/>
      <w:sz w:val="24"/>
      <w:szCs w:val="24"/>
      <w:lang w:bidi="ar-SA" w:eastAsia="fr-FR" w:val="fr-FR"/>
    </w:rPr>
  </w:style>
  <w:style w:styleId="Heading2" w:type="paragraph">
    <w:name w:val="Heading 2"/>
    <w:basedOn w:val="Normal"/>
    <w:next w:val="Normal"/>
    <w:qFormat/>
    <w:rsid w:val="00224300"/>
    <w:pPr>
      <w:keepNext w:val="true"/>
      <w:spacing w:after="60" w:before="240"/>
      <w:outlineLvl w:val="1"/>
    </w:pPr>
    <w:rPr>
      <w:rFonts w:ascii="Arial" w:cs="Arial" w:hAnsi="Arial"/>
      <w:b/>
      <w:bCs/>
      <w:i/>
      <w:iCs/>
      <w:sz w:val="28"/>
      <w:szCs w:val="28"/>
    </w:rPr>
  </w:style>
  <w:style w:default="1" w:styleId="DefaultParagraphFont" w:type="character">
    <w:name w:val="Default Paragraph Font"/>
    <w:uiPriority w:val="1"/>
    <w:semiHidden/>
    <w:unhideWhenUsed/>
    <w:qFormat/>
    <w:rPr/>
  </w:style>
  <w:style w:styleId="PageNumber" w:type="character">
    <w:name w:val="Page Number"/>
    <w:basedOn w:val="DefaultParagraphFont"/>
    <w:rsid w:val="008f61dc"/>
    <w:rPr/>
  </w:style>
  <w:style w:customStyle="1" w:styleId="TextedebullesCar" w:type="character">
    <w:name w:val="Texte de bulles Car"/>
    <w:link w:val="BalloonText"/>
    <w:qFormat/>
    <w:rsid w:val="00101353"/>
    <w:rPr>
      <w:rFonts w:ascii="Segoe UI" w:cs="Segoe UI" w:hAnsi="Segoe UI"/>
      <w:sz w:val="18"/>
      <w:szCs w:val="18"/>
    </w:rPr>
  </w:style>
  <w:style w:customStyle="1" w:styleId="RetraitcorpsdetexteCar" w:type="character">
    <w:name w:val="Retrait corps de texte Car"/>
    <w:link w:val="BodyTextIndented"/>
    <w:qFormat/>
    <w:rsid w:val="00ea7f02"/>
    <w:rPr>
      <w:sz w:val="24"/>
    </w:rPr>
  </w:style>
  <w:style w:customStyle="1" w:styleId="Retraitcorpsdetexte2Car" w:type="character">
    <w:name w:val="Retrait corps de texte 2 Car"/>
    <w:link w:val="BodyTextIndent2"/>
    <w:qFormat/>
    <w:rsid w:val="0001568b"/>
    <w:rPr>
      <w:sz w:val="24"/>
      <w:szCs w:val="24"/>
    </w:rPr>
  </w:style>
  <w:style w:customStyle="1" w:styleId="PieddepageCar" w:type="character">
    <w:name w:val="Pied de page Car"/>
    <w:uiPriority w:val="99"/>
    <w:qFormat/>
    <w:rsid w:val="00565eb9"/>
    <w:rPr>
      <w:sz w:val="24"/>
      <w:szCs w:val="24"/>
    </w:rPr>
  </w:style>
  <w:style w:styleId="Hyperlink" w:type="character">
    <w:name w:val="Hyperlink"/>
    <w:rPr>
      <w:color w:val="000080"/>
      <w:u w:val="single"/>
    </w:rPr>
  </w:style>
  <w:style w:styleId="Titre" w:type="paragraph">
    <w:name w:val="Titre"/>
    <w:basedOn w:val="Normal"/>
    <w:next w:val="BodyText"/>
    <w:qFormat/>
    <w:pPr>
      <w:keepNext w:val="true"/>
      <w:spacing w:after="120" w:before="240"/>
    </w:pPr>
    <w:rPr>
      <w:rFonts w:ascii="Marianne" w:cs="Lucida Sans" w:eastAsia="Microsoft YaHei" w:hAnsi="Marianne"/>
      <w:sz w:val="28"/>
      <w:szCs w:val="28"/>
    </w:rPr>
  </w:style>
  <w:style w:styleId="BodyText" w:type="paragraph">
    <w:name w:val="Body Text"/>
    <w:basedOn w:val="Normal"/>
    <w:pPr>
      <w:spacing w:after="140" w:before="0" w:line="276" w:lineRule="auto"/>
    </w:pPr>
    <w:rPr/>
  </w:style>
  <w:style w:styleId="List" w:type="paragraph">
    <w:name w:val="List"/>
    <w:basedOn w:val="BodyText"/>
    <w:pPr/>
    <w:rPr>
      <w:rFonts w:ascii="Marianne" w:cs="Lucida Sans" w:hAnsi="Marianne"/>
    </w:rPr>
  </w:style>
  <w:style w:styleId="Caption" w:type="paragraph">
    <w:name w:val="Caption"/>
    <w:basedOn w:val="Normal"/>
    <w:qFormat/>
    <w:pPr>
      <w:suppressLineNumbers/>
      <w:spacing w:after="120" w:before="120"/>
    </w:pPr>
    <w:rPr>
      <w:rFonts w:ascii="Marianne" w:cs="Lucida Sans" w:hAnsi="Marianne"/>
      <w:i/>
      <w:iCs/>
      <w:sz w:val="24"/>
      <w:szCs w:val="24"/>
    </w:rPr>
  </w:style>
  <w:style w:styleId="Index" w:type="paragraph">
    <w:name w:val="Index"/>
    <w:basedOn w:val="Normal"/>
    <w:qFormat/>
    <w:pPr>
      <w:suppressLineNumbers/>
    </w:pPr>
    <w:rPr>
      <w:rFonts w:ascii="Marianne" w:cs="Lucida Sans" w:hAnsi="Marianne"/>
    </w:rPr>
  </w:style>
  <w:style w:customStyle="1" w:styleId="rfrences" w:type="paragraph">
    <w:name w:val="références"/>
    <w:basedOn w:val="Heading2"/>
    <w:autoRedefine/>
    <w:qFormat/>
    <w:rsid w:val="00224300"/>
    <w:pPr>
      <w:spacing w:after="0" w:before="0"/>
    </w:pPr>
    <w:rPr>
      <w:rFonts w:ascii="Times New Roman" w:cs="Times New Roman" w:hAnsi="Times New Roman"/>
      <w:bCs w:val="false"/>
      <w:i w:val="false"/>
      <w:iCs w:val="false"/>
      <w:sz w:val="22"/>
      <w:szCs w:val="22"/>
    </w:rPr>
  </w:style>
  <w:style w:styleId="HeaderandFooter" w:type="paragraph">
    <w:name w:val="Header and Footer"/>
    <w:basedOn w:val="Normal"/>
    <w:qFormat/>
    <w:pPr/>
    <w:rPr/>
  </w:style>
  <w:style w:styleId="Footer" w:type="paragraph">
    <w:name w:val="Footer"/>
    <w:basedOn w:val="Normal"/>
    <w:link w:val="PieddepageCar"/>
    <w:uiPriority w:val="99"/>
    <w:rsid w:val="008f61dc"/>
    <w:pPr>
      <w:tabs>
        <w:tab w:pos="708" w:val="clear"/>
        <w:tab w:leader="none" w:pos="4536" w:val="center"/>
        <w:tab w:leader="none" w:pos="9072" w:val="right"/>
      </w:tabs>
    </w:pPr>
    <w:rPr/>
  </w:style>
  <w:style w:styleId="Header" w:type="paragraph">
    <w:name w:val="Header"/>
    <w:basedOn w:val="Normal"/>
    <w:rsid w:val="00b74899"/>
    <w:pPr>
      <w:tabs>
        <w:tab w:pos="708" w:val="clear"/>
        <w:tab w:leader="none" w:pos="4536" w:val="center"/>
        <w:tab w:leader="none" w:pos="9072" w:val="right"/>
      </w:tabs>
    </w:pPr>
    <w:rPr/>
  </w:style>
  <w:style w:styleId="NormalWeb" w:type="paragraph">
    <w:name w:val="Normal (Web)"/>
    <w:basedOn w:val="Normal"/>
    <w:uiPriority w:val="99"/>
    <w:qFormat/>
    <w:rsid w:val="0087060f"/>
    <w:pPr>
      <w:spacing w:afterAutospacing="1" w:beforeAutospacing="1"/>
    </w:pPr>
    <w:rPr/>
  </w:style>
  <w:style w:styleId="BalloonText" w:type="paragraph">
    <w:name w:val="Balloon Text"/>
    <w:basedOn w:val="Normal"/>
    <w:link w:val="TextedebullesCar"/>
    <w:qFormat/>
    <w:rsid w:val="00101353"/>
    <w:pPr/>
    <w:rPr>
      <w:rFonts w:ascii="Segoe UI" w:cs="Segoe UI" w:hAnsi="Segoe UI"/>
      <w:sz w:val="18"/>
      <w:szCs w:val="18"/>
    </w:rPr>
  </w:style>
  <w:style w:styleId="BodyTextIndented" w:type="paragraph">
    <w:name w:val="Body Text, Indented"/>
    <w:basedOn w:val="Normal"/>
    <w:link w:val="RetraitcorpsdetexteCar"/>
    <w:qFormat/>
    <w:rsid w:val="00ea7f02"/>
    <w:pPr>
      <w:tabs>
        <w:tab w:pos="708" w:val="clear"/>
        <w:tab w:leader="none" w:pos="8222" w:val="right"/>
      </w:tabs>
      <w:ind w:left="851"/>
      <w:jc w:val="both"/>
    </w:pPr>
    <w:rPr>
      <w:szCs w:val="20"/>
    </w:rPr>
  </w:style>
  <w:style w:styleId="ListParagraph" w:type="paragraph">
    <w:name w:val="List Paragraph"/>
    <w:basedOn w:val="Normal"/>
    <w:uiPriority w:val="34"/>
    <w:qFormat/>
    <w:rsid w:val="00cf6dc6"/>
    <w:pPr>
      <w:spacing w:after="0" w:before="0"/>
      <w:ind w:left="720"/>
      <w:contextualSpacing/>
    </w:pPr>
    <w:rPr>
      <w:rFonts w:eastAsia="Calibri"/>
      <w:sz w:val="22"/>
      <w:szCs w:val="20"/>
      <w:lang w:eastAsia="en-US"/>
    </w:rPr>
  </w:style>
  <w:style w:styleId="BodyTextIndent2" w:type="paragraph">
    <w:name w:val="Body Text Indent 2"/>
    <w:basedOn w:val="Normal"/>
    <w:link w:val="Retraitcorpsdetexte2Car"/>
    <w:qFormat/>
    <w:rsid w:val="0001568b"/>
    <w:pPr>
      <w:spacing w:after="120" w:before="0" w:line="480" w:lineRule="auto"/>
      <w:ind w:left="283"/>
    </w:pPr>
    <w:rPr/>
  </w:style>
  <w:style w:styleId="BlockText" w:type="paragraph">
    <w:name w:val="Block Text"/>
    <w:basedOn w:val="Normal"/>
    <w:qFormat/>
    <w:rsid w:val="0001568b"/>
    <w:pPr>
      <w:ind w:left="567" w:right="567"/>
      <w:jc w:val="both"/>
    </w:pPr>
    <w:rPr/>
  </w:style>
  <w:style w:customStyle="1" w:styleId="Default" w:type="paragraph">
    <w:name w:val="Default"/>
    <w:qFormat/>
    <w:rsid w:val="00310271"/>
    <w:pPr>
      <w:widowControl/>
      <w:bidi w:val="0"/>
      <w:spacing w:after="0" w:before="0"/>
      <w:jc w:val="left"/>
    </w:pPr>
    <w:rPr>
      <w:rFonts w:ascii="Arial" w:cs="Arial" w:eastAsia="Times New Roman" w:hAnsi="Arial"/>
      <w:color w:val="000000"/>
      <w:kern w:val="0"/>
      <w:sz w:val="24"/>
      <w:szCs w:val="24"/>
      <w:lang w:bidi="ar-SA" w:eastAsia="fr-FR" w:val="fr-FR"/>
    </w:rPr>
  </w:style>
  <w:style w:styleId="Contenudecadre" w:type="paragraph">
    <w:name w:val="Contenu de cadre"/>
    <w:basedOn w:val="Normal"/>
    <w:qFormat/>
    <w:pPr/>
    <w:rPr/>
  </w:style>
  <w:style w:default="1" w:styleId="Pasdeliste" w:type="numbering">
    <w:name w:val="Pas de liste"/>
    <w:uiPriority w:val="99"/>
    <w:semiHidden/>
    <w:unhideWhenUsed/>
    <w:qFormat/>
  </w:style>
  <w:style w:default="1" w:styleId="TableauNormal" w:type="table">
    <w:name w:val="Normal Table"/>
    <w:uiPriority w:val="99"/>
    <w:semiHidden/>
    <w:unhideWhenUsed/>
    <w:tblPr>
      <w:tblCellMar>
        <w:top w:type="dxa" w:w="0"/>
        <w:left w:type="dxa" w:w="108"/>
        <w:bottom w:type="dxa" w:w="0"/>
        <w:right w:type="dxa" w:w="108"/>
      </w:tblCellMar>
    </w:tblPr>
  </w:style>
  <w:style w:styleId="Grilledutableau" w:type="table">
    <w:name w:val="Table Grid"/>
    <w:basedOn w:val="TableauNormal"/>
    <w:uiPriority w:val="39"/>
    <w:rsid w:val="00f0129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uGrille4-Accentuation31" w:type="table">
    <w:name w:val="Tableau Grille 4 - Accentuation 31"/>
    <w:basedOn w:val="TableauNormal"/>
    <w:uiPriority w:val="49"/>
    <w:rsid w:val="00cf6dc6"/>
    <w:rPr>
      <w:lang w:eastAsia="en-US"/>
      <w:sz w:val="22"/>
      <w:szCs w:val="22"/>
    </w:rPr>
    <w:tblPr>
      <w:tblStyleRowBandSize w:val="1"/>
      <w:tblStyleColBandSize w:val="1"/>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Pr>
    <w:tblStylePr w:type="firstRow">
      <w:rPr>
        <w:b/>
        <w:bCs/>
      </w:rPr>
      <w:tblPr/>
      <w:tcPr>
        <w:tcBorders>
          <w:top w:color="A5A5A5" w:space="0" w:sz="4" w:val="single"/>
          <w:left w:color="A5A5A5" w:space="0" w:sz="4" w:val="single"/>
          <w:bottom w:color="A5A5A5" w:space="0" w:sz="4" w:val="single"/>
          <w:right w:color="A5A5A5" w:space="0" w:sz="4" w:val="single"/>
          <w:insideH w:val="nil"/>
          <w:insideV w:val="nil"/>
        </w:tcBorders>
        <w:shd w:color="auto" w:fill="A5A5A5" w:val="clear"/>
      </w:tcPr>
    </w:tblStylePr>
    <w:tblStylePr w:type="lastRow">
      <w:rPr>
        <w:b/>
        <w:bCs/>
      </w:rPr>
      <w:tblPr/>
      <w:tcPr>
        <w:tcBorders>
          <w:top w:color="A5A5A5" w:space="0" w:sz="4" w:val="double"/>
        </w:tcBorders>
      </w:tcPr>
    </w:tblStylePr>
    <w:tblStylePr w:type="firstCol">
      <w:rPr>
        <w:b/>
        <w:bCs/>
      </w:rPr>
      <w:tblPr/>
    </w:tblStylePr>
    <w:tblStylePr w:type="lastCol">
      <w:rPr>
        <w:b/>
        <w:bCs/>
      </w:rPr>
      <w:tblPr/>
    </w:tblStylePr>
    <w:tblStylePr w:type="band1Vert">
      <w:tblPr/>
      <w:tcPr>
        <w:shd w:color="auto" w:fill="EDEDED" w:val="clear"/>
      </w:tcPr>
    </w:tblStylePr>
    <w:tblStylePr w:type="band1Horz">
      <w:tblPr/>
      <w:tcPr>
        <w:shd w:color="auto" w:fill="EDEDED" w:val="clear"/>
      </w:tcPr>
    </w:tblStyle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theme/theme1.xml" Type="http://schemas.openxmlformats.org/officeDocument/2006/relationships/theme"/><Relationship Id="rId11" Target="../customXml/item1.xml" Type="http://schemas.openxmlformats.org/officeDocument/2006/relationships/customXml"/><Relationship Id="rId2" Target="http://www.teleaccords.travail-emploi.gouv.fr/" TargetMode="External" Type="http://schemas.openxmlformats.org/officeDocument/2006/relationships/hyperlink"/><Relationship Id="rId3" Target="http://www.legifrance.gouv.fr/" TargetMode="External" Type="http://schemas.openxmlformats.org/officeDocument/2006/relationships/hyperlink"/><Relationship Id="rId4" Target="footer1.xml" Type="http://schemas.openxmlformats.org/officeDocument/2006/relationships/footer"/><Relationship Id="rId5" Target="footer2.xml" Type="http://schemas.openxmlformats.org/officeDocument/2006/relationships/footer"/><Relationship Id="rId6" Target="footer3.xml" Type="http://schemas.openxmlformats.org/officeDocument/2006/relationships/footer"/><Relationship Id="rId7" Target="numbering.xml" Type="http://schemas.openxmlformats.org/officeDocument/2006/relationships/numbering"/><Relationship Id="rId8" Target="fontTable.xml" Type="http://schemas.openxmlformats.org/officeDocument/2006/relationships/fontTable"/><Relationship Id="rId9" Target="settings.xml" Type="http://schemas.openxmlformats.org/officeDocument/2006/relationships/settings"/></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9832F-3EE4-438D-AAF1-1407865ED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LibreOffice/24.2.5.2$Windows_X86_64 LibreOffice_project/bffef4ea93e59bebbeaf7f431bb02b1a39ee8a59</Application>
  <AppVersion>15.0000</AppVersion>
  <Pages>4</Pages>
  <Words>1722</Words>
  <Characters>8977</Characters>
  <CharactersWithSpaces>10631</CharactersWithSpaces>
  <Paragraphs>90</Paragraphs>
  <Company>VANDEVELDE AVOCATS</Compan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2025-06-23T09:05:41Z</dcterms:created>
  <dc:language>fr-FR</dc:language>
  <cp:revision>1</cp:revision>
  <dc:title>ACCORD COLLECTIF</dc:title>
</cp:coreProperties>
</file>

<file path=docProps/custom.xml><?xml version="1.0" encoding="utf-8"?>
<Properties xmlns="http://schemas.openxmlformats.org/officeDocument/2006/custom-properties" xmlns:vt="http://schemas.openxmlformats.org/officeDocument/2006/docPropsVTypes"/>
</file>