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numPr>
          <w:ilvl w:val="0"/>
          <w:numId w:val="0"/>
        </w:numPr>
        <w:pBdr>
          <w:top w:val="single" w:sz="18" w:space="1" w:color="000000" w:shadow="1"/>
          <w:left w:val="single" w:sz="18" w:space="4" w:color="000000" w:shadow="1"/>
          <w:bottom w:val="single" w:sz="18" w:space="0" w:color="000000" w:shadow="1"/>
          <w:right w:val="single" w:sz="18" w:space="4" w:color="000000" w:shadow="1"/>
        </w:pBdr>
        <w:spacing w:lineRule="auto" w:line="360" w:before="0" w:after="0"/>
        <w:ind w:end="-2"/>
        <w:outlineLvl w:val="1"/>
        <w:rPr>
          <w:rFonts w:ascii="Times New Roman" w:hAnsi="Times New Roman" w:eastAsia="Times New Roman" w:cs="Times New Roman"/>
          <w:b/>
          <w:bCs/>
          <w:sz w:val="16"/>
          <w:szCs w:val="16"/>
          <w:lang w:eastAsia="fr-FR"/>
        </w:rPr>
      </w:pPr>
      <w:r>
        <w:rPr>
          <w:rFonts w:eastAsia="Times New Roman" w:cs="Times New Roman" w:ascii="Times New Roman" w:hAnsi="Times New Roman"/>
          <w:b/>
          <w:bCs/>
          <w:sz w:val="16"/>
          <w:szCs w:val="16"/>
          <w:lang w:eastAsia="fr-FR"/>
        </w:rPr>
      </w:r>
    </w:p>
    <w:p>
      <w:pPr>
        <w:pStyle w:val="Normal"/>
        <w:keepNext w:val="true"/>
        <w:numPr>
          <w:ilvl w:val="0"/>
          <w:numId w:val="0"/>
        </w:numPr>
        <w:pBdr>
          <w:top w:val="single" w:sz="18" w:space="1" w:color="000000" w:shadow="1"/>
          <w:left w:val="single" w:sz="18" w:space="4" w:color="000000" w:shadow="1"/>
          <w:bottom w:val="single" w:sz="18" w:space="0" w:color="000000" w:shadow="1"/>
          <w:right w:val="single" w:sz="18" w:space="4" w:color="000000" w:shadow="1"/>
        </w:pBdr>
        <w:spacing w:lineRule="auto" w:line="360" w:before="0" w:after="0"/>
        <w:ind w:end="-2"/>
        <w:jc w:val="center"/>
        <w:outlineLvl w:val="1"/>
        <w:rPr>
          <w:rFonts w:ascii="Times New Roman" w:hAnsi="Times New Roman" w:eastAsia="Times New Roman" w:cs="Times New Roman"/>
          <w:b/>
          <w:bCs/>
          <w:sz w:val="16"/>
          <w:szCs w:val="16"/>
          <w:lang w:eastAsia="fr-FR"/>
        </w:rPr>
      </w:pPr>
      <w:r>
        <w:rPr>
          <w:rFonts w:eastAsia="Times New Roman" w:cs="Times New Roman" w:ascii="Times New Roman" w:hAnsi="Times New Roman"/>
          <w:b/>
          <w:bCs/>
          <w:sz w:val="16"/>
          <w:szCs w:val="16"/>
          <w:lang w:eastAsia="fr-FR"/>
        </w:rPr>
      </w:r>
    </w:p>
    <w:p>
      <w:pPr>
        <w:pStyle w:val="Normal"/>
        <w:keepNext w:val="true"/>
        <w:numPr>
          <w:ilvl w:val="0"/>
          <w:numId w:val="0"/>
        </w:numPr>
        <w:pBdr>
          <w:top w:val="single" w:sz="18" w:space="1" w:color="000000" w:shadow="1"/>
          <w:left w:val="single" w:sz="18" w:space="4" w:color="000000" w:shadow="1"/>
          <w:bottom w:val="single" w:sz="18" w:space="0" w:color="000000" w:shadow="1"/>
          <w:right w:val="single" w:sz="18" w:space="4" w:color="000000" w:shadow="1"/>
        </w:pBdr>
        <w:spacing w:lineRule="auto" w:line="360" w:before="0" w:after="0"/>
        <w:ind w:end="-2"/>
        <w:jc w:val="center"/>
        <w:outlineLvl w:val="1"/>
        <w:rPr>
          <w:rFonts w:ascii="Times New Roman" w:hAnsi="Times New Roman" w:eastAsia="Times New Roman" w:cs="Times New Roman"/>
          <w:b/>
          <w:bCs/>
          <w:sz w:val="44"/>
          <w:szCs w:val="44"/>
          <w:lang w:eastAsia="fr-FR"/>
        </w:rPr>
      </w:pPr>
      <w:r>
        <w:rPr>
          <w:rFonts w:eastAsia="Times New Roman" w:cs="Times New Roman" w:ascii="Times New Roman" w:hAnsi="Times New Roman"/>
          <w:b/>
          <w:bCs/>
          <w:sz w:val="44"/>
          <w:szCs w:val="44"/>
          <w:lang w:eastAsia="fr-FR"/>
        </w:rPr>
        <w:t xml:space="preserve">ACCORD </w:t>
      </w:r>
      <w:bookmarkStart w:id="0" w:name="_Hlk13151019"/>
      <w:r>
        <w:rPr>
          <w:rFonts w:eastAsia="Times New Roman" w:cs="Times New Roman" w:ascii="Times New Roman" w:hAnsi="Times New Roman"/>
          <w:b/>
          <w:bCs/>
          <w:sz w:val="44"/>
          <w:szCs w:val="44"/>
          <w:lang w:eastAsia="fr-FR"/>
        </w:rPr>
        <w:t>COLLECTIF D’ENTREPRISE RELATIF A L’AUGMENTATION</w:t>
      </w:r>
    </w:p>
    <w:p>
      <w:pPr>
        <w:pStyle w:val="Normal"/>
        <w:keepNext w:val="true"/>
        <w:numPr>
          <w:ilvl w:val="0"/>
          <w:numId w:val="0"/>
        </w:numPr>
        <w:pBdr>
          <w:top w:val="single" w:sz="18" w:space="1" w:color="000000" w:shadow="1"/>
          <w:left w:val="single" w:sz="18" w:space="4" w:color="000000" w:shadow="1"/>
          <w:bottom w:val="single" w:sz="18" w:space="0" w:color="000000" w:shadow="1"/>
          <w:right w:val="single" w:sz="18" w:space="4" w:color="000000" w:shadow="1"/>
        </w:pBdr>
        <w:spacing w:lineRule="auto" w:line="360" w:before="0" w:after="0"/>
        <w:ind w:end="-2"/>
        <w:jc w:val="center"/>
        <w:outlineLvl w:val="1"/>
        <w:rPr>
          <w:rFonts w:ascii="Times New Roman" w:hAnsi="Times New Roman" w:eastAsia="Times New Roman" w:cs="Times New Roman"/>
          <w:b/>
          <w:bCs/>
          <w:sz w:val="44"/>
          <w:szCs w:val="44"/>
          <w:lang w:eastAsia="fr-FR"/>
        </w:rPr>
      </w:pPr>
      <w:r>
        <w:rPr>
          <w:rFonts w:eastAsia="Times New Roman" w:cs="Times New Roman" w:ascii="Times New Roman" w:hAnsi="Times New Roman"/>
          <w:b/>
          <w:bCs/>
          <w:sz w:val="44"/>
          <w:szCs w:val="44"/>
          <w:lang w:eastAsia="fr-FR"/>
        </w:rPr>
        <w:t xml:space="preserve">DU CONTINGENT D’HEURES SUPPLEMENTAIRES </w:t>
      </w:r>
      <w:bookmarkEnd w:id="0"/>
    </w:p>
    <w:p>
      <w:pPr>
        <w:pStyle w:val="Normal"/>
        <w:keepNext w:val="true"/>
        <w:numPr>
          <w:ilvl w:val="0"/>
          <w:numId w:val="0"/>
        </w:numPr>
        <w:pBdr>
          <w:top w:val="single" w:sz="18" w:space="1" w:color="000000" w:shadow="1"/>
          <w:left w:val="single" w:sz="18" w:space="4" w:color="000000" w:shadow="1"/>
          <w:bottom w:val="single" w:sz="18" w:space="0" w:color="000000" w:shadow="1"/>
          <w:right w:val="single" w:sz="18" w:space="4" w:color="000000" w:shadow="1"/>
        </w:pBdr>
        <w:spacing w:lineRule="auto" w:line="360" w:before="0" w:after="0"/>
        <w:ind w:end="-2"/>
        <w:jc w:val="center"/>
        <w:outlineLvl w:val="1"/>
        <w:rPr>
          <w:rFonts w:ascii="Times New Roman" w:hAnsi="Times New Roman" w:eastAsia="Times New Roman" w:cs="Times New Roman"/>
          <w:b/>
          <w:bCs/>
          <w:sz w:val="16"/>
          <w:szCs w:val="16"/>
          <w:lang w:eastAsia="fr-FR"/>
        </w:rPr>
      </w:pPr>
      <w:r>
        <w:rPr>
          <w:rFonts w:eastAsia="Times New Roman" w:cs="Times New Roman" w:ascii="Times New Roman" w:hAnsi="Times New Roman"/>
          <w:b/>
          <w:bCs/>
          <w:sz w:val="16"/>
          <w:szCs w:val="16"/>
          <w:lang w:eastAsia="fr-FR"/>
        </w:rPr>
      </w:r>
    </w:p>
    <w:p>
      <w:pPr>
        <w:pStyle w:val="RATitrePolyActe"/>
        <w:pBdr>
          <w:bottom w:val="single" w:sz="18" w:space="1" w:color="000000"/>
        </w:pBdr>
        <w:spacing w:lineRule="auto" w:line="360"/>
        <w:jc w:val="start"/>
        <w:rPr>
          <w:rFonts w:ascii="Times New Roman" w:hAnsi="Times New Roman"/>
          <w:caps w:val="false"/>
          <w:smallCaps w:val="false"/>
          <w:sz w:val="34"/>
          <w:szCs w:val="34"/>
        </w:rPr>
      </w:pPr>
      <w:r>
        <w:rPr>
          <w:rFonts w:ascii="Times New Roman" w:hAnsi="Times New Roman"/>
          <w:caps w:val="false"/>
          <w:smallCaps w:val="false"/>
          <w:sz w:val="34"/>
          <w:szCs w:val="34"/>
        </w:rPr>
      </w:r>
    </w:p>
    <w:p>
      <w:pPr>
        <w:pStyle w:val="RATitrePolyActe"/>
        <w:pBdr>
          <w:bottom w:val="single" w:sz="18" w:space="1" w:color="000000"/>
        </w:pBdr>
        <w:spacing w:lineRule="auto" w:line="360"/>
        <w:jc w:val="start"/>
        <w:rPr>
          <w:rFonts w:ascii="Times New Roman" w:hAnsi="Times New Roman"/>
          <w:sz w:val="34"/>
          <w:szCs w:val="34"/>
        </w:rPr>
      </w:pPr>
      <w:r>
        <w:rPr>
          <w:rFonts w:ascii="Times New Roman" w:hAnsi="Times New Roman"/>
          <w:caps w:val="false"/>
          <w:smallCaps w:val="false"/>
          <w:sz w:val="34"/>
          <w:szCs w:val="34"/>
        </w:rPr>
        <w:t xml:space="preserve">Entre les soussignés </w:t>
      </w:r>
      <w:r>
        <w:rPr>
          <w:rFonts w:ascii="Times New Roman" w:hAnsi="Times New Roman"/>
          <w:sz w:val="34"/>
          <w:szCs w:val="34"/>
        </w:rPr>
        <w:t>:</w:t>
      </w:r>
    </w:p>
    <w:p>
      <w:pPr>
        <w:pStyle w:val="Normal"/>
        <w:spacing w:lineRule="auto" w:line="360" w:before="0" w:after="0"/>
        <w:rPr>
          <w:rFonts w:ascii="Times New Roman" w:hAnsi="Times New Roman" w:eastAsia="Cambria" w:cs="Times New Roman"/>
          <w:color w:val="262626"/>
          <w:sz w:val="24"/>
          <w:szCs w:val="24"/>
        </w:rPr>
      </w:pPr>
      <w:r>
        <w:rPr>
          <w:rFonts w:eastAsia="Cambria" w:cs="Times New Roman" w:ascii="Times New Roman" w:hAnsi="Times New Roman"/>
          <w:color w:val="262626"/>
          <w:sz w:val="24"/>
          <w:szCs w:val="24"/>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La société </w:t>
      </w:r>
      <w:r>
        <w:rPr>
          <w:rFonts w:cs="Times New Roman" w:ascii="Times New Roman" w:hAnsi="Times New Roman"/>
          <w:bCs/>
          <w:sz w:val="24"/>
          <w:szCs w:val="24"/>
        </w:rPr>
        <w:t>EHPAD Résidence du Tertre</w:t>
      </w:r>
      <w:r>
        <w:rPr>
          <w:rFonts w:cs="Times New Roman" w:ascii="Times New Roman" w:hAnsi="Times New Roman"/>
          <w:sz w:val="24"/>
          <w:szCs w:val="24"/>
        </w:rPr>
        <w:t>, SAS, enregistrée sous le RCS de LIBOURNE numéro 50232058300037, dont le siège social est 18 Rue du Creuzat, 38 080 L’ISLE D’ABEAU, prise en la personne de Madame                  directrice de la Résidence.</w:t>
      </w:r>
    </w:p>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jc w:val="end"/>
        <w:rPr>
          <w:rFonts w:ascii="Times New Roman" w:hAnsi="Times New Roman" w:eastAsia="Times New Roman" w:cs="Times New Roman"/>
          <w:b/>
          <w:sz w:val="34"/>
          <w:szCs w:val="34"/>
          <w:lang w:eastAsia="fr-FR"/>
        </w:rPr>
      </w:pPr>
      <w:r>
        <w:rPr>
          <w:rFonts w:eastAsia="Times New Roman" w:cs="Times New Roman" w:ascii="Times New Roman" w:hAnsi="Times New Roman"/>
          <w:b/>
          <w:sz w:val="34"/>
          <w:szCs w:val="34"/>
          <w:lang w:eastAsia="fr-FR"/>
        </w:rPr>
        <w:t>D’une part</w:t>
      </w:r>
    </w:p>
    <w:p>
      <w:pPr>
        <w:pStyle w:val="Normal"/>
        <w:spacing w:lineRule="auto" w:line="360"/>
        <w:rPr>
          <w:rFonts w:ascii="Times New Roman" w:hAnsi="Times New Roman" w:eastAsia="Times New Roman" w:cs="Times New Roman"/>
          <w:b/>
          <w:sz w:val="34"/>
          <w:szCs w:val="34"/>
          <w:lang w:eastAsia="fr-FR"/>
        </w:rPr>
      </w:pPr>
      <w:r>
        <w:rPr>
          <w:rFonts w:eastAsia="Times New Roman" w:cs="Times New Roman" w:ascii="Times New Roman" w:hAnsi="Times New Roman"/>
          <w:b/>
          <w:sz w:val="34"/>
          <w:szCs w:val="34"/>
          <w:lang w:eastAsia="fr-FR"/>
        </w:rPr>
        <w:t>Et,</w:t>
      </w:r>
    </w:p>
    <w:p>
      <w:pPr>
        <w:pStyle w:val="Normal"/>
        <w:spacing w:lineRule="auto" w:line="360"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tabs>
          <w:tab w:val="clear" w:pos="708"/>
          <w:tab w:val="left" w:pos="900" w:leader="none"/>
        </w:tabs>
        <w:spacing w:lineRule="auto" w:line="360" w:before="0" w:after="0"/>
        <w:contextualSpacing/>
        <w:jc w:val="both"/>
        <w:rPr>
          <w:rFonts w:ascii="Times New Roman" w:hAnsi="Times New Roman" w:eastAsia="Times New Roman" w:cs="Times New Roman"/>
          <w:color w:val="000000"/>
          <w:sz w:val="24"/>
          <w:szCs w:val="24"/>
          <w:shd w:fill="FFFFFF" w:val="clear"/>
        </w:rPr>
      </w:pPr>
      <w:r>
        <w:rPr>
          <w:rFonts w:eastAsia="Times New Roman" w:cs="Times New Roman" w:ascii="Times New Roman" w:hAnsi="Times New Roman"/>
          <w:sz w:val="24"/>
          <w:szCs w:val="24"/>
        </w:rPr>
        <w:t xml:space="preserve">Les </w:t>
      </w:r>
      <w:r>
        <w:rPr>
          <w:rFonts w:eastAsia="Times New Roman" w:cs="Times New Roman" w:ascii="Times New Roman" w:hAnsi="Times New Roman"/>
          <w:color w:val="000000"/>
          <w:sz w:val="24"/>
          <w:szCs w:val="24"/>
          <w:shd w:fill="FFFFFF" w:val="clear"/>
        </w:rPr>
        <w:t>membres titulaires de la délégation du personnel du comité social et économique ayant obtenu la majorité des suffrages exprimés lors des dernières élections :</w:t>
      </w:r>
      <w:r>
        <w:rPr>
          <w:rFonts w:eastAsia="Times New Roman" w:cs="Times New Roman" w:ascii="Times New Roman" w:hAnsi="Times New Roman"/>
          <w:color w:val="333333"/>
          <w:sz w:val="24"/>
          <w:szCs w:val="24"/>
        </w:rPr>
        <w:t xml:space="preserve"> </w:t>
      </w:r>
    </w:p>
    <w:p>
      <w:pPr>
        <w:pStyle w:val="ListParagraph"/>
        <w:widowControl/>
        <w:numPr>
          <w:ilvl w:val="0"/>
          <w:numId w:val="5"/>
        </w:numPr>
        <w:tabs>
          <w:tab w:val="clear" w:pos="708"/>
          <w:tab w:val="left" w:pos="900" w:leader="none"/>
        </w:tabs>
        <w:bidi w:val="0"/>
        <w:spacing w:lineRule="auto" w:line="360" w:before="0" w:after="0"/>
        <w:contextualSpacing/>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t xml:space="preserve">Mme  </w:t>
      </w:r>
      <w:r>
        <w:rPr>
          <w:rFonts w:eastAsia="Times New Roman" w:cs="Times New Roman" w:ascii="Times New Roman" w:hAnsi="Times New Roman"/>
          <w:sz w:val="24"/>
          <w:szCs w:val="24"/>
          <w:shd w:fill="FFFFFF" w:val="clear"/>
        </w:rPr>
        <w:t xml:space="preserve">                     </w:t>
      </w:r>
    </w:p>
    <w:p>
      <w:pPr>
        <w:pStyle w:val="ListParagraph"/>
        <w:widowControl/>
        <w:numPr>
          <w:ilvl w:val="0"/>
          <w:numId w:val="5"/>
        </w:numPr>
        <w:tabs>
          <w:tab w:val="clear" w:pos="708"/>
          <w:tab w:val="left" w:pos="900" w:leader="none"/>
        </w:tabs>
        <w:bidi w:val="0"/>
        <w:spacing w:lineRule="auto" w:line="360" w:before="0" w:after="0"/>
        <w:contextualSpacing/>
        <w:jc w:val="both"/>
        <w:rPr>
          <w:rFonts w:ascii="Times New Roman" w:hAnsi="Times New Roman" w:eastAsia="Times New Roman" w:cs="Times New Roman"/>
          <w:sz w:val="24"/>
          <w:szCs w:val="24"/>
          <w:shd w:fill="FFFFFF" w:val="clear"/>
        </w:rPr>
      </w:pPr>
      <w:r>
        <w:rPr>
          <w:rFonts w:eastAsia="Times New Roman" w:cs="Times New Roman" w:ascii="Times New Roman" w:hAnsi="Times New Roman"/>
          <w:sz w:val="24"/>
          <w:szCs w:val="24"/>
          <w:shd w:fill="FFFFFF" w:val="clear"/>
        </w:rPr>
        <w:t xml:space="preserve">Mme                 </w:t>
      </w:r>
      <w:r>
        <w:rPr>
          <w:rFonts w:eastAsia="Times New Roman" w:cs="Times New Roman" w:ascii="Times New Roman" w:hAnsi="Times New Roman"/>
          <w:sz w:val="24"/>
          <w:szCs w:val="24"/>
          <w:shd w:fill="FFFFFF" w:val="clear"/>
        </w:rPr>
        <w:t xml:space="preserve">(suppléante) </w:t>
      </w:r>
    </w:p>
    <w:p>
      <w:pPr>
        <w:pStyle w:val="ListParagraph"/>
        <w:spacing w:lineRule="auto" w:line="360"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rPr/>
      </w:pPr>
      <w:r>
        <w:rPr/>
      </w:r>
    </w:p>
    <w:p>
      <w:pPr>
        <w:pStyle w:val="Normal"/>
        <w:spacing w:lineRule="auto" w:line="360"/>
        <w:jc w:val="end"/>
        <w:rPr>
          <w:rFonts w:ascii="Times New Roman" w:hAnsi="Times New Roman" w:eastAsia="Times New Roman" w:cs="Times New Roman"/>
          <w:b/>
          <w:sz w:val="34"/>
          <w:szCs w:val="34"/>
          <w:lang w:eastAsia="fr-FR"/>
        </w:rPr>
      </w:pPr>
      <w:r>
        <w:rPr>
          <w:rFonts w:eastAsia="Times New Roman" w:cs="Times New Roman" w:ascii="Times New Roman" w:hAnsi="Times New Roman"/>
          <w:b/>
          <w:sz w:val="34"/>
          <w:szCs w:val="34"/>
          <w:lang w:eastAsia="fr-FR"/>
        </w:rPr>
        <w:t>D’autre part</w:t>
      </w:r>
    </w:p>
    <w:p>
      <w:pPr>
        <w:pStyle w:val="Normal"/>
        <w:pBdr>
          <w:bottom w:val="single" w:sz="18" w:space="1" w:color="000000"/>
        </w:pBdr>
        <w:spacing w:lineRule="auto" w:line="360"/>
        <w:rPr>
          <w:rFonts w:ascii="Times New Roman" w:hAnsi="Times New Roman" w:eastAsia="Times New Roman" w:cs="Times New Roman"/>
          <w:b/>
          <w:sz w:val="34"/>
          <w:szCs w:val="34"/>
          <w:lang w:eastAsia="fr-FR"/>
        </w:rPr>
      </w:pPr>
      <w:r>
        <w:rPr>
          <w:rFonts w:eastAsia="Times New Roman" w:cs="Times New Roman" w:ascii="Times New Roman" w:hAnsi="Times New Roman"/>
          <w:b/>
          <w:sz w:val="34"/>
          <w:szCs w:val="34"/>
          <w:lang w:eastAsia="fr-FR"/>
        </w:rPr>
      </w:r>
    </w:p>
    <w:p>
      <w:pPr>
        <w:pStyle w:val="Normal"/>
        <w:pBdr>
          <w:bottom w:val="single" w:sz="18" w:space="1" w:color="000000"/>
        </w:pBdr>
        <w:spacing w:lineRule="auto" w:line="360"/>
        <w:rPr>
          <w:rFonts w:ascii="Times New Roman" w:hAnsi="Times New Roman" w:eastAsia="Times New Roman" w:cs="Times New Roman"/>
          <w:b/>
          <w:sz w:val="34"/>
          <w:szCs w:val="34"/>
          <w:lang w:eastAsia="fr-FR"/>
        </w:rPr>
      </w:pPr>
      <w:r>
        <w:rPr>
          <w:rFonts w:eastAsia="Times New Roman" w:cs="Times New Roman" w:ascii="Times New Roman" w:hAnsi="Times New Roman"/>
          <w:b/>
          <w:sz w:val="34"/>
          <w:szCs w:val="34"/>
          <w:lang w:eastAsia="fr-FR"/>
        </w:rPr>
        <w:t xml:space="preserve">Il a été arrêté et convenu ce qui suit :  </w:t>
      </w:r>
    </w:p>
    <w:p>
      <w:pPr>
        <w:pStyle w:val="Normal"/>
        <w:spacing w:lineRule="auto" w:line="360" w:before="0" w:after="0"/>
        <w:ind w:end="-1"/>
        <w:jc w:val="both"/>
        <w:rPr>
          <w:rFonts w:ascii="Times New Roman" w:hAnsi="Times New Roman" w:eastAsia="Times New Roman" w:cs="Times New Roman"/>
          <w:color w:val="333333"/>
          <w:lang w:eastAsia="fr-FR"/>
        </w:rPr>
      </w:pPr>
      <w:r>
        <w:rPr>
          <w:rFonts w:eastAsia="Times New Roman" w:cs="Times New Roman" w:ascii="Times New Roman" w:hAnsi="Times New Roman"/>
          <w:color w:val="333333"/>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PREAMBULE ET OBJET DE L’ACCORD</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ind w:end="-1"/>
        <w:jc w:val="both"/>
        <w:rPr>
          <w:rFonts w:ascii="Times New Roman" w:hAnsi="Times New Roman" w:eastAsia="Times New Roman" w:cs="Times New Roman"/>
          <w:color w:val="333333"/>
          <w:lang w:eastAsia="fr-FR"/>
        </w:rPr>
      </w:pPr>
      <w:r>
        <w:rPr>
          <w:rFonts w:eastAsia="Times New Roman" w:cs="Times New Roman" w:ascii="Times New Roman" w:hAnsi="Times New Roman"/>
          <w:color w:val="333333"/>
          <w:lang w:eastAsia="fr-FR"/>
        </w:rPr>
      </w:r>
    </w:p>
    <w:p>
      <w:pPr>
        <w:pStyle w:val="Normal"/>
        <w:spacing w:lineRule="auto" w:line="360" w:before="0" w:after="0"/>
        <w:ind w:end="-1"/>
        <w:jc w:val="both"/>
        <w:rPr>
          <w:rFonts w:ascii="Times New Roman" w:hAnsi="Times New Roman" w:eastAsia="Times New Roman" w:cs="Times New Roman"/>
          <w:color w:val="333333"/>
          <w:lang w:eastAsia="fr-FR"/>
        </w:rPr>
      </w:pPr>
      <w:r>
        <w:rPr>
          <w:rFonts w:eastAsia="Times New Roman" w:cs="Times New Roman" w:ascii="Times New Roman" w:hAnsi="Times New Roman"/>
          <w:color w:val="333333"/>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Les impératifs de l’activité de notre société, qui relève de la Convention Collective Nationale de l’hospitalisation privée du 18 avril 2002 – IDCC : 2264, oblige la société à recourir à l’accomplissement par ses salariés d’heures supplémentaires de manière récurrente. </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A ce jour, le contingent annuel d’heures supplémentaires prévu par la convention collective est fixé à 130 heures par an et par salarié, ce qui se révèle réellement inadapté aux besoins et aux impératifs de notre activité de prise en charge de personnes âgées dépendantes. </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Compte tenu de la pénurie actuelle de certaines catégories de personnel et d’une volonté d’assurer en permanence une prise en charge optimale des résidents, tout en assurant la protection des droits des salariés, les parties ont convenu d’adopter, par le présent accord, un contingent annuel d’heures supplémentaires supérieur à celui prévu par la Convention Collective Nationale de l’hospitalisation privée et de le porter à 220 heures, </w:t>
      </w:r>
      <w:r>
        <w:rPr>
          <w:rFonts w:eastAsia="Times New Roman" w:cs="Times New Roman" w:ascii="Times New Roman" w:hAnsi="Times New Roman"/>
          <w:lang w:eastAsia="fr-FR"/>
        </w:rPr>
        <w:t>conformément à la loi n°2008-789 du 20 août 2008.</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Au-delà de l’augmentation du contingent annuel d’heures supplémentaires, le présent accord a pour objet de fixer les contreparties prévues pour les heures supplémentaires effectuées dans le cadre dudit contingent, et de fixer les modalités de dépassement éventuel du contingent d’heures supplémentaires et de prise des contreparties en repos des heures supplémentaires effectuées au-delà dudit contingent.</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1 — CHAMP D’APPLICATION</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ind w:end="-1"/>
        <w:jc w:val="both"/>
        <w:rPr>
          <w:rFonts w:ascii="Times New Roman" w:hAnsi="Times New Roman" w:eastAsia="Times New Roman" w:cs="Times New Roman"/>
          <w:color w:val="333333"/>
          <w:lang w:eastAsia="fr-FR"/>
        </w:rPr>
      </w:pPr>
      <w:r>
        <w:rPr>
          <w:rFonts w:eastAsia="Times New Roman" w:cs="Times New Roman" w:ascii="Times New Roman" w:hAnsi="Times New Roman"/>
          <w:color w:val="333333"/>
          <w:lang w:eastAsia="fr-FR"/>
        </w:rPr>
      </w:r>
    </w:p>
    <w:p>
      <w:pPr>
        <w:pStyle w:val="Heading2"/>
        <w:spacing w:lineRule="auto" w:line="360"/>
        <w:rPr>
          <w:rFonts w:ascii="Times New Roman" w:hAnsi="Times New Roman" w:cs="Times New Roman"/>
          <w:b/>
          <w:bCs/>
          <w:color w:val="auto"/>
          <w:sz w:val="28"/>
          <w:szCs w:val="28"/>
          <w:u w:val="single"/>
        </w:rPr>
      </w:pPr>
      <w:bookmarkStart w:id="1" w:name="_Toc39563420"/>
      <w:r>
        <w:rPr>
          <w:rFonts w:cs="Times New Roman" w:ascii="Times New Roman" w:hAnsi="Times New Roman"/>
          <w:b/>
          <w:bCs/>
          <w:color w:val="auto"/>
          <w:sz w:val="28"/>
          <w:szCs w:val="28"/>
          <w:u w:val="single"/>
        </w:rPr>
        <w:t>ARTICLE 1.1 – Etablissement</w:t>
      </w:r>
      <w:bookmarkEnd w:id="1"/>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b/>
          <w:sz w:val="24"/>
          <w:szCs w:val="24"/>
        </w:rPr>
      </w:pPr>
      <w:r>
        <w:rPr>
          <w:rFonts w:cs="Times New Roman" w:ascii="Times New Roman" w:hAnsi="Times New Roman"/>
          <w:sz w:val="24"/>
          <w:szCs w:val="24"/>
        </w:rPr>
        <w:t xml:space="preserve">Le présent accord s’applique à l’établissement </w:t>
      </w:r>
      <w:r>
        <w:rPr>
          <w:rFonts w:cs="Times New Roman" w:ascii="Times New Roman" w:hAnsi="Times New Roman"/>
          <w:bCs/>
          <w:sz w:val="24"/>
          <w:szCs w:val="24"/>
        </w:rPr>
        <w:t>EHPAD Résidence du Tertre.</w:t>
      </w:r>
      <w:r>
        <w:rPr>
          <w:rFonts w:cs="Times New Roman" w:ascii="Times New Roman" w:hAnsi="Times New Roman"/>
          <w:b/>
          <w:sz w:val="24"/>
          <w:szCs w:val="24"/>
        </w:rPr>
        <w:t xml:space="preserve"> </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Heading2"/>
        <w:spacing w:lineRule="auto" w:line="360"/>
        <w:rPr>
          <w:rFonts w:ascii="Times New Roman" w:hAnsi="Times New Roman" w:cs="Times New Roman"/>
          <w:b/>
          <w:bCs/>
          <w:color w:val="auto"/>
          <w:sz w:val="28"/>
          <w:szCs w:val="28"/>
          <w:u w:val="single"/>
        </w:rPr>
      </w:pPr>
      <w:bookmarkStart w:id="2" w:name="_Toc39563421"/>
      <w:r>
        <w:rPr>
          <w:rFonts w:cs="Times New Roman" w:ascii="Times New Roman" w:hAnsi="Times New Roman"/>
          <w:b/>
          <w:bCs/>
          <w:color w:val="auto"/>
          <w:sz w:val="28"/>
          <w:szCs w:val="28"/>
          <w:u w:val="single"/>
        </w:rPr>
        <w:t>ARTICLE 1.2 - Salariés concernés</w:t>
      </w:r>
      <w:bookmarkEnd w:id="2"/>
    </w:p>
    <w:p>
      <w:pPr>
        <w:pStyle w:val="Normal"/>
        <w:spacing w:lineRule="auto" w:line="360"/>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Les dispositions du présent accord s’appliquent à l’ensemble du personnel de la société employé à temps complet, cadre et non cadre, en contrat à durée déterminée ou indéterminée, à l’exception : </w:t>
      </w:r>
    </w:p>
    <w:p>
      <w:pPr>
        <w:pStyle w:val="ListParagraph"/>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Des cadres bénéficiant d’une convention individuelle de forfait en jours sur l’année ;</w:t>
      </w:r>
    </w:p>
    <w:p>
      <w:pPr>
        <w:pStyle w:val="ListParagraph"/>
        <w:numPr>
          <w:ilvl w:val="0"/>
          <w:numId w:val="2"/>
        </w:numPr>
        <w:spacing w:lineRule="auto" w:line="360"/>
        <w:jc w:val="both"/>
        <w:rPr>
          <w:rFonts w:ascii="Times New Roman" w:hAnsi="Times New Roman" w:cs="Times New Roman"/>
          <w:sz w:val="24"/>
          <w:szCs w:val="24"/>
        </w:rPr>
      </w:pPr>
      <w:r>
        <w:rPr>
          <w:rFonts w:cs="Times New Roman" w:ascii="Times New Roman" w:hAnsi="Times New Roman"/>
          <w:sz w:val="24"/>
          <w:szCs w:val="24"/>
        </w:rPr>
        <w:t xml:space="preserve">Des cadres relevant du statut de cadre dirigeant au sens de l’article L.3111-2 du Code du travail et qui, de fait, ne sont pas soumis à la réglementation sur la durée du travail. </w:t>
      </w:r>
    </w:p>
    <w:p>
      <w:pPr>
        <w:pStyle w:val="Normal"/>
        <w:spacing w:lineRule="auto" w:line="360" w:before="0" w:after="0"/>
        <w:ind w:end="-1"/>
        <w:jc w:val="both"/>
        <w:rPr>
          <w:rFonts w:ascii="Times New Roman" w:hAnsi="Times New Roman" w:eastAsia="Times New Roman" w:cs="Times New Roman"/>
          <w:color w:val="333333"/>
          <w:lang w:eastAsia="fr-FR"/>
        </w:rPr>
      </w:pPr>
      <w:r>
        <w:rPr>
          <w:rFonts w:eastAsia="Times New Roman" w:cs="Times New Roman" w:ascii="Times New Roman" w:hAnsi="Times New Roman"/>
          <w:color w:val="333333"/>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2 — ENTREE EN VIGUEUR ET DUREE DE L’ACCORD</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Le présent accord entrera en vigueur à compter du lendemain de son dépôt.</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Il est conclu pour une durée indéterminée. </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Il pourra être dénoncé dans les conditions prévues à l’article 6 du présent accord.</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bookmarkStart w:id="3" w:name="_Hlk12544781"/>
      <w:bookmarkStart w:id="4" w:name="_Hlk12544781"/>
      <w:bookmarkEnd w:id="4"/>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3 — CONTINGENT ANNUEL D’HEURES SUPPLEMENTAIRES</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bookmarkStart w:id="5" w:name="_Hlk12544781"/>
      <w:bookmarkStart w:id="6" w:name="_Hlk12544781"/>
      <w:bookmarkEnd w:id="6"/>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pBdr>
          <w:bottom w:val="single" w:sz="18" w:space="1" w:color="000000"/>
        </w:pBdr>
        <w:spacing w:lineRule="auto" w:line="360" w:before="0" w:after="0"/>
        <w:jc w:val="both"/>
        <w:rPr>
          <w:rFonts w:ascii="Times New Roman" w:hAnsi="Times New Roman" w:eastAsia="Times New Roman" w:cs="Times New Roman"/>
          <w:b/>
          <w:bCs/>
          <w:i/>
          <w:sz w:val="30"/>
          <w:szCs w:val="30"/>
          <w:lang w:eastAsia="fr-FR"/>
        </w:rPr>
      </w:pPr>
      <w:r>
        <w:rPr>
          <w:rFonts w:eastAsia="Times New Roman" w:cs="Times New Roman" w:ascii="Times New Roman" w:hAnsi="Times New Roman"/>
          <w:b/>
          <w:bCs/>
          <w:i/>
          <w:sz w:val="30"/>
          <w:szCs w:val="30"/>
          <w:lang w:eastAsia="fr-FR"/>
        </w:rPr>
        <w:t xml:space="preserve">Article 3-1 – Fixation du contingent d’heures supplémentaires </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A ce jour, le contingent annuel d’heures supplémentaires prévu par la convention collective est fixé à 130 heures par an et par salarié.</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
          <w:lang w:eastAsia="fr-FR"/>
        </w:rPr>
      </w:pPr>
      <w:r>
        <w:rPr>
          <w:rFonts w:eastAsia="Times New Roman" w:cs="Times New Roman" w:ascii="Times New Roman" w:hAnsi="Times New Roman"/>
          <w:b/>
          <w:lang w:eastAsia="fr-FR"/>
        </w:rPr>
        <w:t>Le présent accord a pour objet d’augmenter le contingent annuel d’heures supplémentaires et de le fixer à 220 heures par an et par salarié.</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La période de référence pour calculer le contingent d’heures supplémentaires est l’année civile, soit du 1</w:t>
      </w:r>
      <w:r>
        <w:rPr>
          <w:rFonts w:eastAsia="Times New Roman" w:cs="Times New Roman" w:ascii="Times New Roman" w:hAnsi="Times New Roman"/>
          <w:bCs/>
          <w:vertAlign w:val="superscript"/>
          <w:lang w:eastAsia="fr-FR"/>
        </w:rPr>
        <w:t>er</w:t>
      </w:r>
      <w:r>
        <w:rPr>
          <w:rFonts w:eastAsia="Times New Roman" w:cs="Times New Roman" w:ascii="Times New Roman" w:hAnsi="Times New Roman"/>
          <w:bCs/>
          <w:lang w:eastAsia="fr-FR"/>
        </w:rPr>
        <w:t xml:space="preserve"> janvier de l’année N au 31 décembre de l’année N.</w:t>
      </w:r>
      <w:r>
        <w:rPr>
          <w:rFonts w:cs="Times New Roman" w:ascii="Times New Roman" w:hAnsi="Times New Roman"/>
          <w:b/>
          <w:bCs/>
          <w:i/>
          <w:iCs/>
          <w:sz w:val="24"/>
          <w:szCs w:val="24"/>
        </w:rPr>
        <w:t xml:space="preserve"> </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jc w:val="both"/>
        <w:rPr>
          <w:rFonts w:ascii="Times New Roman" w:hAnsi="Times New Roman" w:cs="Times New Roman"/>
        </w:rPr>
      </w:pPr>
      <w:r>
        <w:rPr>
          <w:rFonts w:cs="Times New Roman" w:ascii="Times New Roman" w:hAnsi="Times New Roman"/>
        </w:rPr>
        <w:t xml:space="preserve">Les heures prises en compte pour le calcul du contingent annuel d’heures supplémentaires sont celles accomplies au-delà de la durée légale applicable au sein de la société et donnant lieu à une majoration de salaire. </w:t>
      </w:r>
    </w:p>
    <w:p>
      <w:pPr>
        <w:pStyle w:val="Normal"/>
        <w:spacing w:lineRule="auto" w:line="360"/>
        <w:jc w:val="both"/>
        <w:rPr>
          <w:rFonts w:ascii="Times New Roman" w:hAnsi="Times New Roman" w:cs="Times New Roman"/>
        </w:rPr>
      </w:pPr>
      <w:r>
        <w:rPr>
          <w:rFonts w:cs="Times New Roman" w:ascii="Times New Roman" w:hAnsi="Times New Roman"/>
        </w:rPr>
        <w:t xml:space="preserve">S’imputent donc sur ledit contingent, les heures supplémentaires effectuées et payés par les salariés visés à l’article 1.2. </w:t>
      </w:r>
    </w:p>
    <w:p>
      <w:pPr>
        <w:pStyle w:val="Normal"/>
        <w:spacing w:lineRule="auto" w:line="360"/>
        <w:jc w:val="both"/>
        <w:rPr>
          <w:rFonts w:ascii="Times New Roman" w:hAnsi="Times New Roman" w:cs="Times New Roman"/>
        </w:rPr>
      </w:pPr>
      <w:r>
        <w:rPr>
          <w:rFonts w:eastAsia="Times New Roman" w:cs="Times New Roman" w:ascii="Times New Roman" w:hAnsi="Times New Roman"/>
          <w:bCs/>
          <w:lang w:eastAsia="fr-FR"/>
        </w:rPr>
        <w:t>Sont par conséquent exclues de ce contingent d’heures supplémentaires, les heures supplémentaires non rémunérées et compensées intégralement par un repos.</w:t>
      </w:r>
    </w:p>
    <w:p>
      <w:pPr>
        <w:pStyle w:val="Normal"/>
        <w:spacing w:lineRule="auto" w:line="360" w:before="0" w:after="0"/>
        <w:jc w:val="both"/>
        <w:rPr>
          <w:rFonts w:ascii="Times New Roman" w:hAnsi="Times New Roman" w:eastAsia="Times New Roman" w:cs="Times New Roman"/>
          <w:bCs/>
          <w:lang w:eastAsia="fr-FR"/>
        </w:rPr>
      </w:pPr>
      <w:r>
        <w:rPr>
          <w:rFonts w:cs="Times New Roman" w:ascii="Times New Roman" w:hAnsi="Times New Roman"/>
        </w:rPr>
        <w:t xml:space="preserve">Ce contingent s’applique sans </w:t>
      </w:r>
      <w:r>
        <w:rPr>
          <w:rFonts w:cs="Times New Roman" w:ascii="Times New Roman" w:hAnsi="Times New Roman"/>
          <w:i/>
          <w:iCs/>
        </w:rPr>
        <w:t>prorata temporis</w:t>
      </w:r>
      <w:r>
        <w:rPr>
          <w:rFonts w:cs="Times New Roman" w:ascii="Times New Roman" w:hAnsi="Times New Roman"/>
        </w:rPr>
        <w:t xml:space="preserve"> pour les salariés embauchés en cours d’année.</w:t>
      </w:r>
      <w:r>
        <w:rPr>
          <w:rFonts w:eastAsia="Times New Roman" w:cs="Times New Roman" w:ascii="Times New Roman" w:hAnsi="Times New Roman"/>
          <w:bCs/>
          <w:lang w:eastAsia="fr-FR"/>
        </w:rPr>
        <w:t>.</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 xml:space="preserve">L’utilisation de ce contingent d’heures supplémentaires se fera dans le respect des règles relatives aux temps de repos minimum et au temps de travail effectif maximum. </w:t>
      </w:r>
    </w:p>
    <w:p>
      <w:pPr>
        <w:pStyle w:val="Normal"/>
        <w:pBdr>
          <w:bottom w:val="single" w:sz="18" w:space="1" w:color="000000"/>
        </w:pBdr>
        <w:spacing w:lineRule="auto" w:line="360" w:before="0" w:after="0"/>
        <w:jc w:val="both"/>
        <w:rPr>
          <w:rFonts w:ascii="Times New Roman" w:hAnsi="Times New Roman" w:eastAsia="Times New Roman" w:cs="Times New Roman"/>
          <w:b/>
          <w:bCs/>
          <w:i/>
          <w:sz w:val="30"/>
          <w:szCs w:val="30"/>
          <w:lang w:eastAsia="fr-FR"/>
        </w:rPr>
      </w:pPr>
      <w:r>
        <w:rPr>
          <w:rFonts w:eastAsia="Times New Roman" w:cs="Times New Roman" w:ascii="Times New Roman" w:hAnsi="Times New Roman"/>
          <w:b/>
          <w:bCs/>
          <w:i/>
          <w:sz w:val="30"/>
          <w:szCs w:val="30"/>
          <w:lang w:eastAsia="fr-FR"/>
        </w:rPr>
        <w:t xml:space="preserve">Article 3-2 – Contreparties des heures supplémentaires effectuées à l’intérieur du contingent </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center"/>
        <w:rPr>
          <w:rFonts w:ascii="Times New Roman" w:hAnsi="Times New Roman" w:eastAsia="Times New Roman" w:cs="Times New Roman"/>
          <w:bCs/>
          <w:i/>
          <w:iCs/>
          <w:sz w:val="28"/>
          <w:szCs w:val="28"/>
          <w:u w:val="single"/>
          <w:lang w:eastAsia="fr-FR"/>
        </w:rPr>
      </w:pPr>
      <w:r>
        <w:rPr>
          <w:rFonts w:eastAsia="Times New Roman" w:cs="Times New Roman" w:ascii="Times New Roman" w:hAnsi="Times New Roman"/>
          <w:bCs/>
          <w:i/>
          <w:iCs/>
          <w:sz w:val="28"/>
          <w:szCs w:val="28"/>
          <w:u w:val="single"/>
          <w:lang w:eastAsia="fr-FR"/>
        </w:rPr>
      </w:r>
      <w:bookmarkStart w:id="7" w:name="_Toc39563428"/>
      <w:bookmarkStart w:id="8" w:name="_Toc39563428"/>
    </w:p>
    <w:p>
      <w:pPr>
        <w:pStyle w:val="Normal"/>
        <w:spacing w:lineRule="auto" w:line="360" w:before="0" w:after="0"/>
        <w:ind w:end="-1"/>
        <w:jc w:val="center"/>
        <w:rPr>
          <w:rFonts w:ascii="Times New Roman" w:hAnsi="Times New Roman" w:eastAsia="Times New Roman" w:cs="Times New Roman"/>
          <w:bCs/>
          <w:i/>
          <w:iCs/>
          <w:sz w:val="28"/>
          <w:szCs w:val="28"/>
          <w:u w:val="single"/>
          <w:lang w:eastAsia="fr-FR"/>
        </w:rPr>
      </w:pPr>
      <w:bookmarkStart w:id="9" w:name="_Toc39563428"/>
      <w:r>
        <w:rPr>
          <w:rFonts w:eastAsia="Times New Roman" w:cs="Times New Roman" w:ascii="Times New Roman" w:hAnsi="Times New Roman"/>
          <w:bCs/>
          <w:i/>
          <w:iCs/>
          <w:sz w:val="28"/>
          <w:szCs w:val="28"/>
          <w:u w:val="single"/>
          <w:lang w:eastAsia="fr-FR"/>
        </w:rPr>
        <w:t>Article 3.2.1 : Majoration des heures supplémentaires</w:t>
      </w:r>
      <w:bookmarkEnd w:id="9"/>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Les heures supplémentaires effectuées à l’intérieur du contingent prévu à l’article 3.1 sont rémunérées sur la base des taux définis par l’article L 3121-36 du code du travail appliqués au mode d’organisation du temps de travail en vigueur au sein des différents services.</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center"/>
        <w:rPr>
          <w:rFonts w:ascii="Times New Roman" w:hAnsi="Times New Roman" w:eastAsia="Times New Roman" w:cs="Times New Roman"/>
          <w:bCs/>
          <w:i/>
          <w:iCs/>
          <w:sz w:val="28"/>
          <w:szCs w:val="28"/>
          <w:u w:val="single"/>
          <w:lang w:eastAsia="fr-FR"/>
        </w:rPr>
      </w:pPr>
      <w:r>
        <w:rPr>
          <w:rFonts w:eastAsia="Times New Roman" w:cs="Times New Roman" w:ascii="Times New Roman" w:hAnsi="Times New Roman"/>
          <w:bCs/>
          <w:i/>
          <w:iCs/>
          <w:sz w:val="28"/>
          <w:szCs w:val="28"/>
          <w:u w:val="single"/>
          <w:lang w:eastAsia="fr-FR"/>
        </w:rPr>
      </w:r>
    </w:p>
    <w:p>
      <w:pPr>
        <w:pStyle w:val="Normal"/>
        <w:spacing w:lineRule="auto" w:line="360" w:before="0" w:after="0"/>
        <w:ind w:end="-1"/>
        <w:jc w:val="center"/>
        <w:rPr>
          <w:rFonts w:ascii="Times New Roman" w:hAnsi="Times New Roman" w:eastAsia="Times New Roman" w:cs="Times New Roman"/>
          <w:bCs/>
          <w:i/>
          <w:iCs/>
          <w:sz w:val="28"/>
          <w:szCs w:val="28"/>
          <w:u w:val="single"/>
          <w:lang w:eastAsia="fr-FR"/>
        </w:rPr>
      </w:pPr>
      <w:r>
        <w:rPr>
          <w:rFonts w:eastAsia="Times New Roman" w:cs="Times New Roman" w:ascii="Times New Roman" w:hAnsi="Times New Roman"/>
          <w:bCs/>
          <w:i/>
          <w:iCs/>
          <w:sz w:val="28"/>
          <w:szCs w:val="28"/>
          <w:u w:val="single"/>
          <w:lang w:eastAsia="fr-FR"/>
        </w:rPr>
        <w:t>Article 3.2.2 : Remplacement du paiement des heures supplémentaires par un repos compensateur équivalent</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En application des dispositions légales, le remplacement de tout ou partie du paiement des heures supplémentaires par un repos compensateur équivalent peut être mis en place.</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Les parties signataires s’accordent à rappeler que le paiement des heures supplémentaires est le principe. </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Exceptionnellement, il sera possible à la demande d’une des parties de remplacer le paiement des heures supplémentaires par du repos compensateur de remplacement équivalent. </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Si cette demande est acceptée par l’autre partie, les heures supplémentaires donnant lieu à un repos compensateur de remplacement ne s’imputent pas sur le contingent annuel d’heures supplémentaires. </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En cas de désaccord, les heures supplémentaires seront rémunérées conformément aux dispositions de l’article 3.2.1. </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Le repos compensateur de remplacement ne peut être pris que par journée entière ou demi-journée dans le délai maximum de </w:t>
      </w:r>
      <w:r>
        <w:rPr>
          <w:rFonts w:eastAsia="Times New Roman" w:cs="Times New Roman" w:ascii="Times New Roman" w:hAnsi="Times New Roman"/>
          <w:lang w:eastAsia="fr-FR"/>
        </w:rPr>
        <w:t>6 mois</w:t>
      </w:r>
      <w:r>
        <w:rPr>
          <w:rFonts w:eastAsia="Times New Roman" w:cs="Times New Roman" w:ascii="Times New Roman" w:hAnsi="Times New Roman"/>
          <w:bCs/>
          <w:lang w:eastAsia="fr-FR"/>
        </w:rPr>
        <w:t xml:space="preserve"> commençant à courir dès que le salarié a acquis 20 heures de repos compensateur de remplacement, et de préférence dans une période de faible activité.</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L'absence de demande de prise du repos par le salarié dans le délai de 6 mois ne peut entraîner la perte de son droit au repos.</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Dans ce cas, l'employeur est tenu de lui demander de prendre effectivement ses repos dans le délai maximum d'un an.</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Le repos compensateur non pris lors de la rupture du contrat de travail est indemnisé.</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La demande du bénéfice du repos compensateur doit être formulée au moins 1 mois à l'avance. Elle doit préciser la date et la durée du repos. Dans les 7 jours suivant la réception de la demande, et au plus tard 48 heures avant la date prévue de prise du repos, l’employeur fera connaître à l'intéressé, soit son accord, soit, les raisons relevant d'impératifs liés au fonctionnement de la société qui motivent le report de la demande.</w:t>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 xml:space="preserve">Dans ce dernier cas, l'employeur proposera au salarié une autre date, mais la durée pendant laquelle le repos peut être différé par l'employeur ne peut excéder 3 mois. Si plusieurs demandes ne peuvent être satisfaites simultanément, les demandes sont départagées selon l'ordre de priorité ci-après : </w:t>
      </w:r>
    </w:p>
    <w:p>
      <w:pPr>
        <w:pStyle w:val="ListParagraph"/>
        <w:numPr>
          <w:ilvl w:val="0"/>
          <w:numId w:val="1"/>
        </w:numPr>
        <w:spacing w:lineRule="auto" w:line="360" w:before="0" w:after="0"/>
        <w:ind w:hanging="360" w:start="720" w:end="-1"/>
        <w:contextualSpacing/>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Demandes déjà différées.</w:t>
      </w:r>
    </w:p>
    <w:p>
      <w:pPr>
        <w:pStyle w:val="ListParagraph"/>
        <w:numPr>
          <w:ilvl w:val="0"/>
          <w:numId w:val="1"/>
        </w:numPr>
        <w:spacing w:lineRule="auto" w:line="360" w:before="0" w:after="0"/>
        <w:ind w:hanging="360" w:start="720" w:end="-1"/>
        <w:contextualSpacing/>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Ancienneté dans la société.</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cs="Times New Roman"/>
        </w:rPr>
      </w:pPr>
      <w:r>
        <w:rPr>
          <w:rFonts w:cs="Times New Roman" w:ascii="Times New Roman" w:hAnsi="Times New Roman"/>
        </w:rPr>
        <w:t>Elles ne pourront être accolées à une période de congés payés ou de jour de compensation de quelque nature que ce soit, ni être comprises dans la période du 1</w:t>
      </w:r>
      <w:r>
        <w:rPr>
          <w:rFonts w:cs="Times New Roman" w:ascii="Times New Roman" w:hAnsi="Times New Roman"/>
          <w:vertAlign w:val="superscript"/>
        </w:rPr>
        <w:t>er</w:t>
      </w:r>
      <w:r>
        <w:rPr>
          <w:rFonts w:cs="Times New Roman" w:ascii="Times New Roman" w:hAnsi="Times New Roman"/>
        </w:rPr>
        <w:t xml:space="preserve"> juillet au 31 août sauf accord avec l’employeur.</w:t>
      </w:r>
    </w:p>
    <w:p>
      <w:pPr>
        <w:pStyle w:val="Normal"/>
        <w:spacing w:lineRule="auto" w:line="360" w:before="0" w:after="0"/>
        <w:ind w:end="-1"/>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t>Les heures supplémentaires sont accomplies, dans la limite du contingent annuel applicable dans l’entreprise, après information du Comité Social et Economique.</w:t>
      </w:r>
    </w:p>
    <w:p>
      <w:pPr>
        <w:pStyle w:val="Normal"/>
        <w:spacing w:lineRule="auto" w:line="360"/>
        <w:jc w:val="both"/>
        <w:rPr>
          <w:rFonts w:ascii="Times New Roman" w:hAnsi="Times New Roman" w:eastAsia="Times New Roman" w:cs="Times New Roman"/>
          <w:b/>
          <w:bCs/>
          <w:lang w:eastAsia="fr-FR"/>
        </w:rPr>
      </w:pPr>
      <w:r>
        <w:rPr>
          <w:rFonts w:eastAsia="Times New Roman" w:cs="Times New Roman" w:ascii="Times New Roman" w:hAnsi="Times New Roman"/>
          <w:b/>
          <w:bCs/>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4 — DEPASSEMENT DU CONTINGENT ANNUEL D’HEURES SUPPLEMENTAIRES</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pBdr>
          <w:bottom w:val="single" w:sz="18" w:space="1" w:color="000000"/>
        </w:pBdr>
        <w:spacing w:lineRule="auto" w:line="360" w:before="0" w:after="0"/>
        <w:jc w:val="both"/>
        <w:rPr>
          <w:rFonts w:ascii="Times New Roman" w:hAnsi="Times New Roman" w:eastAsia="Times New Roman" w:cs="Times New Roman"/>
          <w:b/>
          <w:bCs/>
          <w:i/>
          <w:sz w:val="30"/>
          <w:szCs w:val="30"/>
          <w:lang w:eastAsia="fr-FR"/>
        </w:rPr>
      </w:pPr>
      <w:r>
        <w:rPr>
          <w:rFonts w:eastAsia="Times New Roman" w:cs="Times New Roman" w:ascii="Times New Roman" w:hAnsi="Times New Roman"/>
          <w:b/>
          <w:bCs/>
          <w:i/>
          <w:sz w:val="30"/>
          <w:szCs w:val="30"/>
          <w:lang w:eastAsia="fr-FR"/>
        </w:rPr>
        <w:t>Article 4-1 – Conditions d’accomplissement des heures supplémentaires en dépassement du contingent annuel d’heures supplémentaires</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jc w:val="both"/>
        <w:rPr>
          <w:rFonts w:ascii="Times New Roman" w:hAnsi="Times New Roman" w:cs="Times New Roman"/>
        </w:rPr>
      </w:pPr>
      <w:r>
        <w:rPr>
          <w:rFonts w:cs="Times New Roman" w:ascii="Times New Roman" w:hAnsi="Times New Roman"/>
        </w:rPr>
        <w:t>Les salariés visés à l’article 1.2 du présent accord pourront effectuer, sur demande de la société, des heures supplémentaires au-delà du contingent d’heures supplémentaires applicable dans l’entreprise.</w:t>
      </w:r>
    </w:p>
    <w:p>
      <w:pPr>
        <w:pStyle w:val="Normal"/>
        <w:spacing w:lineRule="auto" w:line="360"/>
        <w:jc w:val="both"/>
        <w:rPr>
          <w:rFonts w:ascii="Times New Roman" w:hAnsi="Times New Roman" w:cs="Times New Roman"/>
        </w:rPr>
      </w:pPr>
      <w:r>
        <w:rPr>
          <w:rFonts w:cs="Times New Roman" w:ascii="Times New Roman" w:hAnsi="Times New Roman"/>
        </w:rPr>
        <w:t>La réalisation de ces heures supplémentaires en dépassement du contingent fixé par l’article 3.1 du présent accord ne pourra se faire que sur accord exprès du salarié concerné.</w:t>
      </w:r>
    </w:p>
    <w:p>
      <w:pPr>
        <w:pStyle w:val="Normal"/>
        <w:spacing w:lineRule="auto" w:line="360"/>
        <w:jc w:val="both"/>
        <w:rPr>
          <w:rFonts w:ascii="Times New Roman" w:hAnsi="Times New Roman" w:cs="Times New Roman"/>
        </w:rPr>
      </w:pPr>
      <w:r>
        <w:rPr>
          <w:rFonts w:cs="Times New Roman" w:ascii="Times New Roman" w:hAnsi="Times New Roman"/>
        </w:rPr>
        <w:t>Toute demande de dépassement du contingent d’heures supplémentaires à un salarié devra être faite par la direction par écrit et consigner l’acceptation ou non du salarié.</w:t>
      </w:r>
    </w:p>
    <w:p>
      <w:pPr>
        <w:pStyle w:val="Normal"/>
        <w:spacing w:lineRule="auto" w:line="360"/>
        <w:jc w:val="both"/>
        <w:rPr>
          <w:rFonts w:ascii="Times New Roman" w:hAnsi="Times New Roman" w:cs="Times New Roman"/>
        </w:rPr>
      </w:pPr>
      <w:r>
        <w:rPr>
          <w:rFonts w:cs="Times New Roman" w:ascii="Times New Roman" w:hAnsi="Times New Roman"/>
        </w:rPr>
        <w:t>La demande devra comporter le volume d’heures supplémentaires en dépassement du contingent ainsi que le planning prévisionnel de réalisation de ces heures supplémentaires.</w:t>
      </w:r>
    </w:p>
    <w:p>
      <w:pPr>
        <w:pStyle w:val="Normal"/>
        <w:spacing w:lineRule="auto" w:line="360"/>
        <w:jc w:val="both"/>
        <w:rPr>
          <w:rFonts w:ascii="Times New Roman" w:hAnsi="Times New Roman" w:cs="Times New Roman"/>
        </w:rPr>
      </w:pPr>
      <w:r>
        <w:rPr>
          <w:rFonts w:cs="Times New Roman" w:ascii="Times New Roman" w:hAnsi="Times New Roman"/>
        </w:rPr>
        <w:t>Il est expressément convenu que ne constitue pas une faute ou un motif de licenciement :</w:t>
      </w:r>
    </w:p>
    <w:p>
      <w:pPr>
        <w:pStyle w:val="Normal"/>
        <w:numPr>
          <w:ilvl w:val="0"/>
          <w:numId w:val="3"/>
        </w:numPr>
        <w:spacing w:lineRule="auto" w:line="360" w:before="0" w:after="0"/>
        <w:jc w:val="both"/>
        <w:rPr>
          <w:rFonts w:ascii="Times New Roman" w:hAnsi="Times New Roman" w:cs="Times New Roman"/>
        </w:rPr>
      </w:pPr>
      <w:r>
        <w:rPr>
          <w:rFonts w:cs="Times New Roman" w:ascii="Times New Roman" w:hAnsi="Times New Roman"/>
        </w:rPr>
        <w:t xml:space="preserve">Le refus d’un salarié d’accomplir des heures supplémentaires au-delà du contingent, </w:t>
      </w:r>
    </w:p>
    <w:p>
      <w:pPr>
        <w:pStyle w:val="Normal"/>
        <w:numPr>
          <w:ilvl w:val="0"/>
          <w:numId w:val="3"/>
        </w:numPr>
        <w:spacing w:lineRule="auto" w:line="360" w:before="0" w:after="0"/>
        <w:jc w:val="both"/>
        <w:rPr>
          <w:rFonts w:ascii="Times New Roman" w:hAnsi="Times New Roman" w:cs="Times New Roman"/>
        </w:rPr>
      </w:pPr>
      <w:r>
        <w:rPr>
          <w:rFonts w:cs="Times New Roman" w:ascii="Times New Roman" w:hAnsi="Times New Roman"/>
        </w:rPr>
        <w:t>Le refus d’accepter une modification du planning prévisionnel initialement fixé pour la réalisation des heures supplémentaires en dépassement du contingent.</w:t>
      </w:r>
    </w:p>
    <w:p>
      <w:pPr>
        <w:pStyle w:val="Normal"/>
        <w:spacing w:lineRule="auto" w:line="360"/>
        <w:jc w:val="both"/>
        <w:rPr>
          <w:rFonts w:ascii="Tahoma" w:hAnsi="Tahoma" w:cs="Tahoma"/>
          <w:sz w:val="24"/>
          <w:szCs w:val="24"/>
        </w:rPr>
      </w:pPr>
      <w:r>
        <w:rPr>
          <w:rFonts w:cs="Tahoma" w:ascii="Tahoma" w:hAnsi="Tahoma"/>
          <w:sz w:val="24"/>
          <w:szCs w:val="24"/>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pBdr>
          <w:bottom w:val="single" w:sz="18" w:space="1" w:color="000000"/>
        </w:pBdr>
        <w:spacing w:lineRule="auto" w:line="360" w:before="0" w:after="0"/>
        <w:jc w:val="both"/>
        <w:rPr>
          <w:rFonts w:ascii="Times New Roman" w:hAnsi="Times New Roman" w:eastAsia="Times New Roman" w:cs="Times New Roman"/>
          <w:b/>
          <w:bCs/>
          <w:i/>
          <w:sz w:val="30"/>
          <w:szCs w:val="30"/>
          <w:lang w:eastAsia="fr-FR"/>
        </w:rPr>
      </w:pPr>
      <w:r>
        <w:rPr>
          <w:rFonts w:eastAsia="Times New Roman" w:cs="Times New Roman" w:ascii="Times New Roman" w:hAnsi="Times New Roman"/>
          <w:b/>
          <w:bCs/>
          <w:i/>
          <w:sz w:val="30"/>
          <w:szCs w:val="30"/>
          <w:lang w:eastAsia="fr-FR"/>
        </w:rPr>
        <w:t>Article 4-2 – Contrepartie obligatoire en repos</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jc w:val="both"/>
        <w:rPr>
          <w:rFonts w:ascii="Times New Roman" w:hAnsi="Times New Roman" w:cs="Times New Roman"/>
        </w:rPr>
      </w:pPr>
      <w:r>
        <w:rPr>
          <w:rFonts w:cs="Times New Roman" w:ascii="Times New Roman" w:hAnsi="Times New Roman"/>
        </w:rPr>
        <w:t>Chaque heure supplémentaire réalisée en dépassement du contingent d’entreprise génère, outre la majoration légale, une contrepartie en repos, conformément aux dispositions de l’article L 3121-33 égale à 100% du temps de travail effectué.</w:t>
      </w:r>
    </w:p>
    <w:p>
      <w:pPr>
        <w:pStyle w:val="Normal"/>
        <w:spacing w:lineRule="auto" w:line="360"/>
        <w:jc w:val="both"/>
        <w:rPr>
          <w:rFonts w:ascii="Times New Roman" w:hAnsi="Times New Roman" w:cs="Times New Roman"/>
        </w:rPr>
      </w:pPr>
      <w:r>
        <w:rPr>
          <w:rFonts w:cs="Times New Roman" w:ascii="Times New Roman" w:hAnsi="Times New Roman"/>
        </w:rPr>
        <w:t xml:space="preserve">Cette contrepartie en repos ne peut être prise que par journée entière ou par demi-journée, dans le délai maximum de 6 mois suivant l’ouverture du droit. </w:t>
      </w:r>
    </w:p>
    <w:p>
      <w:pPr>
        <w:pStyle w:val="Normal"/>
        <w:spacing w:lineRule="auto" w:line="360"/>
        <w:jc w:val="both"/>
        <w:rPr>
          <w:rFonts w:ascii="Times New Roman" w:hAnsi="Times New Roman" w:cs="Times New Roman"/>
        </w:rPr>
      </w:pPr>
      <w:r>
        <w:rPr>
          <w:rFonts w:cs="Times New Roman" w:ascii="Times New Roman" w:hAnsi="Times New Roman"/>
        </w:rPr>
        <w:t xml:space="preserve">Ce temps de repos, qui n’est pas considéré comme du temps de travail effectif, est rémunéré sur la base du salaire qu’aurait perçu l’intéressé s’il avait travaillé ce jour- là. </w:t>
      </w:r>
    </w:p>
    <w:p>
      <w:pPr>
        <w:pStyle w:val="Normal"/>
        <w:spacing w:lineRule="auto" w:line="360"/>
        <w:jc w:val="both"/>
        <w:rPr>
          <w:rFonts w:ascii="Times New Roman" w:hAnsi="Times New Roman" w:cs="Times New Roman"/>
        </w:rPr>
      </w:pPr>
      <w:r>
        <w:rPr>
          <w:rFonts w:cs="Times New Roman" w:ascii="Times New Roman" w:hAnsi="Times New Roman"/>
        </w:rPr>
        <w:t>Les dates de prises des repos compensateurs sont fixées en accord entre le salarié concerné et son responsable hiérarchique, de préférence dans une période de faible activité, étant entendu que les salariés doivent en faire la demande au moins 1 mois</w:t>
      </w:r>
      <w:r>
        <w:rPr>
          <w:rFonts w:cs="Times New Roman" w:ascii="Times New Roman" w:hAnsi="Times New Roman"/>
          <w:color w:val="FF0000"/>
        </w:rPr>
        <w:t xml:space="preserve"> </w:t>
      </w:r>
      <w:r>
        <w:rPr>
          <w:rFonts w:cs="Times New Roman" w:ascii="Times New Roman" w:hAnsi="Times New Roman"/>
        </w:rPr>
        <w:t>avant la date souhaitée.</w:t>
      </w:r>
    </w:p>
    <w:p>
      <w:pPr>
        <w:pStyle w:val="Normal"/>
        <w:spacing w:lineRule="auto" w:line="360" w:before="0" w:after="0"/>
        <w:jc w:val="both"/>
        <w:rPr>
          <w:rFonts w:ascii="Times New Roman" w:hAnsi="Times New Roman" w:cs="Times New Roman"/>
        </w:rPr>
      </w:pPr>
      <w:r>
        <w:rPr>
          <w:rFonts w:cs="Times New Roman" w:ascii="Times New Roman" w:hAnsi="Times New Roman"/>
        </w:rPr>
        <w:t>Elles ne pourront être accolées à une période de congés payés ou de jour de compensation de quelque nature que ce soit, ni être comprises dans la période du 1</w:t>
      </w:r>
      <w:r>
        <w:rPr>
          <w:rFonts w:cs="Times New Roman" w:ascii="Times New Roman" w:hAnsi="Times New Roman"/>
          <w:vertAlign w:val="superscript"/>
        </w:rPr>
        <w:t>er</w:t>
      </w:r>
      <w:r>
        <w:rPr>
          <w:rFonts w:cs="Times New Roman" w:ascii="Times New Roman" w:hAnsi="Times New Roman"/>
        </w:rPr>
        <w:t xml:space="preserve"> juillet au 31 août sauf accord avec l’employeur.</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jc w:val="both"/>
        <w:rPr>
          <w:rFonts w:ascii="Times New Roman" w:hAnsi="Times New Roman" w:cs="Times New Roman"/>
        </w:rPr>
      </w:pPr>
      <w:r>
        <w:rPr>
          <w:rFonts w:cs="Times New Roman" w:ascii="Times New Roman" w:hAnsi="Times New Roman"/>
        </w:rPr>
        <w:t>L’absence de demande de prise de repos par le salarié, dans le délai de 6 mois ne peut entraîner la perte du droit. Dans ce cas, l’établissement est tenu de demander au salarié de prendre effectivement le repos dans un délai maximum d’un an, à compter de la date d’ouverture du droit.</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pBdr>
          <w:bottom w:val="single" w:sz="18" w:space="1" w:color="000000"/>
        </w:pBdr>
        <w:spacing w:lineRule="auto" w:line="360" w:before="0" w:after="0"/>
        <w:jc w:val="both"/>
        <w:rPr>
          <w:rFonts w:ascii="Times New Roman" w:hAnsi="Times New Roman" w:eastAsia="Times New Roman" w:cs="Times New Roman"/>
          <w:b/>
          <w:bCs/>
          <w:i/>
          <w:sz w:val="30"/>
          <w:szCs w:val="30"/>
          <w:lang w:eastAsia="fr-FR"/>
        </w:rPr>
      </w:pPr>
      <w:r>
        <w:rPr>
          <w:rFonts w:eastAsia="Times New Roman" w:cs="Times New Roman" w:ascii="Times New Roman" w:hAnsi="Times New Roman"/>
          <w:b/>
          <w:bCs/>
          <w:i/>
          <w:sz w:val="30"/>
          <w:szCs w:val="30"/>
          <w:lang w:eastAsia="fr-FR"/>
        </w:rPr>
        <w:t>Article 4-3 – Consultation du Comité social et économique</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sz w:val="20"/>
          <w:szCs w:val="20"/>
          <w:lang w:eastAsia="fr-FR"/>
        </w:rPr>
      </w:pPr>
      <w:r>
        <w:rPr>
          <w:rFonts w:eastAsia="Times New Roman" w:cs="Times New Roman" w:ascii="Times New Roman" w:hAnsi="Times New Roman"/>
          <w:bCs/>
          <w:sz w:val="20"/>
          <w:szCs w:val="20"/>
          <w:lang w:eastAsia="fr-FR"/>
        </w:rPr>
      </w:r>
    </w:p>
    <w:p>
      <w:pPr>
        <w:pStyle w:val="Normal"/>
        <w:spacing w:lineRule="auto" w:line="360"/>
        <w:jc w:val="both"/>
        <w:rPr>
          <w:rFonts w:ascii="Times New Roman" w:hAnsi="Times New Roman" w:cs="Times New Roman"/>
        </w:rPr>
      </w:pPr>
      <w:r>
        <w:rPr>
          <w:rFonts w:cs="Times New Roman" w:ascii="Times New Roman" w:hAnsi="Times New Roman"/>
        </w:rPr>
        <w:t xml:space="preserve">Les heures supplémentaires au-delà du contingent d’entreprise sont accomplies après consultation du Comité Social et Economique. </w:t>
      </w:r>
    </w:p>
    <w:p>
      <w:pPr>
        <w:pStyle w:val="Normal"/>
        <w:spacing w:lineRule="auto" w:line="360"/>
        <w:jc w:val="both"/>
        <w:rPr>
          <w:rFonts w:ascii="Times New Roman" w:hAnsi="Times New Roman" w:cs="Times New Roman"/>
        </w:rPr>
      </w:pPr>
      <w:r>
        <w:rPr>
          <w:rFonts w:cs="Times New Roman" w:ascii="Times New Roman" w:hAnsi="Times New Roman"/>
        </w:rPr>
        <w:t>La société portera à la connaissance du Comité Social et Economique :</w:t>
      </w:r>
    </w:p>
    <w:p>
      <w:pPr>
        <w:pStyle w:val="Normal"/>
        <w:numPr>
          <w:ilvl w:val="0"/>
          <w:numId w:val="3"/>
        </w:numPr>
        <w:spacing w:lineRule="auto" w:line="360" w:before="0" w:after="0"/>
        <w:jc w:val="both"/>
        <w:rPr>
          <w:rFonts w:ascii="Times New Roman" w:hAnsi="Times New Roman" w:cs="Times New Roman"/>
        </w:rPr>
      </w:pPr>
      <w:r>
        <w:rPr>
          <w:rFonts w:cs="Times New Roman" w:ascii="Times New Roman" w:hAnsi="Times New Roman"/>
        </w:rPr>
        <w:t>Les raisons pour lesquelles le recours aux heures supplémentaires au-delà du contingent est envisagé,</w:t>
      </w:r>
    </w:p>
    <w:p>
      <w:pPr>
        <w:pStyle w:val="Normal"/>
        <w:numPr>
          <w:ilvl w:val="0"/>
          <w:numId w:val="3"/>
        </w:numPr>
        <w:spacing w:lineRule="auto" w:line="360" w:before="0" w:after="0"/>
        <w:jc w:val="both"/>
        <w:rPr>
          <w:rFonts w:ascii="Times New Roman" w:hAnsi="Times New Roman" w:cs="Times New Roman"/>
        </w:rPr>
      </w:pPr>
      <w:r>
        <w:rPr>
          <w:rFonts w:cs="Times New Roman" w:ascii="Times New Roman" w:hAnsi="Times New Roman"/>
        </w:rPr>
        <w:t>Le volume estimé des heures supplémentaires à accomplir au-delà du contingent,</w:t>
      </w:r>
    </w:p>
    <w:p>
      <w:pPr>
        <w:pStyle w:val="Normal"/>
        <w:numPr>
          <w:ilvl w:val="0"/>
          <w:numId w:val="3"/>
        </w:numPr>
        <w:spacing w:lineRule="auto" w:line="360" w:before="0" w:after="0"/>
        <w:jc w:val="both"/>
        <w:rPr>
          <w:rFonts w:ascii="Times New Roman" w:hAnsi="Times New Roman" w:cs="Times New Roman"/>
        </w:rPr>
      </w:pPr>
      <w:r>
        <w:rPr>
          <w:rFonts w:cs="Times New Roman" w:ascii="Times New Roman" w:hAnsi="Times New Roman"/>
        </w:rPr>
        <w:t>Les services ou les salariés qui seront concernés par la réalisation de ces heures.</w:t>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5 — REVISION DE L’ACCORD</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jc w:val="both"/>
        <w:rPr>
          <w:rFonts w:ascii="Times New Roman" w:hAnsi="Times New Roman" w:eastAsia="Times New Roman" w:cs="Times New Roman"/>
          <w:bCs/>
          <w:lang w:eastAsia="fr-FR"/>
        </w:rPr>
      </w:pPr>
      <w:r>
        <w:rPr>
          <w:rFonts w:eastAsia="Times New Roman" w:cs="Times New Roman" w:ascii="Times New Roman" w:hAnsi="Times New Roman"/>
          <w:bCs/>
          <w:lang w:eastAsia="fr-FR"/>
        </w:rPr>
      </w:r>
    </w:p>
    <w:p>
      <w:pPr>
        <w:pStyle w:val="Normal"/>
        <w:spacing w:lineRule="auto" w:line="360" w:before="0" w:after="0"/>
        <w:jc w:val="both"/>
        <w:rPr>
          <w:rFonts w:ascii="Times New Roman" w:hAnsi="Times New Roman" w:eastAsia="Times New Roman" w:cs="Times New Roman"/>
          <w:i/>
          <w:color w:themeColor="text1" w:val="000000"/>
        </w:rPr>
      </w:pPr>
      <w:r>
        <w:rPr>
          <w:rFonts w:eastAsia="Times New Roman" w:cs="Times New Roman" w:ascii="Times New Roman" w:hAnsi="Times New Roman"/>
          <w:color w:themeColor="text1" w:val="000000"/>
        </w:rPr>
        <w:t xml:space="preserve">L’accord conclu par des représentants élus peut être révisé </w:t>
      </w:r>
      <w:r>
        <w:rPr>
          <w:rFonts w:eastAsia="Times New Roman" w:cs="Times New Roman" w:ascii="Times New Roman" w:hAnsi="Times New Roman"/>
          <w:i/>
          <w:color w:themeColor="text1" w:val="000000"/>
        </w:rPr>
        <w:t>sur demande écrite</w:t>
      </w:r>
      <w:r>
        <w:rPr>
          <w:rFonts w:eastAsia="Times New Roman" w:cs="Times New Roman" w:ascii="Times New Roman" w:hAnsi="Times New Roman"/>
          <w:color w:themeColor="text1" w:val="000000"/>
        </w:rPr>
        <w:t xml:space="preserve"> par ces mêmes interlocuteurs </w:t>
      </w:r>
      <w:r>
        <w:rPr>
          <w:rFonts w:eastAsia="Times New Roman" w:cs="Times New Roman" w:ascii="Times New Roman" w:hAnsi="Times New Roman"/>
          <w:i/>
          <w:color w:themeColor="text1" w:val="000000"/>
        </w:rPr>
        <w:t>à tout moment, après un préavis de 3 mois de date à date .</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Les conditions de validité des avenants de révision sont identiques à celles des accords initiaux.</w:t>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6 — DENONCIATION DE L’ACCORD</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Conformément aux dispositions des articles L.2261-9 et suivants du Code du travail, les parties signataires du présent accord pourront procéder à sa dénonciation par notification aux autres signataires. La dénonciation prendra alors effet après respect d’un préavis de 3</w:t>
      </w:r>
      <w:r>
        <w:rPr>
          <w:rFonts w:eastAsia="Times New Roman" w:cs="Times New Roman" w:ascii="Times New Roman" w:hAnsi="Times New Roman"/>
          <w:color w:val="FF0000"/>
        </w:rPr>
        <w:t xml:space="preserve"> </w:t>
      </w:r>
      <w:r>
        <w:rPr>
          <w:rFonts w:eastAsia="Times New Roman" w:cs="Times New Roman" w:ascii="Times New Roman" w:hAnsi="Times New Roman"/>
        </w:rPr>
        <w:t>mois.</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L’accord continuera à produire effet à l’égard des auteurs de la dénonciation jusqu’à l’entrée en vigueur de l’accord qui lui sera substitué, ou à défaut, pendant une durée d’un an à compter de l’expiration du délai de préavis susmentionné.</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t>ARTICLE 7 — PUBLICITE ET DEPOT DE L’ACCORD</w:t>
      </w:r>
    </w:p>
    <w:p>
      <w:pPr>
        <w:pStyle w:val="Normal"/>
        <w:keepNext w:val="true"/>
        <w:numPr>
          <w:ilvl w:val="0"/>
          <w:numId w:val="0"/>
        </w:numPr>
        <w:pBdr>
          <w:top w:val="single" w:sz="18" w:space="1" w:color="000000"/>
          <w:left w:val="single" w:sz="18" w:space="4" w:color="000000"/>
          <w:bottom w:val="single" w:sz="18" w:space="1" w:color="000000"/>
          <w:right w:val="single" w:sz="18" w:space="4" w:color="000000"/>
        </w:pBdr>
        <w:spacing w:lineRule="auto" w:line="360" w:before="0" w:after="0"/>
        <w:jc w:val="center"/>
        <w:outlineLvl w:val="2"/>
        <w:rPr>
          <w:rFonts w:ascii="Times New Roman" w:hAnsi="Times New Roman" w:eastAsia="Times New Roman" w:cs="Times New Roman"/>
          <w:b/>
          <w:bCs/>
          <w:sz w:val="30"/>
          <w:szCs w:val="30"/>
          <w:lang w:eastAsia="fr-FR"/>
        </w:rPr>
      </w:pPr>
      <w:r>
        <w:rPr>
          <w:rFonts w:eastAsia="Times New Roman" w:cs="Times New Roman" w:ascii="Times New Roman" w:hAnsi="Times New Roman"/>
          <w:b/>
          <w:bCs/>
          <w:sz w:val="30"/>
          <w:szCs w:val="30"/>
          <w:lang w:eastAsia="fr-FR"/>
        </w:rPr>
      </w:r>
    </w:p>
    <w:p>
      <w:pPr>
        <w:pStyle w:val="Normal"/>
        <w:spacing w:lineRule="auto" w:line="360" w:before="0" w:after="0"/>
        <w:jc w:val="both"/>
        <w:rPr>
          <w:rFonts w:eastAsia="Times New Roman" w:cs="Times New Roman"/>
          <w:highlight w:val="red"/>
        </w:rPr>
      </w:pPr>
      <w:r>
        <w:rPr>
          <w:rFonts w:eastAsia="Times New Roman" w:cs="Times New Roman"/>
          <w:highlight w:val="red"/>
        </w:rPr>
      </w:r>
    </w:p>
    <w:p>
      <w:pPr>
        <w:pStyle w:val="Normal"/>
        <w:spacing w:lineRule="auto" w:line="360" w:before="0" w:after="0"/>
        <w:jc w:val="both"/>
        <w:rPr>
          <w:rFonts w:eastAsia="Times New Roman" w:cs="Times New Roman"/>
          <w:b/>
          <w:bCs/>
          <w:highlight w:val="red"/>
        </w:rPr>
      </w:pPr>
      <w:r>
        <w:rPr>
          <w:rFonts w:eastAsia="Times New Roman" w:cs="Times New Roman"/>
          <w:b/>
          <w:bCs/>
          <w:highlight w:val="red"/>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En application des dispositions de l’article L2231-5 du Code du travail, la partie signataire de l’accord la plus diligente notifiera le texte à l’ensemble des organisations représentatives à l’issue de la procédure de signature.</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Le représentant légal de l’entreprise déposera sur la plateforme de téléprocédure du ministère du travail les documents suivants :</w:t>
      </w:r>
    </w:p>
    <w:p>
      <w:pPr>
        <w:pStyle w:val="Normal"/>
        <w:numPr>
          <w:ilvl w:val="0"/>
          <w:numId w:val="4"/>
        </w:numPr>
        <w:spacing w:lineRule="auto" w:line="360" w:before="0" w:after="0"/>
        <w:contextualSpacing/>
        <w:jc w:val="both"/>
        <w:rPr>
          <w:rFonts w:ascii="Times New Roman" w:hAnsi="Times New Roman" w:eastAsia="Times New Roman" w:cs="Times New Roman"/>
        </w:rPr>
      </w:pPr>
      <w:r>
        <w:rPr>
          <w:rFonts w:eastAsia="Times New Roman" w:cs="Times New Roman" w:ascii="Times New Roman" w:hAnsi="Times New Roman"/>
        </w:rPr>
        <w:t>Une version signée de l’accord ;</w:t>
      </w:r>
    </w:p>
    <w:p>
      <w:pPr>
        <w:pStyle w:val="Normal"/>
        <w:numPr>
          <w:ilvl w:val="0"/>
          <w:numId w:val="4"/>
        </w:numPr>
        <w:spacing w:lineRule="auto" w:line="360" w:before="0" w:after="0"/>
        <w:contextualSpacing/>
        <w:jc w:val="both"/>
        <w:rPr>
          <w:rFonts w:ascii="Times New Roman" w:hAnsi="Times New Roman" w:eastAsia="Times New Roman" w:cs="Times New Roman"/>
        </w:rPr>
      </w:pPr>
      <w:r>
        <w:rPr>
          <w:rFonts w:eastAsia="Times New Roman" w:cs="Times New Roman" w:ascii="Times New Roman" w:hAnsi="Times New Roman"/>
        </w:rPr>
        <w:t>Une copie du document notifiant l’accord aux organisations représentatives ;</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TextBody"/>
        <w:spacing w:lineRule="auto" w:line="360"/>
        <w:rPr>
          <w:rFonts w:ascii="Times New Roman" w:hAnsi="Times New Roman" w:cs="Times New Roman"/>
          <w:sz w:val="22"/>
          <w:szCs w:val="22"/>
        </w:rPr>
      </w:pPr>
      <w:r>
        <w:rPr>
          <w:rFonts w:cs="Times New Roman" w:ascii="Times New Roman" w:hAnsi="Times New Roman"/>
          <w:sz w:val="22"/>
          <w:szCs w:val="22"/>
        </w:rPr>
        <w:t xml:space="preserve">En outre, conformément aux dispositions légales en vigueur, le présent accord sera rendu public dans son intégralité et accessible dans la base de données nationale prévue à cet effet : </w:t>
      </w:r>
      <w:hyperlink r:id="rId2">
        <w:r>
          <w:rPr>
            <w:rStyle w:val="Hyperlink"/>
            <w:rFonts w:cs="Times New Roman" w:ascii="Times New Roman" w:hAnsi="Times New Roman"/>
            <w:sz w:val="22"/>
            <w:szCs w:val="22"/>
          </w:rPr>
          <w:t>https://www.legifrance.gouv.fr/</w:t>
        </w:r>
      </w:hyperlink>
      <w:r>
        <w:rPr>
          <w:rFonts w:cs="Times New Roman" w:ascii="Times New Roman" w:hAnsi="Times New Roman"/>
          <w:sz w:val="22"/>
          <w:szCs w:val="22"/>
        </w:rPr>
        <w:t>. A cet effet, une version de l’accord déposé en format Word dans laquelle toute mention de noms, prénoms de personnes physiques y compris les paraphes et les signatures sont supprimées.</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Celui-ci remettra également un exemplaire de l’accord au greffe du conseil de prud’hommes de LIBOURNE.</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t>Fait à FRONSAC, en 02 exemplaires originaux, le 10.12.2025</w:t>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jc w:val="both"/>
        <w:rPr>
          <w:rFonts w:ascii="Times New Roman" w:hAnsi="Times New Roman" w:eastAsia="Times New Roman" w:cs="Times New Roman"/>
        </w:rPr>
      </w:pPr>
      <w:r>
        <w:rPr>
          <w:rFonts w:eastAsia="Times New Roman" w:cs="Times New Roman" w:ascii="Times New Roman" w:hAnsi="Times New Roman"/>
        </w:rPr>
      </w:r>
    </w:p>
    <w:p>
      <w:pPr>
        <w:pStyle w:val="Normal"/>
        <w:spacing w:lineRule="auto" w:line="360" w:before="0" w:after="0"/>
        <w:rPr>
          <w:rFonts w:ascii="Times New Roman" w:hAnsi="Times New Roman" w:eastAsia="Times New Roman" w:cs="Times New Roman"/>
          <w:b/>
          <w:sz w:val="36"/>
          <w:szCs w:val="36"/>
          <w:lang w:eastAsia="fr-FR"/>
        </w:rPr>
      </w:pPr>
      <w:r>
        <w:rPr>
          <w:rFonts w:eastAsia="Times New Roman" w:cs="Times New Roman" w:ascii="Times New Roman" w:hAnsi="Times New Roman"/>
          <w:b/>
          <w:sz w:val="36"/>
          <w:szCs w:val="36"/>
          <w:lang w:eastAsia="fr-FR"/>
        </w:rPr>
        <w:t>Pour la Société Résidence du Tertre</w:t>
        <w:tab/>
        <w:tab/>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t xml:space="preserve">La Directrice </w:t>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bCs/>
        </w:rPr>
      </w:pPr>
      <w:r>
        <w:rPr>
          <w:rFonts w:eastAsia="Times New Roman" w:cs="Times New Roman" w:ascii="Times New Roman" w:hAnsi="Times New Roman"/>
          <w:b/>
          <w:bCs/>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spacing w:lineRule="auto" w:line="360" w:before="0" w:after="0"/>
        <w:rPr>
          <w:rFonts w:ascii="Times New Roman" w:hAnsi="Times New Roman" w:eastAsia="Times New Roman" w:cs="Times New Roman"/>
          <w:b/>
          <w:lang w:eastAsia="fr-FR"/>
        </w:rPr>
      </w:pPr>
      <w:r>
        <w:rPr>
          <w:rFonts w:eastAsia="Times New Roman" w:cs="Times New Roman" w:ascii="Times New Roman" w:hAnsi="Times New Roman"/>
          <w:b/>
          <w:lang w:eastAsia="fr-FR"/>
        </w:rPr>
      </w:r>
    </w:p>
    <w:p>
      <w:pPr>
        <w:pStyle w:val="Normal"/>
        <w:widowControl/>
        <w:bidi w:val="0"/>
        <w:spacing w:lineRule="auto" w:line="259" w:before="0" w:after="160"/>
        <w:jc w:val="start"/>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1"/>
    <w:family w:val="auto"/>
    <w:pitch w:val="default"/>
  </w:font>
  <w:font w:name="Calibri Light">
    <w:charset w:val="01"/>
    <w:family w:val="auto"/>
    <w:pitch w:val="default"/>
  </w:font>
  <w:font w:name="Tahoma">
    <w:charset w:val="01"/>
    <w:family w:val="swiss"/>
    <w:pitch w:val="default"/>
  </w:font>
  <w:font w:name="Marianne">
    <w:charset w:val="01"/>
    <w:family w:val="auto"/>
    <w:pitch w:val="default"/>
  </w:font>
  <w:font w:name="Verdana">
    <w:charset w:val="01"/>
    <w:family w:val="swiss"/>
    <w:pitch w:val="default"/>
  </w:font>
  <w:font w:name="Comic Sans MS">
    <w:charset w:val="01"/>
    <w:family w:val="auto"/>
    <w:pitch w:val="default"/>
  </w:font>
  <w:font w:name="Times New Roman">
    <w:charset w:val="01"/>
    <w:family w:val="roman"/>
    <w:pitch w:val="default"/>
  </w:font>
  <w:font w:name="Verdana">
    <w:charset w:val="01"/>
    <w:family w:val="swiss"/>
    <w:pitch w:val="variable"/>
  </w:font>
  <w:font w:name="Courier New">
    <w:charset w:val="01"/>
    <w:family w:val="modern"/>
    <w:pitch w:val="fixed"/>
  </w:font>
  <w:font w:name="Wingdings">
    <w:charset w:val="02"/>
    <w:family w:val="auto"/>
    <w:pitch w:val="variable"/>
  </w:font>
  <w:font w:name="Times New Roman">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07698628"/>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307698628"/>
    </w:sdtPr>
    <w:sdtContent>
      <w:p>
        <w:pPr>
          <w:pStyle w:val="Footer"/>
          <w:jc w:val="cen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2865" w:leader="none"/>
      </w:tabs>
      <w:jc w:val="center"/>
      <w:rPr/>
    </w:pPr>
    <w:r>
      <w:rPr/>
      <w:drawing>
        <wp:inline distT="0" distB="0" distL="0" distR="0">
          <wp:extent cx="2384425" cy="10795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
                  <a:stretch>
                    <a:fillRect/>
                  </a:stretch>
                </pic:blipFill>
                <pic:spPr bwMode="auto">
                  <a:xfrm>
                    <a:off x="0" y="0"/>
                    <a:ext cx="2384425" cy="10795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2865" w:leader="none"/>
      </w:tabs>
      <w:jc w:val="center"/>
      <w:rPr/>
    </w:pPr>
    <w:r>
      <w:rPr/>
      <w:drawing>
        <wp:inline distT="0" distB="0" distL="0" distR="0">
          <wp:extent cx="2384425" cy="1079500"/>
          <wp:effectExtent l="0" t="0" r="0"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1"/>
                  <a:stretch>
                    <a:fillRect/>
                  </a:stretch>
                </pic:blipFill>
                <pic:spPr bwMode="auto">
                  <a:xfrm>
                    <a:off x="0" y="0"/>
                    <a:ext cx="2384425" cy="10795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3"/>
      <w:numFmt w:val="bullet"/>
      <w:lvlText w:val="-"/>
      <w:lvlJc w:val="start"/>
      <w:pPr>
        <w:tabs>
          <w:tab w:val="num" w:pos="0"/>
        </w:tabs>
        <w:ind w:start="720" w:hanging="360"/>
      </w:pPr>
      <w:rPr>
        <w:rFonts w:ascii="Verdana" w:hAnsi="Verdana" w:cs="Verdana"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720"/>
        </w:tabs>
        <w:ind w:start="720" w:hanging="360"/>
      </w:pPr>
      <w:rPr>
        <w:rFonts w:ascii="Times New Roman" w:hAnsi="Times New Roman" w:cs="Times New Roman"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4">
    <w:lvl w:ilvl="0">
      <w:start w:val="8"/>
      <w:numFmt w:val="bullet"/>
      <w:lvlText w:val="-"/>
      <w:lvlJc w:val="start"/>
      <w:pPr>
        <w:tabs>
          <w:tab w:val="num" w:pos="0"/>
        </w:tabs>
        <w:ind w:start="720" w:hanging="360"/>
      </w:pPr>
      <w:rPr>
        <w:rFonts w:ascii="Arial" w:hAnsi="Arial" w:cs="Aria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revisionView w:insDel="0" w:formatting="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fr-FR"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bf3795"/>
    <w:pPr>
      <w:widowControl/>
      <w:bidi w:val="0"/>
      <w:spacing w:lineRule="auto" w:line="259" w:before="0" w:after="160"/>
      <w:jc w:val="start"/>
    </w:pPr>
    <w:rPr>
      <w:rFonts w:eastAsia="MS Mincho" w:ascii="Calibri" w:hAnsi="Calibri" w:cs="" w:asciiTheme="minorHAnsi" w:cstheme="minorBidi" w:hAnsiTheme="minorHAnsi"/>
      <w:color w:val="auto"/>
      <w:kern w:val="0"/>
      <w:sz w:val="22"/>
      <w:szCs w:val="22"/>
      <w:lang w:val="fr-FR" w:eastAsia="en-US" w:bidi="ar-SA"/>
    </w:rPr>
  </w:style>
  <w:style w:type="paragraph" w:styleId="Heading2">
    <w:name w:val="heading 2"/>
    <w:basedOn w:val="Normal"/>
    <w:next w:val="Normal"/>
    <w:link w:val="Titre2Car"/>
    <w:uiPriority w:val="9"/>
    <w:unhideWhenUsed/>
    <w:qFormat/>
    <w:rsid w:val="00bf3795"/>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character" w:styleId="DefaultParagraphFont" w:default="1">
    <w:name w:val="Default Paragraph Font"/>
    <w:uiPriority w:val="1"/>
    <w:semiHidden/>
    <w:unhideWhenUsed/>
    <w:qFormat/>
    <w:rPr/>
  </w:style>
  <w:style w:type="character" w:styleId="Titre2Car" w:customStyle="1">
    <w:name w:val="Titre 2 Car"/>
    <w:basedOn w:val="DefaultParagraphFont"/>
    <w:uiPriority w:val="9"/>
    <w:qFormat/>
    <w:rsid w:val="00bf3795"/>
    <w:rPr>
      <w:rFonts w:ascii="Calibri Light" w:hAnsi="Calibri Light" w:eastAsia="" w:cs="" w:asciiTheme="majorHAnsi" w:cstheme="majorBidi" w:eastAsiaTheme="majorEastAsia" w:hAnsiTheme="majorHAnsi"/>
      <w:color w:themeColor="accent1" w:themeShade="bf" w:val="2F5496"/>
      <w:sz w:val="26"/>
      <w:szCs w:val="26"/>
    </w:rPr>
  </w:style>
  <w:style w:type="character" w:styleId="En-tteCar" w:customStyle="1">
    <w:name w:val="En-tête Car"/>
    <w:basedOn w:val="DefaultParagraphFont"/>
    <w:uiPriority w:val="99"/>
    <w:qFormat/>
    <w:rsid w:val="00bf3795"/>
    <w:rPr>
      <w:rFonts w:eastAsia="MS Mincho"/>
    </w:rPr>
  </w:style>
  <w:style w:type="character" w:styleId="PieddepageCar" w:customStyle="1">
    <w:name w:val="Pied de page Car"/>
    <w:basedOn w:val="DefaultParagraphFont"/>
    <w:uiPriority w:val="99"/>
    <w:qFormat/>
    <w:rsid w:val="00bf3795"/>
    <w:rPr>
      <w:rFonts w:eastAsia="MS Mincho"/>
    </w:rPr>
  </w:style>
  <w:style w:type="character" w:styleId="CommentReference">
    <w:name w:val="annotation reference"/>
    <w:basedOn w:val="DefaultParagraphFont"/>
    <w:uiPriority w:val="99"/>
    <w:semiHidden/>
    <w:unhideWhenUsed/>
    <w:qFormat/>
    <w:rsid w:val="00bf3795"/>
    <w:rPr>
      <w:sz w:val="16"/>
      <w:szCs w:val="16"/>
    </w:rPr>
  </w:style>
  <w:style w:type="character" w:styleId="CommentaireCar" w:customStyle="1">
    <w:name w:val="Commentaire Car"/>
    <w:basedOn w:val="DefaultParagraphFont"/>
    <w:uiPriority w:val="99"/>
    <w:semiHidden/>
    <w:qFormat/>
    <w:rsid w:val="00bf3795"/>
    <w:rPr>
      <w:rFonts w:eastAsia="MS Mincho"/>
      <w:sz w:val="20"/>
      <w:szCs w:val="20"/>
    </w:rPr>
  </w:style>
  <w:style w:type="character" w:styleId="ObjetducommentaireCar" w:customStyle="1">
    <w:name w:val="Objet du commentaire Car"/>
    <w:basedOn w:val="CommentaireCar"/>
    <w:link w:val="annotationsubject"/>
    <w:uiPriority w:val="99"/>
    <w:semiHidden/>
    <w:qFormat/>
    <w:rsid w:val="00b467d9"/>
    <w:rPr>
      <w:rFonts w:eastAsia="MS Mincho"/>
      <w:b/>
      <w:bCs/>
      <w:sz w:val="20"/>
      <w:szCs w:val="20"/>
    </w:rPr>
  </w:style>
  <w:style w:type="character" w:styleId="InternetLink" w:customStyle="1">
    <w:name w:val="Internet Link"/>
    <w:qFormat/>
    <w:rsid w:val="00ff5aa0"/>
    <w:rPr>
      <w:color w:val="0563C1"/>
      <w:u w:val="single"/>
    </w:rPr>
  </w:style>
  <w:style w:type="character" w:styleId="TextedebullesCar" w:customStyle="1">
    <w:name w:val="Texte de bulles Car"/>
    <w:basedOn w:val="DefaultParagraphFont"/>
    <w:link w:val="BalloonText"/>
    <w:uiPriority w:val="99"/>
    <w:semiHidden/>
    <w:qFormat/>
    <w:rsid w:val="00556d30"/>
    <w:rPr>
      <w:rFonts w:ascii="Tahoma" w:hAnsi="Tahoma" w:eastAsia="MS Mincho" w:cs="Tahoma"/>
      <w:sz w:val="16"/>
      <w:szCs w:val="16"/>
    </w:rPr>
  </w:style>
  <w:style w:type="character" w:styleId="Hyperlink">
    <w:name w:val="Hyperlink"/>
    <w:rPr>
      <w:color w:val="000080"/>
      <w:u w:val="single"/>
    </w:rPr>
  </w:style>
  <w:style w:type="paragraph" w:styleId="Titre">
    <w:name w:val="Titre"/>
    <w:basedOn w:val="Normal"/>
    <w:next w:val="BodyText"/>
    <w:qFormat/>
    <w:pPr>
      <w:keepNext w:val="true"/>
      <w:spacing w:before="240" w:after="120"/>
    </w:pPr>
    <w:rPr>
      <w:rFonts w:ascii="Marianne" w:hAnsi="Marianne"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Marianne" w:hAnsi="Marianne" w:cs="Lucida Sans"/>
    </w:rPr>
  </w:style>
  <w:style w:type="paragraph" w:styleId="Caption">
    <w:name w:val="caption"/>
    <w:basedOn w:val="Normal"/>
    <w:qFormat/>
    <w:pPr>
      <w:suppressLineNumbers/>
      <w:spacing w:before="120" w:after="120"/>
    </w:pPr>
    <w:rPr>
      <w:rFonts w:ascii="Marianne" w:hAnsi="Marianne" w:cs="Lucida Sans"/>
      <w:i/>
      <w:iCs/>
      <w:sz w:val="24"/>
      <w:szCs w:val="24"/>
    </w:rPr>
  </w:style>
  <w:style w:type="paragraph" w:styleId="Index">
    <w:name w:val="Index"/>
    <w:basedOn w:val="Normal"/>
    <w:qFormat/>
    <w:pPr>
      <w:suppressLineNumbers/>
    </w:pPr>
    <w:rPr>
      <w:rFonts w:ascii="Marianne" w:hAnsi="Marianne" w:cs="Lucida Sans"/>
    </w:rPr>
  </w:style>
  <w:style w:type="paragraph" w:styleId="ListParagraph">
    <w:name w:val="List Paragraph"/>
    <w:basedOn w:val="Normal"/>
    <w:uiPriority w:val="34"/>
    <w:qFormat/>
    <w:rsid w:val="00bf3795"/>
    <w:pPr>
      <w:spacing w:before="0" w:after="160"/>
      <w:ind w:start="720"/>
      <w:contextualSpacing/>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bf3795"/>
    <w:pPr>
      <w:tabs>
        <w:tab w:val="clear" w:pos="708"/>
        <w:tab w:val="center" w:pos="4536" w:leader="none"/>
        <w:tab w:val="right" w:pos="9072" w:leader="none"/>
      </w:tabs>
      <w:spacing w:lineRule="auto" w:line="240" w:before="0" w:after="0"/>
    </w:pPr>
    <w:rPr/>
  </w:style>
  <w:style w:type="paragraph" w:styleId="Footer">
    <w:name w:val="footer"/>
    <w:basedOn w:val="Normal"/>
    <w:link w:val="PieddepageCar"/>
    <w:uiPriority w:val="99"/>
    <w:unhideWhenUsed/>
    <w:rsid w:val="00bf3795"/>
    <w:pPr>
      <w:tabs>
        <w:tab w:val="clear" w:pos="708"/>
        <w:tab w:val="center" w:pos="4536" w:leader="none"/>
        <w:tab w:val="right" w:pos="9072" w:leader="none"/>
      </w:tabs>
      <w:spacing w:lineRule="auto" w:line="240" w:before="0" w:after="0"/>
    </w:pPr>
    <w:rPr/>
  </w:style>
  <w:style w:type="paragraph" w:styleId="CommentText">
    <w:name w:val="annotation text"/>
    <w:basedOn w:val="Normal"/>
    <w:link w:val="CommentaireCar"/>
    <w:uiPriority w:val="99"/>
    <w:semiHidden/>
    <w:unhideWhenUsed/>
    <w:rsid w:val="00bf3795"/>
    <w:pPr>
      <w:spacing w:lineRule="auto" w:line="240"/>
    </w:pPr>
    <w:rPr>
      <w:sz w:val="20"/>
      <w:szCs w:val="20"/>
    </w:rPr>
  </w:style>
  <w:style w:type="paragraph" w:styleId="RATitrePolyActe" w:customStyle="1">
    <w:name w:val="RA_Titre_PolyActe"/>
    <w:basedOn w:val="Normal"/>
    <w:qFormat/>
    <w:rsid w:val="00bf3795"/>
    <w:pPr>
      <w:spacing w:lineRule="auto" w:line="240" w:before="0" w:after="0"/>
      <w:jc w:val="center"/>
    </w:pPr>
    <w:rPr>
      <w:rFonts w:ascii="Verdana" w:hAnsi="Verdana" w:eastAsia="Times New Roman" w:cs="Times New Roman"/>
      <w:b/>
      <w:caps/>
      <w:sz w:val="28"/>
      <w:szCs w:val="20"/>
      <w:lang w:eastAsia="fr-FR"/>
    </w:rPr>
  </w:style>
  <w:style w:type="paragraph" w:styleId="annotationsubject">
    <w:name w:val="annotation subject"/>
    <w:basedOn w:val="CommentText"/>
    <w:next w:val="CommentText"/>
    <w:link w:val="ObjetducommentaireCar"/>
    <w:uiPriority w:val="99"/>
    <w:semiHidden/>
    <w:unhideWhenUsed/>
    <w:qFormat/>
    <w:rsid w:val="00b467d9"/>
    <w:pPr/>
    <w:rPr>
      <w:b/>
      <w:bCs/>
    </w:rPr>
  </w:style>
  <w:style w:type="paragraph" w:styleId="TextBody" w:customStyle="1">
    <w:name w:val="Text Body"/>
    <w:basedOn w:val="Normal"/>
    <w:qFormat/>
    <w:rsid w:val="00ff5aa0"/>
    <w:pPr>
      <w:spacing w:lineRule="auto" w:line="240" w:before="0" w:after="0"/>
      <w:jc w:val="both"/>
    </w:pPr>
    <w:rPr>
      <w:rFonts w:ascii="Comic Sans MS" w:hAnsi="Comic Sans MS" w:eastAsia="Times New Roman" w:cs="Comic Sans MS"/>
      <w:sz w:val="20"/>
      <w:szCs w:val="20"/>
      <w:lang w:eastAsia="zh-CN"/>
    </w:rPr>
  </w:style>
  <w:style w:type="paragraph" w:styleId="BalloonText">
    <w:name w:val="Balloon Text"/>
    <w:basedOn w:val="Normal"/>
    <w:link w:val="TextedebullesCar"/>
    <w:uiPriority w:val="99"/>
    <w:semiHidden/>
    <w:unhideWhenUsed/>
    <w:qFormat/>
    <w:rsid w:val="00556d30"/>
    <w:pPr>
      <w:spacing w:lineRule="auto" w:line="240" w:before="0" w:after="0"/>
    </w:pPr>
    <w:rPr>
      <w:rFonts w:ascii="Tahoma" w:hAnsi="Tahoma" w:cs="Tahoma"/>
      <w:sz w:val="16"/>
      <w:szCs w:val="16"/>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egifrance.gouv.fr/"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LibreOffice/25.8.4.2$Windows_X86_64 LibreOffice_project/290daaa01b999472f0c7a3890eb6a550fd74c6df</Application>
  <AppVersion>15.0000</AppVersion>
  <Pages>10</Pages>
  <Words>1928</Words>
  <Characters>10559</Characters>
  <CharactersWithSpaces>12478</CharactersWithSpaces>
  <Paragraphs>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
  <dc:language>fr-FR</dc:language>
  <dc:subject/>
  <dc:title/>
</cp:coreProperties>
</file>

<file path=docProps/custom.xml><?xml version="1.0" encoding="utf-8"?>
<Properties xmlns="http://schemas.openxmlformats.org/officeDocument/2006/custom-properties" xmlns:vt="http://schemas.openxmlformats.org/officeDocument/2006/docPropsVTypes"/>
</file>