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Heading"/>
        <w:rPr>
          <w:sz w:val="36"/>
          <w:szCs w:val="36"/>
          <w:u w:val="single"/>
        </w:rPr>
      </w:pPr>
      <w:r>
        <w:rPr>
          <w:sz w:val="36"/>
          <w:szCs w:val="36"/>
          <w:u w:val="single"/>
        </w:rPr>
        <w:t>ACCORD D’ENTREPRISE</w:t>
      </w:r>
    </w:p>
    <w:p>
      <w:pPr>
        <w:pStyle w:val="Subtitle"/>
        <w:rPr>
          <w:sz w:val="36"/>
          <w:szCs w:val="36"/>
          <w:u w:val="single"/>
        </w:rPr>
      </w:pPr>
      <w:r>
        <w:rPr>
          <w:sz w:val="36"/>
          <w:szCs w:val="36"/>
          <w:u w:val="single"/>
        </w:rPr>
      </w:r>
    </w:p>
    <w:p>
      <w:pPr>
        <w:pStyle w:val="Heading"/>
        <w:rPr>
          <w:rFonts w:ascii="Calibri" w:hAnsi="Calibri" w:cs="Calibri"/>
          <w:i/>
          <w:i/>
        </w:rPr>
      </w:pPr>
      <w:r>
        <w:rPr>
          <w:rFonts w:cs="Calibri" w:ascii="Calibri" w:hAnsi="Calibri"/>
          <w:i/>
          <w:sz w:val="28"/>
        </w:rPr>
        <w:t>RELATIF AU REMPLACEMENT PARTIEL DU PAIEMENT DES HEURES SUPPLEMENTAIRES PAR DU REPOS COMPENSATEUR DE REMPLACEMENT AU SEIN DE LA SOCIETE TRANSPORTS GELIN</w:t>
      </w:r>
    </w:p>
    <w:p>
      <w:pPr>
        <w:pStyle w:val="Normal"/>
        <w:rPr>
          <w:rFonts w:ascii="Calibri" w:hAnsi="Calibri" w:cs="Calibri"/>
          <w:i/>
          <w:i/>
          <w:color w:val="000000"/>
        </w:rPr>
      </w:pPr>
      <w:r>
        <w:rPr>
          <w:rFonts w:cs="Calibri" w:ascii="Calibri" w:hAnsi="Calibri"/>
          <w:i/>
          <w:color w:val="000000"/>
        </w:rPr>
      </w:r>
    </w:p>
    <w:p>
      <w:pPr>
        <w:pStyle w:val="Normal"/>
        <w:spacing w:lineRule="auto" w:line="276"/>
        <w:jc w:val="both"/>
        <w:rPr>
          <w:rFonts w:ascii="Calibri" w:hAnsi="Calibri" w:cs="Calibri"/>
          <w:color w:val="000000"/>
          <w:sz w:val="22"/>
          <w:szCs w:val="22"/>
        </w:rPr>
      </w:pPr>
      <w:r>
        <w:rPr>
          <w:rFonts w:cs="Calibri" w:ascii="Calibri" w:hAnsi="Calibri"/>
          <w:color w:val="000000"/>
          <w:sz w:val="22"/>
          <w:szCs w:val="22"/>
        </w:rPr>
        <w:t>Entre:</w:t>
      </w:r>
    </w:p>
    <w:p>
      <w:pPr>
        <w:pStyle w:val="Normal"/>
        <w:spacing w:lineRule="auto" w:line="276"/>
        <w:jc w:val="both"/>
        <w:rPr>
          <w:rFonts w:ascii="Calibri" w:hAnsi="Calibri" w:cs="Calibri"/>
          <w:color w:val="000000"/>
          <w:sz w:val="22"/>
          <w:szCs w:val="22"/>
        </w:rPr>
      </w:pPr>
      <w:r>
        <w:rPr>
          <w:rFonts w:cs="Calibri" w:ascii="Calibri" w:hAnsi="Calibri"/>
          <w:color w:val="000000"/>
          <w:sz w:val="22"/>
          <w:szCs w:val="22"/>
        </w:rPr>
        <w:t>La Société TRANSPORTS GELIN SAS</w:t>
      </w:r>
    </w:p>
    <w:p>
      <w:pPr>
        <w:pStyle w:val="Normal"/>
        <w:spacing w:lineRule="auto" w:line="276"/>
        <w:jc w:val="both"/>
        <w:rPr>
          <w:rFonts w:ascii="Calibri" w:hAnsi="Calibri" w:cs="Calibri"/>
          <w:color w:val="000000"/>
          <w:sz w:val="22"/>
          <w:szCs w:val="22"/>
        </w:rPr>
      </w:pPr>
      <w:r>
        <w:rPr>
          <w:rFonts w:cs="Calibri" w:ascii="Calibri" w:hAnsi="Calibri"/>
          <w:color w:val="000000"/>
          <w:sz w:val="22"/>
          <w:szCs w:val="22"/>
        </w:rPr>
        <w:t>Représentée par …………………, agissant en qualité de représentant du Président</w:t>
      </w:r>
    </w:p>
    <w:p>
      <w:pPr>
        <w:pStyle w:val="Normal"/>
        <w:spacing w:lineRule="auto" w:line="276"/>
        <w:jc w:val="both"/>
        <w:rPr>
          <w:rFonts w:ascii="Calibri" w:hAnsi="Calibri" w:cs="Calibri"/>
          <w:color w:val="000000"/>
          <w:sz w:val="22"/>
          <w:szCs w:val="22"/>
        </w:rPr>
      </w:pPr>
      <w:r>
        <w:rPr>
          <w:rFonts w:cs="Calibri" w:ascii="Calibri" w:hAnsi="Calibri"/>
          <w:color w:val="000000"/>
          <w:sz w:val="22"/>
          <w:szCs w:val="22"/>
        </w:rPr>
      </w:r>
    </w:p>
    <w:p>
      <w:pPr>
        <w:pStyle w:val="Normal"/>
        <w:spacing w:lineRule="auto" w:line="276"/>
        <w:ind w:left="7799" w:firstLine="709"/>
        <w:jc w:val="both"/>
        <w:rPr>
          <w:rFonts w:ascii="Calibri" w:hAnsi="Calibri" w:cs="Calibri"/>
          <w:color w:val="000000"/>
          <w:sz w:val="22"/>
          <w:szCs w:val="22"/>
        </w:rPr>
      </w:pPr>
      <w:r>
        <w:rPr>
          <w:rFonts w:cs="Calibri" w:ascii="Calibri" w:hAnsi="Calibri"/>
          <w:color w:val="000000"/>
          <w:sz w:val="22"/>
          <w:szCs w:val="22"/>
        </w:rPr>
        <w:t>d’une part</w:t>
      </w:r>
    </w:p>
    <w:p>
      <w:pPr>
        <w:pStyle w:val="Normal"/>
        <w:spacing w:lineRule="auto" w:line="276"/>
        <w:jc w:val="both"/>
        <w:rPr>
          <w:rFonts w:ascii="Calibri" w:hAnsi="Calibri" w:cs="Calibri"/>
          <w:color w:val="000000"/>
          <w:sz w:val="22"/>
          <w:szCs w:val="22"/>
        </w:rPr>
      </w:pPr>
      <w:r>
        <w:rPr>
          <w:rFonts w:cs="Calibri" w:ascii="Calibri" w:hAnsi="Calibri"/>
          <w:color w:val="000000"/>
          <w:sz w:val="22"/>
          <w:szCs w:val="22"/>
        </w:rPr>
      </w:r>
    </w:p>
    <w:p>
      <w:pPr>
        <w:pStyle w:val="Normal"/>
        <w:spacing w:lineRule="auto" w:line="276"/>
        <w:jc w:val="both"/>
        <w:rPr>
          <w:rFonts w:ascii="Calibri" w:hAnsi="Calibri" w:cs="Calibri"/>
          <w:color w:val="000000"/>
          <w:sz w:val="22"/>
          <w:szCs w:val="22"/>
        </w:rPr>
      </w:pPr>
      <w:r>
        <w:rPr>
          <w:rFonts w:cs="Calibri" w:ascii="Calibri" w:hAnsi="Calibri"/>
          <w:color w:val="000000"/>
          <w:sz w:val="22"/>
          <w:szCs w:val="22"/>
        </w:rPr>
        <w:t>Et</w:t>
      </w:r>
    </w:p>
    <w:p>
      <w:pPr>
        <w:pStyle w:val="Normal"/>
        <w:spacing w:lineRule="auto" w:line="276"/>
        <w:rPr>
          <w:rFonts w:ascii="Calibri" w:hAnsi="Calibri" w:cs="Calibri"/>
          <w:color w:val="000000"/>
          <w:sz w:val="22"/>
          <w:szCs w:val="22"/>
        </w:rPr>
      </w:pPr>
      <w:r>
        <w:rPr>
          <w:rFonts w:cs="Calibri" w:ascii="Calibri" w:hAnsi="Calibri"/>
          <w:color w:val="000000"/>
          <w:sz w:val="22"/>
          <w:szCs w:val="22"/>
        </w:rPr>
        <w:t>L'organisation syndicale C.F.D.T.</w:t>
      </w:r>
    </w:p>
    <w:p>
      <w:pPr>
        <w:pStyle w:val="Normal"/>
        <w:tabs>
          <w:tab w:val="left" w:pos="2635" w:leader="none"/>
          <w:tab w:val="right" w:pos="5453" w:leader="none"/>
        </w:tabs>
        <w:spacing w:lineRule="auto" w:line="276"/>
        <w:rPr>
          <w:rFonts w:ascii="Calibri" w:hAnsi="Calibri" w:cs="Calibri"/>
          <w:color w:val="000000"/>
          <w:sz w:val="22"/>
          <w:szCs w:val="22"/>
        </w:rPr>
      </w:pPr>
      <w:r>
        <w:rPr>
          <w:rFonts w:cs="Calibri" w:ascii="Calibri" w:hAnsi="Calibri"/>
          <w:color w:val="000000"/>
          <w:sz w:val="22"/>
          <w:szCs w:val="22"/>
        </w:rPr>
        <w:t>Représentée par …………………</w:t>
      </w:r>
    </w:p>
    <w:p>
      <w:pPr>
        <w:pStyle w:val="Normal"/>
        <w:tabs>
          <w:tab w:val="left" w:pos="2635" w:leader="none"/>
          <w:tab w:val="right" w:pos="5453" w:leader="none"/>
        </w:tabs>
        <w:spacing w:lineRule="auto" w:line="276"/>
        <w:rPr>
          <w:rFonts w:ascii="Calibri" w:hAnsi="Calibri" w:cs="Calibri"/>
          <w:color w:val="000000"/>
          <w:sz w:val="22"/>
          <w:szCs w:val="22"/>
        </w:rPr>
      </w:pPr>
      <w:r>
        <w:rPr>
          <w:rFonts w:cs="Calibri" w:ascii="Calibri" w:hAnsi="Calibri"/>
          <w:color w:val="000000"/>
          <w:sz w:val="22"/>
          <w:szCs w:val="22"/>
        </w:rPr>
      </w:r>
    </w:p>
    <w:p>
      <w:pPr>
        <w:pStyle w:val="Normal"/>
        <w:spacing w:lineRule="auto" w:line="276"/>
        <w:rPr>
          <w:rFonts w:ascii="Calibri" w:hAnsi="Calibri" w:cs="Calibri"/>
          <w:color w:val="000000"/>
          <w:sz w:val="22"/>
          <w:szCs w:val="22"/>
        </w:rPr>
      </w:pPr>
      <w:r>
        <w:rPr>
          <w:rFonts w:cs="Calibri" w:ascii="Calibri" w:hAnsi="Calibri"/>
          <w:color w:val="000000"/>
          <w:sz w:val="22"/>
          <w:szCs w:val="22"/>
        </w:rPr>
        <w:t>Et</w:t>
      </w:r>
    </w:p>
    <w:p>
      <w:pPr>
        <w:pStyle w:val="Normal"/>
        <w:spacing w:lineRule="auto" w:line="276"/>
        <w:rPr>
          <w:rFonts w:ascii="Calibri" w:hAnsi="Calibri" w:cs="Calibri"/>
          <w:color w:val="000000"/>
          <w:sz w:val="22"/>
          <w:szCs w:val="22"/>
        </w:rPr>
      </w:pPr>
      <w:r>
        <w:rPr>
          <w:rFonts w:cs="Calibri" w:ascii="Calibri" w:hAnsi="Calibri"/>
          <w:color w:val="000000"/>
          <w:sz w:val="22"/>
          <w:szCs w:val="22"/>
        </w:rPr>
        <w:t>L'organisation syndicale C.F.T.C.</w:t>
      </w:r>
    </w:p>
    <w:p>
      <w:pPr>
        <w:pStyle w:val="Normal"/>
        <w:tabs>
          <w:tab w:val="left" w:pos="2635" w:leader="none"/>
          <w:tab w:val="right" w:pos="5453" w:leader="none"/>
        </w:tabs>
        <w:spacing w:lineRule="auto" w:line="276"/>
        <w:rPr>
          <w:rFonts w:ascii="Calibri" w:hAnsi="Calibri" w:cs="Calibri"/>
          <w:color w:val="000000"/>
          <w:sz w:val="22"/>
          <w:szCs w:val="22"/>
        </w:rPr>
      </w:pPr>
      <w:r>
        <w:rPr>
          <w:rFonts w:cs="Calibri" w:ascii="Calibri" w:hAnsi="Calibri"/>
          <w:color w:val="000000"/>
          <w:sz w:val="22"/>
          <w:szCs w:val="22"/>
        </w:rPr>
        <w:t>Représentée par …………………</w:t>
      </w:r>
    </w:p>
    <w:p>
      <w:pPr>
        <w:pStyle w:val="Normal"/>
        <w:tabs>
          <w:tab w:val="left" w:pos="2635" w:leader="none"/>
          <w:tab w:val="right" w:pos="5453" w:leader="none"/>
        </w:tabs>
        <w:spacing w:lineRule="auto" w:line="276"/>
        <w:rPr>
          <w:rFonts w:ascii="Calibri" w:hAnsi="Calibri" w:cs="Calibri"/>
          <w:color w:val="000000"/>
          <w:sz w:val="22"/>
          <w:szCs w:val="22"/>
        </w:rPr>
      </w:pPr>
      <w:r>
        <w:rPr>
          <w:rFonts w:cs="Calibri" w:ascii="Calibri" w:hAnsi="Calibri"/>
          <w:color w:val="000000"/>
          <w:sz w:val="22"/>
          <w:szCs w:val="22"/>
        </w:rPr>
        <w:tab/>
        <w:tab/>
        <w:tab/>
        <w:tab/>
        <w:tab/>
        <w:tab/>
        <w:tab/>
        <w:t>d’autre part</w:t>
      </w:r>
    </w:p>
    <w:p>
      <w:pPr>
        <w:pStyle w:val="Normal"/>
        <w:widowControl/>
        <w:suppressAutoHyphens w:val="false"/>
        <w:spacing w:lineRule="auto" w:line="276"/>
        <w:rPr>
          <w:rFonts w:ascii="Calibri" w:hAnsi="Calibri" w:eastAsia="Times New Roman" w:cs="Calibri"/>
          <w:color w:val="000000"/>
          <w:sz w:val="22"/>
          <w:szCs w:val="22"/>
          <w:lang w:eastAsia="fr-FR"/>
        </w:rPr>
      </w:pPr>
      <w:r>
        <w:rPr>
          <w:rFonts w:eastAsia="Times New Roman" w:cs="Calibri" w:ascii="Calibri" w:hAnsi="Calibri"/>
          <w:color w:val="000000"/>
          <w:sz w:val="22"/>
          <w:szCs w:val="22"/>
          <w:lang w:eastAsia="fr-FR"/>
        </w:rPr>
      </w:r>
    </w:p>
    <w:p>
      <w:pPr>
        <w:pStyle w:val="Normal"/>
        <w:spacing w:lineRule="auto" w:line="276"/>
        <w:jc w:val="both"/>
        <w:rPr>
          <w:rFonts w:ascii="Calibri" w:hAnsi="Calibri" w:eastAsia="Times New Roman" w:cs="Calibri"/>
          <w:color w:val="000000"/>
          <w:sz w:val="22"/>
          <w:szCs w:val="22"/>
          <w:lang w:eastAsia="fr-FR"/>
        </w:rPr>
      </w:pPr>
      <w:r>
        <w:rPr>
          <w:rFonts w:eastAsia="Times New Roman" w:cs="Calibri" w:ascii="Calibri" w:hAnsi="Calibri"/>
          <w:color w:val="000000"/>
          <w:sz w:val="22"/>
          <w:szCs w:val="22"/>
          <w:lang w:eastAsia="fr-FR"/>
        </w:rPr>
      </w:r>
    </w:p>
    <w:p>
      <w:pPr>
        <w:pStyle w:val="Heading1"/>
        <w:numPr>
          <w:ilvl w:val="0"/>
          <w:numId w:val="1"/>
        </w:numPr>
        <w:tabs>
          <w:tab w:val="left" w:pos="0" w:leader="none"/>
        </w:tabs>
        <w:spacing w:lineRule="auto" w:line="276"/>
        <w:ind w:left="0" w:right="0" w:hanging="0"/>
        <w:jc w:val="both"/>
        <w:rPr>
          <w:rFonts w:ascii="Calibri" w:hAnsi="Calibri" w:cs="Calibri"/>
          <w:sz w:val="22"/>
          <w:szCs w:val="22"/>
          <w:u w:val="single"/>
        </w:rPr>
      </w:pPr>
      <w:r>
        <w:rPr>
          <w:rFonts w:cs="Calibri" w:ascii="Calibri" w:hAnsi="Calibri"/>
          <w:sz w:val="22"/>
          <w:szCs w:val="22"/>
          <w:u w:val="single"/>
        </w:rPr>
        <w:t>Article 1 – Objet de l’accord</w:t>
      </w:r>
    </w:p>
    <w:p>
      <w:pPr>
        <w:pStyle w:val="Normal"/>
        <w:spacing w:lineRule="auto" w:line="276"/>
        <w:rPr>
          <w:rFonts w:ascii="Calibri" w:hAnsi="Calibri" w:cs="Calibri"/>
          <w:sz w:val="22"/>
          <w:szCs w:val="22"/>
          <w:u w:val="single"/>
        </w:rPr>
      </w:pPr>
      <w:r>
        <w:rPr>
          <w:rFonts w:cs="Calibri" w:ascii="Calibri" w:hAnsi="Calibri"/>
          <w:sz w:val="22"/>
          <w:szCs w:val="22"/>
          <w:u w:val="single"/>
        </w:rPr>
      </w:r>
    </w:p>
    <w:p>
      <w:pPr>
        <w:pStyle w:val="Normal"/>
        <w:spacing w:lineRule="auto" w:line="276"/>
        <w:jc w:val="both"/>
        <w:rPr>
          <w:rFonts w:ascii="Calibri" w:hAnsi="Calibri" w:cs="Calibri"/>
          <w:sz w:val="22"/>
          <w:szCs w:val="22"/>
        </w:rPr>
      </w:pPr>
      <w:r>
        <w:rPr>
          <w:rFonts w:cs="Calibri" w:ascii="Calibri" w:hAnsi="Calibri"/>
          <w:color w:val="000000"/>
          <w:sz w:val="22"/>
          <w:szCs w:val="22"/>
        </w:rPr>
        <w:t>Le présent accord a pour objet l’encadrement de la mise en œuvre du remplacement partiel du paiement des heures supplémentaires, ainsi que la majoration afférente à celles-ci, par l’octroi d’heures de repos compensateurs de remplacement.</w:t>
      </w:r>
    </w:p>
    <w:p>
      <w:pPr>
        <w:pStyle w:val="Normal"/>
        <w:spacing w:lineRule="auto" w:line="276"/>
        <w:ind w:left="709" w:hanging="0"/>
        <w:jc w:val="both"/>
        <w:rPr>
          <w:rFonts w:ascii="Calibri" w:hAnsi="Calibri" w:cs="Calibri"/>
          <w:sz w:val="22"/>
          <w:szCs w:val="22"/>
        </w:rPr>
      </w:pPr>
      <w:r>
        <w:rPr>
          <w:rFonts w:cs="Calibri" w:ascii="Calibri" w:hAnsi="Calibri"/>
          <w:sz w:val="22"/>
          <w:szCs w:val="22"/>
        </w:rPr>
      </w:r>
    </w:p>
    <w:p>
      <w:pPr>
        <w:pStyle w:val="Heading1"/>
        <w:numPr>
          <w:ilvl w:val="0"/>
          <w:numId w:val="1"/>
        </w:numPr>
        <w:tabs>
          <w:tab w:val="left" w:pos="0" w:leader="none"/>
        </w:tabs>
        <w:spacing w:lineRule="auto" w:line="276"/>
        <w:ind w:left="0" w:right="0" w:hanging="0"/>
        <w:jc w:val="both"/>
        <w:rPr/>
      </w:pPr>
      <w:r>
        <w:rPr>
          <w:rFonts w:cs="Calibri" w:ascii="Calibri" w:hAnsi="Calibri"/>
          <w:sz w:val="22"/>
          <w:szCs w:val="22"/>
          <w:u w:val="single"/>
        </w:rPr>
        <w:t>Article 2 – Cadre juridique</w:t>
      </w:r>
    </w:p>
    <w:p>
      <w:pPr>
        <w:pStyle w:val="Normal"/>
        <w:spacing w:lineRule="auto" w:line="276"/>
        <w:rPr>
          <w:rFonts w:ascii="Calibri" w:hAnsi="Calibri" w:cs="Calibri"/>
          <w:sz w:val="22"/>
          <w:szCs w:val="22"/>
          <w:u w:val="single"/>
        </w:rPr>
      </w:pPr>
      <w:r>
        <w:rPr>
          <w:rFonts w:cs="Calibri" w:ascii="Calibri" w:hAnsi="Calibri"/>
          <w:sz w:val="22"/>
          <w:szCs w:val="22"/>
          <w:u w:val="single"/>
        </w:rPr>
      </w:r>
    </w:p>
    <w:p>
      <w:pPr>
        <w:pStyle w:val="Normal"/>
        <w:spacing w:lineRule="auto" w:line="276"/>
        <w:jc w:val="both"/>
        <w:rPr>
          <w:rFonts w:ascii="Calibri" w:hAnsi="Calibri" w:cs="Calibri"/>
          <w:sz w:val="22"/>
          <w:szCs w:val="22"/>
        </w:rPr>
      </w:pPr>
      <w:r>
        <w:rPr>
          <w:rFonts w:cs="Calibri" w:ascii="Calibri" w:hAnsi="Calibri"/>
          <w:sz w:val="22"/>
          <w:szCs w:val="22"/>
        </w:rPr>
        <w:t>Le présent accord est conclu en application de l’article L.3121 – 24 du code du travail qui prévoit qu’un repos peut être accordé en remplacement du paiement des heures supplémentaires, les heures ainsi compensées ne s’imputant pas sur le contingent annuel d’heures supplémentaires.</w:t>
      </w:r>
    </w:p>
    <w:p>
      <w:pPr>
        <w:pStyle w:val="Heading1"/>
        <w:numPr>
          <w:ilvl w:val="0"/>
          <w:numId w:val="1"/>
        </w:numPr>
        <w:tabs>
          <w:tab w:val="left" w:pos="0" w:leader="none"/>
        </w:tabs>
        <w:spacing w:lineRule="auto" w:line="276"/>
        <w:ind w:left="0" w:right="0" w:hanging="0"/>
        <w:jc w:val="both"/>
        <w:rPr>
          <w:rFonts w:ascii="Calibri" w:hAnsi="Calibri" w:cs="Calibri"/>
          <w:sz w:val="22"/>
          <w:szCs w:val="22"/>
        </w:rPr>
      </w:pPr>
      <w:r>
        <w:rPr>
          <w:rFonts w:cs="Calibri" w:ascii="Calibri" w:hAnsi="Calibri"/>
          <w:sz w:val="22"/>
          <w:szCs w:val="22"/>
        </w:rPr>
      </w:r>
    </w:p>
    <w:p>
      <w:pPr>
        <w:pStyle w:val="Heading1"/>
        <w:numPr>
          <w:ilvl w:val="0"/>
          <w:numId w:val="1"/>
        </w:numPr>
        <w:tabs>
          <w:tab w:val="left" w:pos="0" w:leader="none"/>
        </w:tabs>
        <w:spacing w:lineRule="auto" w:line="276"/>
        <w:ind w:left="0" w:right="0" w:hanging="0"/>
        <w:jc w:val="both"/>
        <w:rPr>
          <w:rFonts w:ascii="Calibri" w:hAnsi="Calibri" w:cs="Calibri"/>
          <w:sz w:val="22"/>
          <w:szCs w:val="22"/>
          <w:u w:val="single"/>
        </w:rPr>
      </w:pPr>
      <w:r>
        <w:rPr>
          <w:rFonts w:cs="Calibri" w:ascii="Calibri" w:hAnsi="Calibri"/>
          <w:sz w:val="22"/>
          <w:szCs w:val="22"/>
          <w:u w:val="single"/>
        </w:rPr>
        <w:t>Article 3 – Champ d’application</w:t>
      </w:r>
    </w:p>
    <w:p>
      <w:pPr>
        <w:pStyle w:val="Normal"/>
        <w:tabs>
          <w:tab w:val="left" w:pos="1560" w:leader="none"/>
        </w:tabs>
        <w:spacing w:lineRule="auto" w:line="276"/>
        <w:rPr>
          <w:rFonts w:ascii="Calibri" w:hAnsi="Calibri" w:cs="Calibri"/>
          <w:sz w:val="22"/>
          <w:szCs w:val="22"/>
        </w:rPr>
      </w:pPr>
      <w:r>
        <w:rPr>
          <w:rFonts w:cs="Calibri" w:ascii="Calibri" w:hAnsi="Calibri"/>
          <w:sz w:val="22"/>
          <w:szCs w:val="22"/>
        </w:rPr>
        <w:tab/>
      </w:r>
    </w:p>
    <w:p>
      <w:pPr>
        <w:pStyle w:val="Normal"/>
        <w:widowControl/>
        <w:spacing w:lineRule="auto" w:line="276"/>
        <w:jc w:val="both"/>
        <w:rPr>
          <w:rFonts w:ascii="Calibri" w:hAnsi="Calibri" w:cs="Calibri"/>
          <w:sz w:val="22"/>
          <w:szCs w:val="22"/>
        </w:rPr>
      </w:pPr>
      <w:r>
        <w:rPr>
          <w:rFonts w:cs="Calibri" w:ascii="Calibri" w:hAnsi="Calibri"/>
          <w:sz w:val="22"/>
          <w:szCs w:val="22"/>
        </w:rPr>
        <w:t>Le présent accord s'applique à l’ensemble du personnel roulant salarié de l’entreprise, identifié sous la catégorie des chauffeurs routiers, tous établissements confondus.</w:t>
      </w:r>
    </w:p>
    <w:p>
      <w:pPr>
        <w:pStyle w:val="Normal"/>
        <w:spacing w:lineRule="auto" w:line="276"/>
        <w:jc w:val="both"/>
        <w:rPr>
          <w:rFonts w:ascii="Calibri" w:hAnsi="Calibri" w:cs="Calibri"/>
          <w:sz w:val="22"/>
          <w:szCs w:val="22"/>
        </w:rPr>
      </w:pPr>
      <w:r>
        <w:rPr>
          <w:rFonts w:cs="Calibri" w:ascii="Calibri" w:hAnsi="Calibri"/>
          <w:sz w:val="22"/>
          <w:szCs w:val="22"/>
        </w:rPr>
      </w:r>
    </w:p>
    <w:p>
      <w:pPr>
        <w:pStyle w:val="Paragraphedeliste"/>
        <w:spacing w:lineRule="auto" w:line="276"/>
        <w:ind w:left="0" w:hanging="0"/>
        <w:jc w:val="both"/>
        <w:rPr>
          <w:rFonts w:cs="Calibri"/>
          <w:b/>
          <w:b/>
          <w:u w:val="single"/>
        </w:rPr>
      </w:pPr>
      <w:r>
        <w:rPr>
          <w:rFonts w:cs="Calibri"/>
          <w:b/>
          <w:u w:val="single"/>
        </w:rPr>
        <w:t>Article 4 – Régime du repos compensateur de remplacement</w:t>
      </w:r>
    </w:p>
    <w:p>
      <w:pPr>
        <w:pStyle w:val="Paragraphedeliste"/>
        <w:spacing w:lineRule="auto" w:line="276" w:before="0" w:after="0"/>
        <w:ind w:left="0" w:hanging="0"/>
        <w:contextualSpacing/>
        <w:jc w:val="both"/>
        <w:rPr>
          <w:rFonts w:cs="Calibri"/>
          <w:b/>
          <w:b/>
          <w:u w:val="single"/>
        </w:rPr>
      </w:pPr>
      <w:r>
        <w:rPr>
          <w:rFonts w:cs="Calibri"/>
          <w:b/>
          <w:u w:val="single"/>
        </w:rPr>
      </w:r>
    </w:p>
    <w:p>
      <w:pPr>
        <w:pStyle w:val="Paragraphedeliste"/>
        <w:spacing w:lineRule="auto" w:line="276" w:before="0" w:after="0"/>
        <w:ind w:left="0" w:hanging="0"/>
        <w:contextualSpacing/>
        <w:jc w:val="both"/>
        <w:rPr>
          <w:rFonts w:cs="Calibri"/>
        </w:rPr>
      </w:pPr>
      <w:r>
        <w:rPr>
          <w:rFonts w:cs="Calibri"/>
        </w:rPr>
        <w:t xml:space="preserve">Sauf exception nécessitée par les besoins de l’entreprise, le paiement des heures supplémentaires est en partie remplacé par l’attribution d’un repos compensateur de remplacement, calculé en tenant compte des majorations prévues par l’article L.3121-22 du code du travail.  </w:t>
      </w:r>
    </w:p>
    <w:p>
      <w:pPr>
        <w:pStyle w:val="Paragraphedeliste"/>
        <w:spacing w:lineRule="auto" w:line="276" w:before="0" w:after="0"/>
        <w:ind w:left="0" w:hanging="0"/>
        <w:contextualSpacing/>
        <w:jc w:val="both"/>
        <w:rPr>
          <w:rFonts w:eastAsia="Times" w:cs="Calibri"/>
          <w:lang w:eastAsia="ar-SA"/>
        </w:rPr>
      </w:pPr>
      <w:r>
        <w:rPr>
          <w:rFonts w:eastAsia="Times" w:cs="Calibri"/>
          <w:lang w:eastAsia="ar-SA"/>
        </w:rPr>
      </w:r>
    </w:p>
    <w:p>
      <w:pPr>
        <w:pStyle w:val="Paragraphedeliste"/>
        <w:spacing w:lineRule="auto" w:line="276" w:before="0" w:after="0"/>
        <w:ind w:left="0" w:hanging="0"/>
        <w:contextualSpacing/>
        <w:jc w:val="both"/>
        <w:rPr>
          <w:rFonts w:eastAsia="Times" w:cs="Calibri"/>
          <w:lang w:eastAsia="ar-SA"/>
        </w:rPr>
      </w:pPr>
      <w:r>
        <w:rPr>
          <w:rFonts w:eastAsia="Times" w:cs="Calibri"/>
          <w:lang w:eastAsia="ar-SA"/>
        </w:rPr>
      </w:r>
    </w:p>
    <w:p>
      <w:pPr>
        <w:pStyle w:val="Paragraphedeliste"/>
        <w:spacing w:lineRule="auto" w:line="276" w:before="0" w:after="0"/>
        <w:ind w:left="0" w:hanging="0"/>
        <w:contextualSpacing/>
        <w:jc w:val="both"/>
        <w:rPr>
          <w:rFonts w:cs="Calibri"/>
          <w:b/>
          <w:b/>
        </w:rPr>
      </w:pPr>
      <w:r>
        <w:rPr>
          <w:rFonts w:cs="Calibri"/>
          <w:b/>
          <w:color w:val="000000"/>
        </w:rPr>
        <w:t>Article 4.1_Seuil de remplacement du paiement des heures supplémentaires en repos compensateur de remplacement</w:t>
      </w:r>
    </w:p>
    <w:p>
      <w:pPr>
        <w:pStyle w:val="Paragraphedeliste"/>
        <w:spacing w:lineRule="auto" w:line="276" w:before="0" w:after="0"/>
        <w:ind w:left="0" w:hanging="0"/>
        <w:contextualSpacing/>
        <w:jc w:val="both"/>
        <w:rPr>
          <w:rFonts w:cs="Calibri"/>
          <w:b/>
          <w:b/>
          <w:bCs/>
        </w:rPr>
      </w:pPr>
      <w:r>
        <w:rPr>
          <w:rFonts w:cs="Calibri"/>
          <w:b/>
          <w:bCs/>
        </w:rPr>
      </w:r>
    </w:p>
    <w:p>
      <w:pPr>
        <w:pStyle w:val="Paragraphedeliste"/>
        <w:spacing w:lineRule="auto" w:line="276" w:before="0" w:after="0"/>
        <w:ind w:left="0" w:hanging="0"/>
        <w:contextualSpacing/>
        <w:jc w:val="both"/>
        <w:rPr>
          <w:rFonts w:cs="Calibri"/>
        </w:rPr>
      </w:pPr>
      <w:r>
        <w:rPr>
          <w:rFonts w:cs="Calibri"/>
        </w:rPr>
        <w:t>Le mode de décompte de la durée du travail est celui habituellement appliqué par l'entreprise, soit en l'espèce, pour les conducteurs routiers, un décompte mensuel des heures effectives. Par conséquent, le déclenchement du repos compensateur s’effectue au-delà d’un seuil fixé à 208 heures mensuelles rémunérées.</w:t>
      </w:r>
    </w:p>
    <w:p>
      <w:pPr>
        <w:pStyle w:val="Paragraphedeliste"/>
        <w:spacing w:lineRule="auto" w:line="276" w:before="0" w:after="0"/>
        <w:ind w:left="0" w:hanging="0"/>
        <w:contextualSpacing/>
        <w:jc w:val="both"/>
        <w:rPr>
          <w:rFonts w:cs="Calibri"/>
        </w:rPr>
      </w:pPr>
      <w:r>
        <w:rPr>
          <w:rFonts w:cs="Calibri"/>
        </w:rPr>
      </w:r>
    </w:p>
    <w:p>
      <w:pPr>
        <w:pStyle w:val="Paragraphedeliste"/>
        <w:spacing w:lineRule="auto" w:line="276" w:before="0" w:after="0"/>
        <w:ind w:left="0" w:hanging="0"/>
        <w:contextualSpacing/>
        <w:jc w:val="both"/>
        <w:rPr>
          <w:rFonts w:cs="Calibri"/>
          <w:b/>
          <w:b/>
          <w:color w:val="000000"/>
        </w:rPr>
      </w:pPr>
      <w:r>
        <w:rPr>
          <w:rFonts w:cs="Calibri"/>
          <w:b/>
          <w:color w:val="000000"/>
        </w:rPr>
        <w:t>Article 4.2_ Les modalités de prise du repos compensateur</w:t>
      </w:r>
    </w:p>
    <w:p>
      <w:pPr>
        <w:pStyle w:val="Paragraphedeliste"/>
        <w:spacing w:lineRule="auto" w:line="276" w:before="0" w:after="0"/>
        <w:ind w:left="0" w:hanging="0"/>
        <w:contextualSpacing/>
        <w:jc w:val="both"/>
        <w:rPr>
          <w:rFonts w:cs="Calibri"/>
          <w:b/>
          <w:b/>
          <w:color w:val="000000"/>
        </w:rPr>
      </w:pPr>
      <w:r>
        <w:rPr>
          <w:rFonts w:cs="Calibri"/>
          <w:b/>
          <w:color w:val="000000"/>
        </w:rPr>
      </w:r>
    </w:p>
    <w:p>
      <w:pPr>
        <w:pStyle w:val="Paragraphedeliste"/>
        <w:spacing w:lineRule="auto" w:line="276" w:before="0" w:after="0"/>
        <w:ind w:left="0" w:hanging="0"/>
        <w:contextualSpacing/>
        <w:jc w:val="both"/>
        <w:rPr>
          <w:rFonts w:cs="Calibri"/>
        </w:rPr>
      </w:pPr>
      <w:r>
        <w:rPr>
          <w:rFonts w:cs="Calibri"/>
        </w:rPr>
        <w:t>La prise de repos s’effectue sur l’initiative du salarié ou de l’employeur, sous réserves de disposer d’un solde suffisant de droits acquis.</w:t>
      </w:r>
    </w:p>
    <w:p>
      <w:pPr>
        <w:pStyle w:val="Paragraphedeliste"/>
        <w:spacing w:lineRule="auto" w:line="276" w:before="0" w:after="0"/>
        <w:ind w:left="0" w:hanging="0"/>
        <w:contextualSpacing/>
        <w:jc w:val="both"/>
        <w:rPr>
          <w:rFonts w:cs="Calibri"/>
        </w:rPr>
      </w:pPr>
      <w:r>
        <w:rPr>
          <w:rFonts w:cs="Calibri"/>
        </w:rPr>
      </w:r>
    </w:p>
    <w:p>
      <w:pPr>
        <w:pStyle w:val="Paragraphedeliste"/>
        <w:spacing w:lineRule="auto" w:line="276" w:before="0" w:after="0"/>
        <w:ind w:left="0" w:hanging="0"/>
        <w:contextualSpacing/>
        <w:jc w:val="both"/>
        <w:rPr>
          <w:rFonts w:cs="Calibri"/>
        </w:rPr>
      </w:pPr>
      <w:r>
        <w:rPr>
          <w:rFonts w:cs="Calibri"/>
        </w:rPr>
        <w:t>Toute demande de prise du droit acquis à repos compensateur de remplacement, à l’initiative du salarié, est à effectuer sous forme de semaines entières, sous respect d’un délai de prévenance de 7 jours calendaires avant la prise dudit repos. Toute demande est à matérialiser sur le formulaire de demande d’absence prévu à cet effet, ou de façon dématérialisée lorsque cette possibilité sera offerte au salarié, le cas échéant. Sur cette demande, figurera la date et la durée du repos.</w:t>
      </w:r>
    </w:p>
    <w:p>
      <w:pPr>
        <w:pStyle w:val="Paragraphedeliste"/>
        <w:spacing w:lineRule="auto" w:line="276" w:before="0" w:after="0"/>
        <w:ind w:left="0" w:hanging="0"/>
        <w:contextualSpacing/>
        <w:jc w:val="both"/>
        <w:rPr>
          <w:rFonts w:cs="Calibri"/>
        </w:rPr>
      </w:pPr>
      <w:r>
        <w:rPr>
          <w:rFonts w:cs="Calibri"/>
        </w:rPr>
      </w:r>
    </w:p>
    <w:p>
      <w:pPr>
        <w:pStyle w:val="Paragraphedeliste"/>
        <w:spacing w:lineRule="auto" w:line="276" w:before="0" w:after="0"/>
        <w:ind w:left="0" w:hanging="0"/>
        <w:contextualSpacing/>
        <w:jc w:val="both"/>
        <w:rPr>
          <w:rFonts w:cs="Calibri"/>
        </w:rPr>
      </w:pPr>
      <w:r>
        <w:rPr>
          <w:rFonts w:cs="Calibri"/>
        </w:rPr>
        <w:t xml:space="preserve">Dans les 7 jours qui suivent, la Direction fait connaître à l’intéressé sa réponse. Dans l’hypothèse où la date souhaitée ne serait pas compatible avec les exigences du service, une autre date sera proposée. </w:t>
      </w:r>
    </w:p>
    <w:p>
      <w:pPr>
        <w:pStyle w:val="Paragraphedeliste"/>
        <w:spacing w:lineRule="auto" w:line="276" w:before="0" w:after="0"/>
        <w:ind w:left="0" w:hanging="0"/>
        <w:contextualSpacing/>
        <w:jc w:val="both"/>
        <w:rPr>
          <w:rFonts w:cs="Calibri"/>
        </w:rPr>
      </w:pPr>
      <w:r>
        <w:rPr>
          <w:rFonts w:cs="Calibri"/>
        </w:rPr>
      </w:r>
    </w:p>
    <w:p>
      <w:pPr>
        <w:pStyle w:val="Paragraphedeliste"/>
        <w:spacing w:lineRule="auto" w:line="276" w:before="0" w:after="0"/>
        <w:ind w:left="0" w:hanging="0"/>
        <w:contextualSpacing/>
        <w:jc w:val="both"/>
        <w:rPr>
          <w:rFonts w:cs="Calibri"/>
        </w:rPr>
      </w:pPr>
      <w:r>
        <w:rPr>
          <w:rFonts w:cs="Calibri"/>
        </w:rPr>
        <w:t xml:space="preserve">Si la Direction ne peut satisfaire simultanément toutes les demandes, leur départage doit s’effectuer dans l’ordre suivant : </w:t>
      </w:r>
    </w:p>
    <w:p>
      <w:pPr>
        <w:pStyle w:val="Paragraphedeliste"/>
        <w:numPr>
          <w:ilvl w:val="0"/>
          <w:numId w:val="3"/>
        </w:numPr>
        <w:spacing w:lineRule="auto" w:line="276" w:before="0" w:after="0"/>
        <w:contextualSpacing/>
        <w:jc w:val="both"/>
        <w:rPr>
          <w:rFonts w:cs="Calibri"/>
        </w:rPr>
      </w:pPr>
      <w:r>
        <w:rPr>
          <w:rFonts w:cs="Calibri"/>
        </w:rPr>
        <w:t xml:space="preserve">Demandes déjà différées, </w:t>
      </w:r>
    </w:p>
    <w:p>
      <w:pPr>
        <w:pStyle w:val="Paragraphedeliste"/>
        <w:numPr>
          <w:ilvl w:val="0"/>
          <w:numId w:val="3"/>
        </w:numPr>
        <w:spacing w:lineRule="auto" w:line="276" w:before="0" w:after="0"/>
        <w:contextualSpacing/>
        <w:jc w:val="both"/>
        <w:rPr>
          <w:rFonts w:cs="Calibri"/>
        </w:rPr>
      </w:pPr>
      <w:r>
        <w:rPr>
          <w:rFonts w:cs="Calibri"/>
        </w:rPr>
        <w:t>Situation de famille,</w:t>
      </w:r>
    </w:p>
    <w:p>
      <w:pPr>
        <w:pStyle w:val="Paragraphedeliste"/>
        <w:numPr>
          <w:ilvl w:val="0"/>
          <w:numId w:val="3"/>
        </w:numPr>
        <w:spacing w:lineRule="auto" w:line="276" w:before="0" w:after="0"/>
        <w:contextualSpacing/>
        <w:jc w:val="both"/>
        <w:rPr>
          <w:rFonts w:cs="Calibri"/>
        </w:rPr>
      </w:pPr>
      <w:r>
        <w:rPr>
          <w:rFonts w:cs="Calibri"/>
        </w:rPr>
        <w:t>Ancienneté.</w:t>
      </w:r>
    </w:p>
    <w:p>
      <w:pPr>
        <w:pStyle w:val="Paragraphedeliste"/>
        <w:spacing w:lineRule="auto" w:line="276" w:before="0" w:after="0"/>
        <w:ind w:left="0" w:hanging="0"/>
        <w:contextualSpacing/>
        <w:jc w:val="both"/>
        <w:rPr>
          <w:rFonts w:cs="Calibri"/>
        </w:rPr>
      </w:pPr>
      <w:r>
        <w:rPr>
          <w:rFonts w:cs="Calibri"/>
        </w:rPr>
      </w:r>
    </w:p>
    <w:p>
      <w:pPr>
        <w:pStyle w:val="Paragraphedeliste"/>
        <w:spacing w:lineRule="auto" w:line="276" w:before="0" w:after="0"/>
        <w:ind w:left="0" w:hanging="0"/>
        <w:contextualSpacing/>
        <w:jc w:val="both"/>
        <w:rPr>
          <w:rFonts w:cs="Calibri"/>
        </w:rPr>
      </w:pPr>
      <w:r>
        <w:rPr>
          <w:rFonts w:cs="Calibri"/>
        </w:rPr>
        <w:t>En fonction du niveau d’activité de l’entreprise, la Direction peut décider de la prise ou du décalage de la période de repos compensateur de remplacement fixée précédemment avec un délai de prévenance d’une semaine, soit 7 jours calendaires.</w:t>
      </w:r>
    </w:p>
    <w:p>
      <w:pPr>
        <w:pStyle w:val="Paragraphedeliste"/>
        <w:spacing w:lineRule="auto" w:line="276" w:before="0" w:after="0"/>
        <w:ind w:left="0" w:hanging="0"/>
        <w:contextualSpacing/>
        <w:jc w:val="both"/>
        <w:rPr/>
      </w:pPr>
      <w:r>
        <w:rPr>
          <w:rFonts w:cs="Calibri"/>
        </w:rPr>
        <w:t xml:space="preserve">En cas de non-respect d’un délai de prévenance inférieur ou égal à 48 heures de la part de l’entreprise, 2 heures à récupérer seront ajoutées au compteur du salarié. </w:t>
      </w:r>
    </w:p>
    <w:p>
      <w:pPr>
        <w:pStyle w:val="Paragraphedeliste"/>
        <w:spacing w:lineRule="auto" w:line="276" w:before="0" w:after="0"/>
        <w:ind w:left="0" w:hanging="0"/>
        <w:contextualSpacing/>
        <w:jc w:val="both"/>
        <w:rPr>
          <w:rFonts w:cs="Calibri"/>
        </w:rPr>
      </w:pPr>
      <w:r>
        <w:rPr>
          <w:rFonts w:cs="Calibri"/>
        </w:rPr>
      </w:r>
    </w:p>
    <w:p>
      <w:pPr>
        <w:pStyle w:val="Paragraphedeliste"/>
        <w:spacing w:lineRule="auto" w:line="276" w:before="0" w:after="0"/>
        <w:ind w:left="0" w:hanging="0"/>
        <w:contextualSpacing/>
        <w:jc w:val="both"/>
        <w:rPr>
          <w:rFonts w:cs="Calibri"/>
        </w:rPr>
      </w:pPr>
      <w:r>
        <w:rPr>
          <w:rFonts w:cs="Calibri"/>
        </w:rPr>
        <w:t xml:space="preserve">Le repos compensateur de remplacement ne peut pas être remplacé par une indemnisation, sauf versement d’une indemnité compensatrice de repos compensateur de remplacement en cas de départ de l’entreprise, lorsque le salarié n’a pu bénéficier de l’intégralité des repos acquis. </w:t>
      </w:r>
    </w:p>
    <w:p>
      <w:pPr>
        <w:pStyle w:val="Paragraphedeliste"/>
        <w:spacing w:lineRule="auto" w:line="276" w:before="0" w:after="0"/>
        <w:ind w:left="0" w:hanging="0"/>
        <w:contextualSpacing/>
        <w:jc w:val="both"/>
        <w:rPr>
          <w:rFonts w:cs="Calibri"/>
        </w:rPr>
      </w:pPr>
      <w:r>
        <w:rPr>
          <w:rFonts w:cs="Calibri"/>
        </w:rPr>
      </w:r>
    </w:p>
    <w:p>
      <w:pPr>
        <w:pStyle w:val="Paragraphedeliste"/>
        <w:spacing w:lineRule="auto" w:line="276" w:before="0" w:after="0"/>
        <w:ind w:left="0" w:hanging="0"/>
        <w:contextualSpacing/>
        <w:jc w:val="both"/>
        <w:rPr>
          <w:rFonts w:cs="Calibri"/>
        </w:rPr>
      </w:pPr>
      <w:r>
        <w:rPr>
          <w:rFonts w:cs="Calibri"/>
        </w:rPr>
        <w:t>Les salariés seront informés mensuellement, par inscription sur leur bulletin de paie de leur droit en matière de repos compensateur de remplacement, identifié sous le vocable « RCR » figurant en bas de bulletin, avec indication :</w:t>
      </w:r>
    </w:p>
    <w:p>
      <w:pPr>
        <w:pStyle w:val="Paragraphedeliste"/>
        <w:numPr>
          <w:ilvl w:val="0"/>
          <w:numId w:val="3"/>
        </w:numPr>
        <w:spacing w:lineRule="auto" w:line="276" w:before="0" w:after="0"/>
        <w:ind w:left="1843" w:hanging="360"/>
        <w:contextualSpacing/>
        <w:jc w:val="both"/>
        <w:rPr>
          <w:rFonts w:cs="Calibri"/>
        </w:rPr>
      </w:pPr>
      <w:r>
        <w:rPr>
          <w:rFonts w:cs="Calibri"/>
        </w:rPr>
        <w:t>Du solde d’heures de RCR restant au dernier jour du mois précédent ;</w:t>
      </w:r>
    </w:p>
    <w:p>
      <w:pPr>
        <w:pStyle w:val="Paragraphedeliste"/>
        <w:numPr>
          <w:ilvl w:val="0"/>
          <w:numId w:val="3"/>
        </w:numPr>
        <w:spacing w:lineRule="auto" w:line="276" w:before="0" w:after="0"/>
        <w:ind w:left="1843" w:hanging="360"/>
        <w:contextualSpacing/>
        <w:jc w:val="both"/>
        <w:rPr>
          <w:rFonts w:cs="Calibri"/>
        </w:rPr>
      </w:pPr>
      <w:r>
        <w:rPr>
          <w:rFonts w:cs="Calibri"/>
        </w:rPr>
        <w:t>Du nombre d’heures de RCR acquis au cours du mois ;</w:t>
      </w:r>
    </w:p>
    <w:p>
      <w:pPr>
        <w:pStyle w:val="Paragraphedeliste"/>
        <w:numPr>
          <w:ilvl w:val="0"/>
          <w:numId w:val="4"/>
        </w:numPr>
        <w:spacing w:lineRule="auto" w:line="276" w:before="0" w:after="0"/>
        <w:ind w:left="1843" w:hanging="360"/>
        <w:contextualSpacing/>
        <w:jc w:val="both"/>
        <w:rPr>
          <w:rFonts w:cs="Calibri"/>
        </w:rPr>
      </w:pPr>
      <w:r>
        <w:rPr>
          <w:rFonts w:cs="Calibri"/>
        </w:rPr>
        <w:t>Du nombre d’heures de RCR pris au cours du mois ;</w:t>
      </w:r>
    </w:p>
    <w:p>
      <w:pPr>
        <w:pStyle w:val="Paragraphedeliste"/>
        <w:numPr>
          <w:ilvl w:val="0"/>
          <w:numId w:val="4"/>
        </w:numPr>
        <w:spacing w:lineRule="auto" w:line="276" w:before="0" w:after="0"/>
        <w:ind w:left="1843" w:hanging="360"/>
        <w:contextualSpacing/>
        <w:jc w:val="both"/>
        <w:rPr>
          <w:rFonts w:cs="Calibri"/>
        </w:rPr>
      </w:pPr>
      <w:r>
        <w:rPr>
          <w:rFonts w:cs="Calibri"/>
        </w:rPr>
        <w:t>Du solde d’heures de RCR restant à la fin du mois. </w:t>
      </w:r>
    </w:p>
    <w:p>
      <w:pPr>
        <w:pStyle w:val="Paragraphedeliste"/>
        <w:spacing w:lineRule="auto" w:line="276" w:before="0" w:after="0"/>
        <w:ind w:left="0" w:hanging="0"/>
        <w:contextualSpacing/>
        <w:jc w:val="both"/>
        <w:rPr>
          <w:rFonts w:cs="Calibri"/>
          <w:b/>
          <w:b/>
        </w:rPr>
      </w:pPr>
      <w:r>
        <w:rPr>
          <w:rFonts w:cs="Calibri"/>
          <w:b/>
          <w:color w:val="000000"/>
        </w:rPr>
        <w:t>Article 4.3_</w:t>
      </w:r>
      <w:r>
        <w:rPr>
          <w:rFonts w:cs="Calibri"/>
          <w:b/>
        </w:rPr>
        <w:t xml:space="preserve"> Les modalités de valorisation des temps retenus au titre de la prise du repos compensateur de remplacement </w:t>
      </w:r>
    </w:p>
    <w:p>
      <w:pPr>
        <w:pStyle w:val="Paragraphedeliste"/>
        <w:spacing w:lineRule="auto" w:line="276" w:before="0" w:after="0"/>
        <w:contextualSpacing/>
        <w:jc w:val="both"/>
        <w:rPr>
          <w:rFonts w:cs="Calibri"/>
          <w:b/>
          <w:b/>
          <w:bCs/>
        </w:rPr>
      </w:pPr>
      <w:r>
        <w:rPr>
          <w:rFonts w:cs="Calibri"/>
          <w:b/>
          <w:bCs/>
        </w:rPr>
      </w:r>
    </w:p>
    <w:p>
      <w:pPr>
        <w:pStyle w:val="Paragraphedeliste"/>
        <w:spacing w:lineRule="auto" w:line="276" w:before="0" w:after="0"/>
        <w:ind w:left="0" w:hanging="0"/>
        <w:contextualSpacing/>
        <w:jc w:val="both"/>
        <w:rPr>
          <w:rFonts w:cs="Calibri"/>
          <w:bCs/>
        </w:rPr>
      </w:pPr>
      <w:r>
        <w:rPr>
          <w:rFonts w:cs="Calibri"/>
          <w:bCs/>
        </w:rPr>
        <w:t>Au cours du mois de prise d’heures au titre du repos compensateur de remplacement, celles-ci seront prises en compte dans le calcul du temps global du mois selon la valorisation suivante :</w:t>
      </w:r>
    </w:p>
    <w:p>
      <w:pPr>
        <w:pStyle w:val="Paragraphedeliste"/>
        <w:numPr>
          <w:ilvl w:val="0"/>
          <w:numId w:val="4"/>
        </w:numPr>
        <w:spacing w:lineRule="auto" w:line="276" w:before="0" w:after="0"/>
        <w:contextualSpacing/>
        <w:jc w:val="both"/>
        <w:rPr>
          <w:rFonts w:cs="Calibri"/>
          <w:bCs/>
        </w:rPr>
      </w:pPr>
      <w:r>
        <w:rPr>
          <w:rFonts w:cs="Calibri"/>
          <w:bCs/>
        </w:rPr>
        <w:t>1 journée de RCR = 5.73H majorées à un taux à 50%, soit 8.60H,</w:t>
      </w:r>
    </w:p>
    <w:p>
      <w:pPr>
        <w:pStyle w:val="Paragraphedeliste"/>
        <w:numPr>
          <w:ilvl w:val="0"/>
          <w:numId w:val="4"/>
        </w:numPr>
        <w:spacing w:lineRule="auto" w:line="276" w:before="0" w:after="0"/>
        <w:contextualSpacing/>
        <w:jc w:val="both"/>
        <w:rPr>
          <w:rFonts w:cs="Calibri"/>
          <w:bCs/>
        </w:rPr>
      </w:pPr>
      <w:r>
        <w:rPr>
          <w:rFonts w:cs="Calibri"/>
          <w:bCs/>
        </w:rPr>
        <w:t>1 semaine de RCR = 28.65H majorées à un taux à 50%, soit 43H.</w:t>
      </w:r>
    </w:p>
    <w:p>
      <w:pPr>
        <w:pStyle w:val="Paragraphedeliste"/>
        <w:spacing w:lineRule="auto" w:line="276" w:before="0" w:after="0"/>
        <w:ind w:left="0" w:hanging="0"/>
        <w:contextualSpacing/>
        <w:jc w:val="both"/>
        <w:rPr>
          <w:rFonts w:cs="Calibri"/>
          <w:bCs/>
        </w:rPr>
      </w:pPr>
      <w:r>
        <w:rPr>
          <w:rFonts w:cs="Calibri"/>
          <w:bCs/>
        </w:rPr>
        <w:t>Cette valorisation sera retenue dans la limite d’un temps global effectif rémunéré sur le mois de 208 heures au maximum.</w:t>
      </w:r>
    </w:p>
    <w:p>
      <w:pPr>
        <w:pStyle w:val="Paragraphedeliste"/>
        <w:spacing w:lineRule="auto" w:line="276" w:before="0" w:after="0"/>
        <w:ind w:left="0" w:hanging="0"/>
        <w:contextualSpacing/>
        <w:jc w:val="both"/>
        <w:rPr>
          <w:rFonts w:cs="Calibri"/>
          <w:bCs/>
        </w:rPr>
      </w:pPr>
      <w:r>
        <w:rPr>
          <w:rFonts w:cs="Calibri"/>
          <w:bCs/>
        </w:rPr>
      </w:r>
    </w:p>
    <w:p>
      <w:pPr>
        <w:pStyle w:val="Paragraphedeliste"/>
        <w:spacing w:lineRule="auto" w:line="276" w:before="0" w:after="0"/>
        <w:ind w:left="0" w:hanging="0"/>
        <w:contextualSpacing/>
        <w:jc w:val="both"/>
        <w:rPr/>
      </w:pPr>
      <w:r>
        <w:rPr>
          <w:rFonts w:cs="Calibri"/>
          <w:b/>
          <w:color w:val="000000"/>
        </w:rPr>
        <w:t>Article 4.4_</w:t>
      </w:r>
      <w:r>
        <w:rPr>
          <w:rFonts w:cs="Calibri"/>
          <w:b/>
        </w:rPr>
        <w:t xml:space="preserve"> Les modalités de suivi de l’accord</w:t>
      </w:r>
    </w:p>
    <w:p>
      <w:pPr>
        <w:pStyle w:val="Paragraphedeliste"/>
        <w:spacing w:lineRule="auto" w:line="276" w:before="0" w:after="0"/>
        <w:ind w:left="0" w:hanging="0"/>
        <w:contextualSpacing/>
        <w:jc w:val="both"/>
        <w:rPr>
          <w:rFonts w:cs="Calibri"/>
          <w:b/>
          <w:b/>
          <w:color w:val="000000"/>
        </w:rPr>
      </w:pPr>
      <w:r>
        <w:rPr>
          <w:rFonts w:cs="Calibri"/>
          <w:b/>
          <w:color w:val="000000"/>
        </w:rPr>
      </w:r>
    </w:p>
    <w:p>
      <w:pPr>
        <w:pStyle w:val="Paragraphedeliste"/>
        <w:spacing w:lineRule="auto" w:line="276" w:before="0" w:after="0"/>
        <w:ind w:left="0" w:hanging="0"/>
        <w:contextualSpacing/>
        <w:jc w:val="both"/>
        <w:rPr/>
      </w:pPr>
      <w:r>
        <w:rPr>
          <w:rFonts w:cs="Calibri"/>
          <w:color w:val="000000"/>
        </w:rPr>
        <w:t xml:space="preserve">Une fois par an, lors de la présentation annuelle de la BDES, les indicateurs de suivi de l’accord seront présentés aux parties, à savoir : </w:t>
      </w:r>
    </w:p>
    <w:p>
      <w:pPr>
        <w:pStyle w:val="Paragraphedeliste"/>
        <w:numPr>
          <w:ilvl w:val="0"/>
          <w:numId w:val="5"/>
        </w:numPr>
        <w:spacing w:lineRule="auto" w:line="276" w:before="0" w:after="0"/>
        <w:contextualSpacing/>
        <w:jc w:val="both"/>
        <w:rPr>
          <w:rFonts w:cs="Calibri"/>
          <w:color w:val="000000"/>
        </w:rPr>
      </w:pPr>
      <w:r>
        <w:rPr>
          <w:rFonts w:cs="Calibri"/>
          <w:color w:val="000000"/>
        </w:rPr>
        <w:t>Le nombre d’heures de RCR acquises sur l’année civile ;</w:t>
      </w:r>
    </w:p>
    <w:p>
      <w:pPr>
        <w:pStyle w:val="Paragraphedeliste"/>
        <w:numPr>
          <w:ilvl w:val="0"/>
          <w:numId w:val="5"/>
        </w:numPr>
        <w:spacing w:lineRule="auto" w:line="276" w:before="0" w:after="0"/>
        <w:contextualSpacing/>
        <w:jc w:val="both"/>
        <w:rPr>
          <w:rFonts w:cs="Calibri"/>
          <w:color w:val="000000"/>
        </w:rPr>
      </w:pPr>
      <w:r>
        <w:rPr>
          <w:rFonts w:cs="Calibri"/>
          <w:color w:val="000000"/>
        </w:rPr>
        <w:t>Le nombre d’heures de RCR prises sur l’année civile ;</w:t>
      </w:r>
    </w:p>
    <w:p>
      <w:pPr>
        <w:pStyle w:val="Paragraphedeliste"/>
        <w:spacing w:lineRule="auto" w:line="276" w:before="0" w:after="0"/>
        <w:ind w:left="0" w:hanging="0"/>
        <w:contextualSpacing/>
        <w:jc w:val="both"/>
        <w:rPr>
          <w:rFonts w:cs="Calibri"/>
          <w:bCs/>
          <w:color w:val="000000"/>
        </w:rPr>
      </w:pPr>
      <w:r>
        <w:rPr>
          <w:rFonts w:cs="Calibri"/>
          <w:bCs/>
          <w:color w:val="000000"/>
        </w:rPr>
      </w:r>
    </w:p>
    <w:p>
      <w:pPr>
        <w:pStyle w:val="Normal"/>
        <w:spacing w:lineRule="auto" w:line="276"/>
        <w:jc w:val="both"/>
        <w:rPr>
          <w:rFonts w:ascii="Calibri" w:hAnsi="Calibri" w:cs="Calibri"/>
          <w:b/>
          <w:b/>
          <w:color w:val="000000"/>
          <w:sz w:val="22"/>
          <w:szCs w:val="22"/>
          <w:u w:val="single"/>
        </w:rPr>
      </w:pPr>
      <w:r>
        <w:rPr>
          <w:rFonts w:cs="Calibri" w:ascii="Calibri" w:hAnsi="Calibri"/>
          <w:b/>
          <w:color w:val="000000"/>
          <w:sz w:val="22"/>
          <w:szCs w:val="22"/>
          <w:u w:val="single"/>
        </w:rPr>
        <w:t xml:space="preserve">Article 5 - Entrée en vigueur, durée de l’accord </w:t>
      </w:r>
      <w:r>
        <w:rPr>
          <w:rFonts w:cs="Calibri" w:ascii="Calibri" w:hAnsi="Calibri"/>
          <w:b/>
          <w:sz w:val="22"/>
          <w:szCs w:val="22"/>
          <w:u w:val="single"/>
        </w:rPr>
        <w:t>et possibilités de renouvellement</w:t>
      </w:r>
    </w:p>
    <w:p>
      <w:pPr>
        <w:pStyle w:val="Normal"/>
        <w:spacing w:lineRule="auto" w:line="276"/>
        <w:jc w:val="both"/>
        <w:rPr>
          <w:rFonts w:ascii="Calibri" w:hAnsi="Calibri" w:cs="Calibri"/>
          <w:b/>
          <w:b/>
          <w:color w:val="000000"/>
          <w:sz w:val="22"/>
          <w:szCs w:val="22"/>
          <w:u w:val="single"/>
        </w:rPr>
      </w:pPr>
      <w:r>
        <w:rPr>
          <w:rFonts w:cs="Calibri" w:ascii="Calibri" w:hAnsi="Calibri"/>
          <w:b/>
          <w:color w:val="000000"/>
          <w:sz w:val="22"/>
          <w:szCs w:val="22"/>
          <w:u w:val="single"/>
        </w:rPr>
      </w:r>
    </w:p>
    <w:p>
      <w:pPr>
        <w:pStyle w:val="Normal"/>
        <w:spacing w:lineRule="auto" w:line="276"/>
        <w:jc w:val="both"/>
        <w:rPr>
          <w:rFonts w:ascii="Calibri" w:hAnsi="Calibri" w:cs="Calibri"/>
          <w:color w:val="000000"/>
          <w:sz w:val="22"/>
          <w:szCs w:val="22"/>
        </w:rPr>
      </w:pPr>
      <w:r>
        <w:rPr>
          <w:rFonts w:cs="Calibri" w:ascii="Calibri" w:hAnsi="Calibri"/>
          <w:color w:val="000000"/>
          <w:sz w:val="22"/>
          <w:szCs w:val="22"/>
        </w:rPr>
        <w:t>Le présent accord est conclu pour une période de trois ans. Il prendra effet le 1er janvier 2021.</w:t>
      </w:r>
    </w:p>
    <w:p>
      <w:pPr>
        <w:pStyle w:val="Normal"/>
        <w:spacing w:lineRule="auto" w:line="276"/>
        <w:jc w:val="both"/>
        <w:rPr>
          <w:rFonts w:ascii="Calibri" w:hAnsi="Calibri" w:cs="Calibri"/>
          <w:color w:val="000000"/>
          <w:sz w:val="22"/>
          <w:szCs w:val="22"/>
        </w:rPr>
      </w:pPr>
      <w:r>
        <w:rPr>
          <w:rFonts w:cs="Calibri" w:ascii="Calibri" w:hAnsi="Calibri"/>
          <w:color w:val="000000"/>
          <w:sz w:val="22"/>
          <w:szCs w:val="22"/>
        </w:rPr>
      </w:r>
    </w:p>
    <w:p>
      <w:pPr>
        <w:pStyle w:val="Paragraphedeliste"/>
        <w:spacing w:lineRule="auto" w:line="276"/>
        <w:ind w:left="0" w:hanging="0"/>
        <w:jc w:val="both"/>
        <w:rPr>
          <w:rFonts w:cs="Calibri"/>
          <w:bCs/>
        </w:rPr>
      </w:pPr>
      <w:r>
        <w:rPr>
          <w:rFonts w:cs="Calibri"/>
          <w:bCs/>
        </w:rPr>
        <w:t>Dans un délai de six mois précédent le terme de l’accord, les parties se réuniront en vue de l’étude d’un éventuel renouvellement de l'accord. A défaut de renouvellement, l'accord arrivé à expiration le 31 décembre 2023 cessera de produire ses effets, en application de l'article L 2222-4 du Code du travail.</w:t>
      </w:r>
    </w:p>
    <w:p>
      <w:pPr>
        <w:pStyle w:val="Paragraphedeliste"/>
        <w:spacing w:lineRule="auto" w:line="276"/>
        <w:ind w:left="0" w:hanging="0"/>
        <w:jc w:val="both"/>
        <w:rPr>
          <w:rFonts w:cs="Calibri"/>
          <w:bCs/>
        </w:rPr>
      </w:pPr>
      <w:r>
        <w:rPr>
          <w:rFonts w:cs="Calibri"/>
          <w:bCs/>
        </w:rPr>
      </w:r>
    </w:p>
    <w:p>
      <w:pPr>
        <w:pStyle w:val="Paragraphedeliste"/>
        <w:spacing w:lineRule="auto" w:line="276"/>
        <w:ind w:left="0" w:hanging="0"/>
        <w:jc w:val="both"/>
        <w:rPr>
          <w:rFonts w:cs="Calibri"/>
          <w:b/>
          <w:b/>
          <w:u w:val="single"/>
        </w:rPr>
      </w:pPr>
      <w:r>
        <w:rPr>
          <w:rFonts w:cs="Calibri"/>
          <w:b/>
          <w:u w:val="single"/>
        </w:rPr>
        <w:t>Article 6 - Révision de l’accord</w:t>
      </w:r>
    </w:p>
    <w:p>
      <w:pPr>
        <w:pStyle w:val="Normal"/>
        <w:widowControl/>
        <w:suppressAutoHyphens w:val="false"/>
        <w:autoSpaceDE w:val="false"/>
        <w:spacing w:lineRule="auto" w:line="276" w:before="240" w:after="0"/>
        <w:jc w:val="both"/>
        <w:rPr>
          <w:rFonts w:ascii="Calibri" w:hAnsi="Calibri" w:eastAsia="Calibri" w:cs="Calibri"/>
          <w:bCs/>
          <w:sz w:val="22"/>
          <w:szCs w:val="22"/>
          <w:lang w:eastAsia="en-US"/>
        </w:rPr>
      </w:pPr>
      <w:r>
        <w:rPr>
          <w:rFonts w:eastAsia="Calibri" w:cs="Calibri" w:ascii="Calibri" w:hAnsi="Calibri"/>
          <w:bCs/>
          <w:sz w:val="22"/>
          <w:szCs w:val="22"/>
          <w:lang w:eastAsia="en-US"/>
        </w:rPr>
        <w:t xml:space="preserve">Pendant sa durée d'application, le présent accord peut être révisé. Conformément à l'article L 2261-7-1 du Code du travail, sont habilitées à engager la procédure de révision du présent accord, par demande réalisée en lettre recommandée avec AR : </w:t>
      </w:r>
    </w:p>
    <w:p>
      <w:pPr>
        <w:pStyle w:val="Normal"/>
        <w:widowControl/>
        <w:numPr>
          <w:ilvl w:val="0"/>
          <w:numId w:val="2"/>
        </w:numPr>
        <w:suppressAutoHyphens w:val="false"/>
        <w:autoSpaceDE w:val="false"/>
        <w:spacing w:lineRule="auto" w:line="276"/>
        <w:ind w:left="709" w:hanging="513"/>
        <w:jc w:val="both"/>
        <w:rPr>
          <w:rFonts w:ascii="Calibri" w:hAnsi="Calibri" w:eastAsia="Calibri" w:cs="Calibri"/>
          <w:bCs/>
          <w:sz w:val="22"/>
          <w:szCs w:val="22"/>
          <w:lang w:eastAsia="en-US"/>
        </w:rPr>
      </w:pPr>
      <w:r>
        <w:rPr>
          <w:rFonts w:eastAsia="Calibri" w:cs="Calibri" w:ascii="Calibri" w:hAnsi="Calibri"/>
          <w:bCs/>
          <w:sz w:val="22"/>
          <w:szCs w:val="22"/>
          <w:lang w:eastAsia="en-US"/>
        </w:rPr>
        <w:t>Jusqu'à la fin du cycle électoral au cours duquel le présent accord a été conclu, une ou plusieurs organisations syndicales de salariés représentatives dans le champ d'application du présent accord, qu'elles soient signataires ou adhérentes de cet accord, ainsi que la direction de la société TRANSPORTS GELIN.</w:t>
      </w:r>
    </w:p>
    <w:p>
      <w:pPr>
        <w:pStyle w:val="Normal"/>
        <w:widowControl/>
        <w:numPr>
          <w:ilvl w:val="0"/>
          <w:numId w:val="2"/>
        </w:numPr>
        <w:suppressAutoHyphens w:val="false"/>
        <w:autoSpaceDE w:val="false"/>
        <w:spacing w:lineRule="auto" w:line="276"/>
        <w:ind w:left="709" w:hanging="513"/>
        <w:jc w:val="both"/>
        <w:rPr/>
      </w:pPr>
      <w:r>
        <w:rPr>
          <w:rFonts w:eastAsia="Calibri" w:cs="Calibri" w:ascii="Calibri" w:hAnsi="Calibri"/>
          <w:bCs/>
          <w:sz w:val="22"/>
          <w:szCs w:val="22"/>
          <w:lang w:eastAsia="en-US"/>
        </w:rPr>
        <w:t>A l'issue de cette période, une ou plusieurs organisations syndicales de salariés représentatives dans le champ d'application du présent accord, ainsi que la direction de la société TRANSPORTS GELIN.</w:t>
      </w:r>
    </w:p>
    <w:p>
      <w:pPr>
        <w:pStyle w:val="Paragraphedeliste"/>
        <w:spacing w:lineRule="auto" w:line="276"/>
        <w:ind w:left="0" w:hanging="0"/>
        <w:jc w:val="both"/>
        <w:rPr>
          <w:rFonts w:ascii="Calibri" w:hAnsi="Calibri" w:eastAsia="Calibri" w:cs="Calibri"/>
          <w:bCs/>
          <w:sz w:val="22"/>
          <w:szCs w:val="22"/>
          <w:lang w:eastAsia="en-US"/>
        </w:rPr>
      </w:pPr>
      <w:r>
        <w:rPr>
          <w:rFonts w:eastAsia="Calibri" w:cs="Calibri"/>
          <w:bCs/>
          <w:sz w:val="22"/>
          <w:szCs w:val="22"/>
          <w:lang w:eastAsia="en-US"/>
        </w:rPr>
      </w:r>
    </w:p>
    <w:p>
      <w:pPr>
        <w:pStyle w:val="Paragraphedeliste"/>
        <w:spacing w:lineRule="auto" w:line="276"/>
        <w:ind w:left="0" w:hanging="0"/>
        <w:jc w:val="both"/>
        <w:rPr>
          <w:rFonts w:cs="Calibri"/>
          <w:bCs/>
        </w:rPr>
      </w:pPr>
      <w:r>
        <w:rPr>
          <w:rFonts w:cs="Calibri"/>
          <w:bCs/>
        </w:rPr>
        <w:t>Les dispositions de l'avenant de révision se substitueront de plein droit à celles de l'accord qu'elles modifieront, soit à la date qui aura été expressément convenue soit, à défaut, à partir du lendemain de son dépôt.</w:t>
      </w:r>
    </w:p>
    <w:p>
      <w:pPr>
        <w:pStyle w:val="Normal"/>
        <w:spacing w:lineRule="auto" w:line="276"/>
        <w:jc w:val="both"/>
        <w:rPr>
          <w:rFonts w:ascii="Calibri" w:hAnsi="Calibri" w:cs="Calibri"/>
          <w:bCs/>
          <w:color w:val="000000"/>
          <w:sz w:val="22"/>
          <w:szCs w:val="22"/>
        </w:rPr>
      </w:pPr>
      <w:r>
        <w:rPr>
          <w:rFonts w:cs="Calibri" w:ascii="Calibri" w:hAnsi="Calibri"/>
          <w:bCs/>
          <w:color w:val="000000"/>
          <w:sz w:val="22"/>
          <w:szCs w:val="22"/>
        </w:rPr>
      </w:r>
    </w:p>
    <w:p>
      <w:pPr>
        <w:pStyle w:val="Normal"/>
        <w:spacing w:lineRule="auto" w:line="276"/>
        <w:jc w:val="both"/>
        <w:rPr>
          <w:rFonts w:ascii="Calibri" w:hAnsi="Calibri" w:cs="Calibri"/>
          <w:color w:val="000000"/>
          <w:sz w:val="22"/>
          <w:szCs w:val="22"/>
          <w:u w:val="single"/>
        </w:rPr>
      </w:pPr>
      <w:r>
        <w:rPr>
          <w:rFonts w:cs="Calibri" w:ascii="Calibri" w:hAnsi="Calibri"/>
          <w:b/>
          <w:color w:val="000000"/>
          <w:sz w:val="22"/>
          <w:szCs w:val="22"/>
          <w:u w:val="single"/>
        </w:rPr>
        <w:t>Article 7 – Notification et dépôt</w:t>
      </w:r>
    </w:p>
    <w:p>
      <w:pPr>
        <w:pStyle w:val="Normal"/>
        <w:spacing w:lineRule="auto" w:line="276"/>
        <w:jc w:val="both"/>
        <w:rPr>
          <w:rFonts w:ascii="Calibri" w:hAnsi="Calibri" w:cs="Calibri"/>
          <w:color w:val="000000"/>
          <w:sz w:val="22"/>
          <w:szCs w:val="22"/>
          <w:u w:val="single"/>
        </w:rPr>
      </w:pPr>
      <w:r>
        <w:rPr>
          <w:rFonts w:cs="Calibri" w:ascii="Calibri" w:hAnsi="Calibri"/>
          <w:color w:val="000000"/>
          <w:sz w:val="22"/>
          <w:szCs w:val="22"/>
          <w:u w:val="single"/>
        </w:rPr>
      </w:r>
    </w:p>
    <w:p>
      <w:pPr>
        <w:pStyle w:val="Paragraphedeliste"/>
        <w:spacing w:lineRule="auto" w:line="276"/>
        <w:ind w:left="0" w:hanging="0"/>
        <w:jc w:val="both"/>
        <w:rPr>
          <w:rFonts w:cs="Calibri"/>
          <w:bCs/>
        </w:rPr>
      </w:pPr>
      <w:r>
        <w:rPr>
          <w:rFonts w:cs="Calibri"/>
          <w:bCs/>
        </w:rPr>
        <w:t>Le présent accord sera notifié par la partie la plus diligente à chacune des organisations syndicales représentatives dans le périmètre de l'accord à l'issue de la procédure de signature.</w:t>
      </w:r>
    </w:p>
    <w:p>
      <w:pPr>
        <w:pStyle w:val="Paragraphedeliste"/>
        <w:spacing w:lineRule="auto" w:line="276"/>
        <w:ind w:left="0" w:hanging="0"/>
        <w:jc w:val="both"/>
        <w:rPr>
          <w:rFonts w:cs="Calibri"/>
          <w:bCs/>
        </w:rPr>
      </w:pPr>
      <w:r>
        <w:rPr>
          <w:rFonts w:cs="Calibri"/>
          <w:bCs/>
        </w:rPr>
        <w:t>Il sera ensuite déposé sur la plateforme de téléprocédure TéléAccords et remis au greffe du conseil de prud'hommes de Rennes (ille et Vilaine).</w:t>
      </w:r>
    </w:p>
    <w:p>
      <w:pPr>
        <w:pStyle w:val="Paragraphedeliste"/>
        <w:spacing w:lineRule="auto" w:line="276"/>
        <w:ind w:left="0" w:hanging="0"/>
        <w:jc w:val="both"/>
        <w:rPr>
          <w:rFonts w:cs="Calibri"/>
          <w:bCs/>
        </w:rPr>
      </w:pPr>
      <w:r>
        <w:rPr>
          <w:rFonts w:cs="Calibri"/>
          <w:bCs/>
        </w:rPr>
      </w:r>
    </w:p>
    <w:p>
      <w:pPr>
        <w:pStyle w:val="Paragraphedeliste"/>
        <w:spacing w:lineRule="auto" w:line="276"/>
        <w:ind w:left="0" w:hanging="0"/>
        <w:jc w:val="both"/>
        <w:rPr>
          <w:rFonts w:cs="Calibri"/>
          <w:bCs/>
        </w:rPr>
      </w:pPr>
      <w:r>
        <w:rPr>
          <w:rFonts w:cs="Calibri"/>
          <w:bCs/>
        </w:rPr>
        <w:t>Le dépôt comprendra notamment une version en docx (Word) expurgée des noms des personnes physiques, en vue du versement dans la base de données numérique nationale accessible au public en application de l’article 16 de la loi n° 2016-1088 du 8 août 2016 relative au travail, à la modernisation du dialogue social et à la sécurisation des parcours professionnels et du décret n° 2017-752 du 3 mai 2017 relatif à la publicité des accords collectifs applicables aux accords collectifs conclus depuis le 1er septembre 2017.</w:t>
      </w:r>
    </w:p>
    <w:p>
      <w:pPr>
        <w:pStyle w:val="Paragraphedeliste"/>
        <w:spacing w:lineRule="auto" w:line="276"/>
        <w:ind w:left="0" w:hanging="0"/>
        <w:jc w:val="both"/>
        <w:rPr>
          <w:rFonts w:cs="Calibri"/>
          <w:bCs/>
        </w:rPr>
      </w:pPr>
      <w:r>
        <w:rPr>
          <w:rFonts w:cs="Calibri"/>
          <w:bCs/>
        </w:rPr>
      </w:r>
    </w:p>
    <w:p>
      <w:pPr>
        <w:pStyle w:val="Paragraphedeliste"/>
        <w:spacing w:lineRule="auto" w:line="276"/>
        <w:ind w:left="0" w:hanging="0"/>
        <w:jc w:val="both"/>
        <w:rPr>
          <w:rFonts w:cs="Calibri"/>
          <w:bCs/>
        </w:rPr>
      </w:pPr>
      <w:r>
        <w:rPr>
          <w:rFonts w:cs="Calibri"/>
          <w:bCs/>
        </w:rPr>
        <w:t>Il est précisé à cet égard que les parties au présent accord n’ont pas souhaité, en vue de la publication dans la base de données susvisée, occulter d’autres dispositions que les noms des personnes physiques.</w:t>
      </w:r>
    </w:p>
    <w:p>
      <w:pPr>
        <w:pStyle w:val="Normal"/>
        <w:widowControl/>
        <w:suppressAutoHyphens w:val="false"/>
        <w:spacing w:lineRule="auto" w:line="276"/>
        <w:jc w:val="both"/>
        <w:rPr>
          <w:rFonts w:ascii="Calibri" w:hAnsi="Calibri" w:eastAsia="Times New Roman" w:cs="Calibri"/>
          <w:sz w:val="22"/>
          <w:szCs w:val="22"/>
          <w:lang w:eastAsia="zh-CN"/>
        </w:rPr>
      </w:pPr>
      <w:bookmarkStart w:id="0" w:name="_Hlk53237383"/>
      <w:bookmarkEnd w:id="0"/>
      <w:r>
        <w:rPr>
          <w:rFonts w:eastAsia="Times New Roman" w:cs="Calibri" w:ascii="Calibri" w:hAnsi="Calibri"/>
          <w:sz w:val="22"/>
          <w:szCs w:val="22"/>
          <w:lang w:eastAsia="zh-CN"/>
        </w:rPr>
        <w:t>Le présent accord fera l’objet d’une information de sa conclusion à l’affichage, sur les panneaux prévus à cet effet, précisant qu’un exemplaire est tenu à la disposition permanente des salariés pour consultation.</w:t>
      </w:r>
    </w:p>
    <w:p>
      <w:pPr>
        <w:pStyle w:val="Normal"/>
        <w:jc w:val="both"/>
        <w:rPr>
          <w:rFonts w:ascii="Calibri" w:hAnsi="Calibri" w:eastAsia="Times New Roman" w:cs="Calibri"/>
          <w:color w:val="000000"/>
          <w:sz w:val="22"/>
          <w:szCs w:val="24"/>
          <w:lang w:eastAsia="zh-CN"/>
        </w:rPr>
      </w:pPr>
      <w:bookmarkStart w:id="1" w:name="_Hlk53237383"/>
      <w:bookmarkStart w:id="2" w:name="_Hlk53237383"/>
      <w:bookmarkEnd w:id="2"/>
      <w:r>
        <w:rPr>
          <w:rFonts w:eastAsia="Times New Roman" w:cs="Calibri" w:ascii="Calibri" w:hAnsi="Calibri"/>
          <w:color w:val="000000"/>
          <w:sz w:val="22"/>
          <w:szCs w:val="24"/>
          <w:lang w:eastAsia="zh-CN"/>
        </w:rPr>
      </w:r>
    </w:p>
    <w:p>
      <w:pPr>
        <w:pStyle w:val="Normal"/>
        <w:spacing w:lineRule="auto" w:line="276"/>
        <w:jc w:val="both"/>
        <w:rPr>
          <w:rFonts w:ascii="Calibri" w:hAnsi="Calibri" w:cs="Calibri"/>
          <w:color w:val="000000"/>
          <w:sz w:val="22"/>
          <w:szCs w:val="22"/>
        </w:rPr>
      </w:pPr>
      <w:r>
        <w:rPr>
          <w:rFonts w:cs="Calibri" w:ascii="Calibri" w:hAnsi="Calibri"/>
          <w:color w:val="000000"/>
          <w:sz w:val="22"/>
          <w:szCs w:val="22"/>
        </w:rPr>
        <w:t xml:space="preserve">Fait à Fougères le 26 octobre 2020   </w:t>
      </w:r>
    </w:p>
    <w:p>
      <w:pPr>
        <w:pStyle w:val="Normal"/>
        <w:spacing w:lineRule="auto" w:line="276"/>
        <w:jc w:val="both"/>
        <w:rPr>
          <w:rFonts w:ascii="Calibri" w:hAnsi="Calibri" w:cs="Calibri"/>
          <w:sz w:val="22"/>
          <w:szCs w:val="22"/>
        </w:rPr>
      </w:pPr>
      <w:r>
        <w:rPr>
          <w:rFonts w:cs="Calibri" w:ascii="Calibri" w:hAnsi="Calibri"/>
          <w:color w:val="000000"/>
          <w:sz w:val="22"/>
          <w:szCs w:val="22"/>
        </w:rPr>
        <w:t>En 4 exemplaires originaux,</w:t>
      </w:r>
    </w:p>
    <w:p>
      <w:pPr>
        <w:pStyle w:val="Paragraphedeliste"/>
        <w:spacing w:lineRule="auto" w:line="276" w:before="0" w:after="0"/>
        <w:ind w:left="0" w:hanging="0"/>
        <w:contextualSpacing/>
        <w:jc w:val="both"/>
        <w:rPr>
          <w:rFonts w:ascii="Calibri" w:hAnsi="Calibri" w:cs="Calibri"/>
          <w:bCs/>
          <w:sz w:val="22"/>
          <w:szCs w:val="22"/>
        </w:rPr>
      </w:pPr>
      <w:r>
        <w:rPr>
          <w:rFonts w:cs="Calibri"/>
          <w:bCs/>
          <w:sz w:val="22"/>
          <w:szCs w:val="22"/>
        </w:rPr>
      </w:r>
    </w:p>
    <w:p>
      <w:pPr>
        <w:pStyle w:val="Normal"/>
        <w:spacing w:lineRule="auto" w:line="276"/>
        <w:jc w:val="both"/>
        <w:rPr>
          <w:rFonts w:ascii="Calibri" w:hAnsi="Calibri" w:cs="Calibri"/>
          <w:bCs/>
          <w:color w:val="000000"/>
          <w:sz w:val="22"/>
          <w:szCs w:val="22"/>
        </w:rPr>
      </w:pPr>
      <w:r>
        <w:rPr>
          <w:rFonts w:cs="Calibri" w:ascii="Calibri" w:hAnsi="Calibri"/>
          <w:bCs/>
          <w:color w:val="000000"/>
          <w:sz w:val="22"/>
          <w:szCs w:val="22"/>
        </w:rPr>
      </w:r>
    </w:p>
    <w:p>
      <w:pPr>
        <w:pStyle w:val="Normal"/>
        <w:spacing w:lineRule="auto" w:line="276"/>
        <w:jc w:val="both"/>
        <w:rPr>
          <w:rFonts w:ascii="Calibri" w:hAnsi="Calibri" w:cs="Calibri"/>
          <w:color w:val="000000"/>
          <w:sz w:val="22"/>
          <w:szCs w:val="22"/>
        </w:rPr>
      </w:pPr>
      <w:r>
        <w:rPr>
          <w:rFonts w:cs="Calibri" w:ascii="Calibri" w:hAnsi="Calibri"/>
          <w:color w:val="000000"/>
          <w:sz w:val="22"/>
          <w:szCs w:val="22"/>
        </w:rPr>
      </w:r>
    </w:p>
    <w:p>
      <w:pPr>
        <w:pStyle w:val="Normal"/>
        <w:spacing w:lineRule="auto" w:line="276"/>
        <w:jc w:val="both"/>
        <w:rPr>
          <w:rFonts w:ascii="Calibri" w:hAnsi="Calibri" w:cs="Calibri"/>
          <w:sz w:val="22"/>
          <w:szCs w:val="22"/>
        </w:rPr>
      </w:pPr>
      <w:r>
        <w:rPr>
          <w:rFonts w:cs="Calibri" w:ascii="Calibri" w:hAnsi="Calibri"/>
          <w:sz w:val="22"/>
          <w:szCs w:val="22"/>
        </w:rPr>
        <w:t>Pour la Société</w:t>
        <w:tab/>
        <w:tab/>
        <w:tab/>
        <w:tab/>
        <w:tab/>
        <w:t>Pour l’organisation syndicale C.F.D.T.</w:t>
      </w:r>
    </w:p>
    <w:p>
      <w:pPr>
        <w:pStyle w:val="Normal"/>
        <w:spacing w:lineRule="auto" w:line="276"/>
        <w:jc w:val="both"/>
        <w:rPr>
          <w:rFonts w:ascii="Calibri" w:hAnsi="Calibri" w:cs="Calibri"/>
          <w:sz w:val="22"/>
          <w:szCs w:val="22"/>
        </w:rPr>
      </w:pPr>
      <w:r>
        <w:rPr>
          <w:rFonts w:cs="Calibri" w:ascii="Calibri" w:hAnsi="Calibri"/>
          <w:color w:val="000000"/>
          <w:sz w:val="22"/>
          <w:szCs w:val="22"/>
        </w:rPr>
        <w:t>…………………</w:t>
      </w:r>
      <w:r>
        <w:rPr>
          <w:rFonts w:cs="Calibri" w:ascii="Calibri" w:hAnsi="Calibri"/>
          <w:sz w:val="22"/>
          <w:szCs w:val="22"/>
        </w:rPr>
        <w:tab/>
        <w:tab/>
        <w:tab/>
        <w:tab/>
        <w:tab/>
      </w:r>
      <w:r>
        <w:rPr>
          <w:rFonts w:cs="Calibri" w:ascii="Calibri" w:hAnsi="Calibri"/>
          <w:color w:val="000000"/>
          <w:sz w:val="22"/>
          <w:szCs w:val="22"/>
        </w:rPr>
        <w:t>…………………</w:t>
      </w:r>
    </w:p>
    <w:p>
      <w:pPr>
        <w:pStyle w:val="Normal"/>
        <w:spacing w:lineRule="auto" w:line="276"/>
        <w:jc w:val="both"/>
        <w:rPr>
          <w:rFonts w:ascii="Calibri" w:hAnsi="Calibri" w:cs="Calibri"/>
          <w:sz w:val="22"/>
          <w:szCs w:val="22"/>
        </w:rPr>
      </w:pPr>
      <w:r>
        <w:rPr>
          <w:rFonts w:cs="Calibri" w:ascii="Calibri" w:hAnsi="Calibri"/>
          <w:sz w:val="22"/>
          <w:szCs w:val="22"/>
        </w:rPr>
      </w:r>
    </w:p>
    <w:p>
      <w:pPr>
        <w:pStyle w:val="Normal"/>
        <w:spacing w:lineRule="auto" w:line="276"/>
        <w:jc w:val="both"/>
        <w:rPr>
          <w:rFonts w:ascii="Calibri" w:hAnsi="Calibri" w:cs="Calibri"/>
          <w:sz w:val="22"/>
          <w:szCs w:val="22"/>
        </w:rPr>
      </w:pPr>
      <w:r>
        <w:rPr>
          <w:rFonts w:cs="Calibri" w:ascii="Calibri" w:hAnsi="Calibri"/>
          <w:sz w:val="22"/>
          <w:szCs w:val="22"/>
        </w:rPr>
      </w:r>
    </w:p>
    <w:p>
      <w:pPr>
        <w:pStyle w:val="Normal"/>
        <w:spacing w:lineRule="auto" w:line="276"/>
        <w:jc w:val="both"/>
        <w:rPr>
          <w:rFonts w:ascii="Calibri" w:hAnsi="Calibri" w:cs="Calibri"/>
          <w:sz w:val="22"/>
          <w:szCs w:val="22"/>
        </w:rPr>
      </w:pPr>
      <w:r>
        <w:rPr>
          <w:rFonts w:cs="Calibri" w:ascii="Calibri" w:hAnsi="Calibri"/>
          <w:sz w:val="22"/>
          <w:szCs w:val="22"/>
        </w:rPr>
      </w:r>
    </w:p>
    <w:p>
      <w:pPr>
        <w:pStyle w:val="Normal"/>
        <w:spacing w:lineRule="auto" w:line="276"/>
        <w:jc w:val="both"/>
        <w:rPr>
          <w:rFonts w:ascii="Calibri" w:hAnsi="Calibri" w:cs="Calibri"/>
          <w:sz w:val="22"/>
          <w:szCs w:val="22"/>
        </w:rPr>
      </w:pPr>
      <w:r>
        <w:rPr>
          <w:rFonts w:cs="Calibri" w:ascii="Calibri" w:hAnsi="Calibri"/>
          <w:sz w:val="22"/>
          <w:szCs w:val="22"/>
        </w:rPr>
      </w:r>
    </w:p>
    <w:p>
      <w:pPr>
        <w:pStyle w:val="Normal"/>
        <w:spacing w:lineRule="auto" w:line="276"/>
        <w:jc w:val="both"/>
        <w:rPr>
          <w:rFonts w:ascii="Calibri" w:hAnsi="Calibri" w:cs="Calibri"/>
          <w:sz w:val="22"/>
          <w:szCs w:val="22"/>
        </w:rPr>
      </w:pPr>
      <w:r>
        <w:rPr>
          <w:rFonts w:cs="Calibri" w:ascii="Calibri" w:hAnsi="Calibri"/>
          <w:sz w:val="22"/>
          <w:szCs w:val="22"/>
        </w:rPr>
      </w:r>
    </w:p>
    <w:p>
      <w:pPr>
        <w:pStyle w:val="Normal"/>
        <w:spacing w:lineRule="auto" w:line="276"/>
        <w:jc w:val="both"/>
        <w:rPr>
          <w:rFonts w:ascii="Calibri" w:hAnsi="Calibri" w:cs="Calibri"/>
          <w:sz w:val="22"/>
          <w:szCs w:val="22"/>
        </w:rPr>
      </w:pPr>
      <w:r>
        <w:rPr>
          <w:rFonts w:cs="Calibri" w:ascii="Calibri" w:hAnsi="Calibri"/>
          <w:sz w:val="22"/>
          <w:szCs w:val="22"/>
        </w:rPr>
        <w:tab/>
        <w:tab/>
        <w:tab/>
        <w:tab/>
        <w:tab/>
        <w:tab/>
        <w:t>Pour l’organisation syndicale C.F.T.C.</w:t>
      </w:r>
    </w:p>
    <w:p>
      <w:pPr>
        <w:pStyle w:val="Normal"/>
        <w:spacing w:lineRule="auto" w:line="276"/>
        <w:jc w:val="both"/>
        <w:rPr>
          <w:rFonts w:ascii="Calibri" w:hAnsi="Calibri" w:cs="Calibri"/>
          <w:sz w:val="22"/>
          <w:szCs w:val="22"/>
        </w:rPr>
      </w:pPr>
      <w:r>
        <w:rPr>
          <w:rFonts w:cs="Calibri" w:ascii="Calibri" w:hAnsi="Calibri"/>
          <w:sz w:val="22"/>
          <w:szCs w:val="22"/>
        </w:rPr>
        <w:tab/>
        <w:tab/>
        <w:tab/>
        <w:tab/>
        <w:tab/>
        <w:tab/>
      </w:r>
      <w:r>
        <w:rPr>
          <w:rFonts w:cs="Calibri" w:ascii="Calibri" w:hAnsi="Calibri"/>
          <w:color w:val="000000"/>
          <w:sz w:val="22"/>
          <w:szCs w:val="22"/>
        </w:rPr>
        <w:t>…………………</w:t>
      </w:r>
    </w:p>
    <w:p>
      <w:pPr>
        <w:pStyle w:val="Normal"/>
        <w:spacing w:lineRule="auto" w:line="276"/>
        <w:jc w:val="both"/>
        <w:rPr>
          <w:rFonts w:ascii="Calibri" w:hAnsi="Calibri" w:cs="Calibri"/>
          <w:sz w:val="22"/>
          <w:szCs w:val="22"/>
        </w:rPr>
      </w:pPr>
      <w:r>
        <w:rPr>
          <w:rFonts w:cs="Calibri" w:ascii="Calibri" w:hAnsi="Calibri"/>
          <w:sz w:val="22"/>
          <w:szCs w:val="22"/>
        </w:rPr>
      </w:r>
    </w:p>
    <w:p>
      <w:pPr>
        <w:pStyle w:val="Normal"/>
        <w:jc w:val="both"/>
        <w:rPr>
          <w:rFonts w:ascii="Calibri" w:hAnsi="Calibri" w:cs="Calibri"/>
          <w:sz w:val="22"/>
          <w:szCs w:val="24"/>
        </w:rPr>
      </w:pPr>
      <w:r>
        <w:rPr>
          <w:rFonts w:cs="Calibri" w:ascii="Calibri" w:hAnsi="Calibri"/>
          <w:sz w:val="22"/>
          <w:szCs w:val="24"/>
        </w:rPr>
      </w:r>
    </w:p>
    <w:p>
      <w:pPr>
        <w:pStyle w:val="Normal"/>
        <w:jc w:val="both"/>
        <w:rPr>
          <w:rFonts w:ascii="Calibri" w:hAnsi="Calibri" w:cs="Calibri"/>
          <w:szCs w:val="24"/>
        </w:rPr>
      </w:pPr>
      <w:r>
        <w:rPr>
          <w:rFonts w:cs="Calibri" w:ascii="Calibri" w:hAnsi="Calibri"/>
          <w:szCs w:val="24"/>
        </w:rPr>
      </w:r>
    </w:p>
    <w:p>
      <w:pPr>
        <w:pStyle w:val="Normal"/>
        <w:jc w:val="both"/>
        <w:rPr>
          <w:rFonts w:ascii="Calibri" w:hAnsi="Calibri" w:cs="Calibri"/>
          <w:color w:val="000000"/>
          <w:szCs w:val="24"/>
        </w:rPr>
      </w:pPr>
      <w:r>
        <w:rPr>
          <w:rFonts w:cs="Calibri" w:ascii="Calibri" w:hAnsi="Calibri"/>
          <w:color w:val="000000"/>
          <w:szCs w:val="24"/>
        </w:rPr>
      </w:r>
    </w:p>
    <w:p>
      <w:pPr>
        <w:pStyle w:val="Normal"/>
        <w:jc w:val="both"/>
        <w:rPr>
          <w:rFonts w:ascii="Calibri" w:hAnsi="Calibri" w:cs="Calibri"/>
          <w:color w:val="000000"/>
          <w:szCs w:val="24"/>
        </w:rPr>
      </w:pPr>
      <w:r>
        <w:rPr>
          <w:rFonts w:cs="Calibri" w:ascii="Calibri" w:hAnsi="Calibri"/>
          <w:color w:val="000000"/>
          <w:szCs w:val="24"/>
        </w:rPr>
      </w:r>
    </w:p>
    <w:sectPr>
      <w:headerReference w:type="default" r:id="rId2"/>
      <w:footerReference w:type="default" r:id="rId3"/>
      <w:type w:val="nextPage"/>
      <w:pgSz w:w="11906" w:h="16838"/>
      <w:pgMar w:left="1134" w:right="991" w:header="708" w:top="1134" w:footer="708" w:bottom="1417"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Segoe U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color w:val="7F7F7F"/>
      </w:rPr>
    </w:pPr>
    <w:r>
      <w:rPr>
        <w:color w:val="7F7F7F"/>
      </w:rPr>
      <w:t>TRANSPORTS GELIN</w:t>
      <w:tab/>
      <w:tab/>
      <w:t xml:space="preserve">   Page </w:t>
    </w:r>
    <w:r>
      <w:rPr>
        <w:b/>
        <w:bCs/>
        <w:color w:val="7F7F7F"/>
        <w:szCs w:val="24"/>
      </w:rPr>
      <w:fldChar w:fldCharType="begin"/>
    </w:r>
    <w:r>
      <w:instrText> PAGE </w:instrText>
    </w:r>
    <w:r>
      <w:fldChar w:fldCharType="separate"/>
    </w:r>
    <w:r>
      <w:t>4</w:t>
    </w:r>
    <w:r>
      <w:fldChar w:fldCharType="end"/>
    </w:r>
    <w:r>
      <w:rPr>
        <w:color w:val="7F7F7F"/>
      </w:rPr>
      <w:t xml:space="preserve"> sur </w:t>
    </w:r>
    <w:r>
      <w:rPr>
        <w:b/>
        <w:bCs/>
        <w:color w:val="7F7F7F"/>
        <w:szCs w:val="24"/>
      </w:rPr>
      <w:fldChar w:fldCharType="begin"/>
    </w:r>
    <w:r>
      <w:instrText> NUMPAGES \* ARABIC </w:instrText>
    </w:r>
    <w:r>
      <w:fldChar w:fldCharType="separate"/>
    </w:r>
    <w:r>
      <w:t>4</w:t>
    </w:r>
    <w:r>
      <w:fldChar w:fldCharType="end"/>
    </w:r>
  </w:p>
  <w:p>
    <w:pPr>
      <w:pStyle w:val="Footer"/>
      <w:rPr>
        <w:color w:val="7F7F7F"/>
      </w:rPr>
    </w:pPr>
    <w:r>
      <w:rPr>
        <w:color w:val="7F7F7F"/>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rPr/>
    </w:lvl>
    <w:lvl w:ilvl="1">
      <w:start w:val="1"/>
      <w:pStyle w:val="Heading2"/>
      <w:numFmt w:val="none"/>
      <w:suff w:val="nothing"/>
      <w:lvlText w:val=""/>
      <w:lvlJc w:val="left"/>
      <w:pPr>
        <w:ind w:left="0" w:hanging="0"/>
      </w:pPr>
      <w:r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numFmt w:val="bullet"/>
      <w:lvlText w:val="-"/>
      <w:lvlJc w:val="left"/>
      <w:pPr>
        <w:ind w:left="1647" w:hanging="360"/>
      </w:pPr>
      <w:rPr>
        <w:rFonts w:ascii="Calibri" w:hAnsi="Calibri" w:cs="Calibri" w:hint="default"/>
        <w:sz w:val="22"/>
        <w:szCs w:val="22"/>
        <w:rFonts w:cs="Calibri"/>
        <w:lang w:eastAsia="en-US"/>
      </w:rPr>
    </w:lvl>
  </w:abstractNum>
  <w:abstractNum w:abstractNumId="3">
    <w:lvl w:ilvl="0">
      <w:numFmt w:val="bullet"/>
      <w:lvlText w:val="-"/>
      <w:lvlJc w:val="left"/>
      <w:pPr>
        <w:ind w:left="1778" w:hanging="360"/>
      </w:pPr>
      <w:rPr>
        <w:rFonts w:ascii="Calibri" w:hAnsi="Calibri" w:cs="Calibri" w:hint="default"/>
        <w:rFonts w:cs="Calibri"/>
      </w:rPr>
    </w:lvl>
  </w:abstractNum>
  <w:abstractNum w:abstractNumId="4">
    <w:lvl w:ilvl="0">
      <w:numFmt w:val="bullet"/>
      <w:lvlText w:val="-"/>
      <w:lvlJc w:val="left"/>
      <w:pPr>
        <w:ind w:left="2138" w:hanging="360"/>
      </w:pPr>
      <w:rPr>
        <w:rFonts w:ascii="Calibri" w:hAnsi="Calibri" w:cs="Calibri" w:hint="default"/>
        <w:rFonts w:cs="Calibri"/>
      </w:rPr>
    </w:lvl>
  </w:abstractNum>
  <w:abstractNum w:abstractNumId="5">
    <w:lvl w:ilvl="0">
      <w:numFmt w:val="bullet"/>
      <w:lvlText w:val="-"/>
      <w:lvlJc w:val="left"/>
      <w:pPr>
        <w:ind w:left="720" w:hanging="360"/>
      </w:pPr>
      <w:rPr>
        <w:rFonts w:ascii="Calibri" w:hAnsi="Calibri" w:cs="Calibri" w:hint="default"/>
        <w:rFonts w:cs="Calibri"/>
        <w:color w:val="00000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isplayBackgroundShape/>
  <w:defaultTabStop w:val="709"/>
  <w:autoHyphenation w:val="fals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val="false"/>
      <w:suppressAutoHyphens w:val="true"/>
      <w:bidi w:val="0"/>
    </w:pPr>
    <w:rPr>
      <w:rFonts w:ascii="Times" w:hAnsi="Times" w:eastAsia="Times" w:cs="Times"/>
      <w:color w:val="auto"/>
      <w:sz w:val="24"/>
      <w:szCs w:val="20"/>
      <w:lang w:val="fr-FR" w:bidi="ar-SA" w:eastAsia="zh-CN"/>
    </w:rPr>
  </w:style>
  <w:style w:type="paragraph" w:styleId="Heading1">
    <w:name w:val="Heading 1"/>
    <w:basedOn w:val="Normal"/>
    <w:next w:val="Normal"/>
    <w:qFormat/>
    <w:pPr>
      <w:keepNext w:val="true"/>
      <w:numPr>
        <w:ilvl w:val="0"/>
        <w:numId w:val="1"/>
      </w:numPr>
      <w:ind w:left="0" w:right="0" w:hanging="0"/>
      <w:outlineLvl w:val="0"/>
    </w:pPr>
    <w:rPr>
      <w:b/>
      <w:color w:val="000000"/>
    </w:rPr>
  </w:style>
  <w:style w:type="paragraph" w:styleId="Heading2">
    <w:name w:val="Heading 2"/>
    <w:basedOn w:val="Normal"/>
    <w:next w:val="Normal"/>
    <w:qFormat/>
    <w:pPr>
      <w:keepNext w:val="true"/>
      <w:numPr>
        <w:ilvl w:val="1"/>
        <w:numId w:val="1"/>
      </w:numPr>
      <w:ind w:left="0" w:right="0" w:hanging="0"/>
      <w:outlineLvl w:val="1"/>
    </w:pPr>
    <w:rPr>
      <w:b/>
      <w:i/>
      <w:color w:val="000000"/>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Calibri" w:hAnsi="Calibri"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Calibri" w:hAnsi="Calibri" w:eastAsia="Times New Roman" w:cs="Calibri"/>
      <w:sz w:val="22"/>
      <w:szCs w:val="22"/>
      <w:lang w:eastAsia="en-US"/>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Calibri" w:hAnsi="Calibri" w:eastAsia="Calibri" w:cs="Calibri"/>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Calibri" w:hAnsi="Calibri" w:eastAsia="Calibri" w:cs="Calibri"/>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rFonts w:ascii="Calibri" w:hAnsi="Calibri" w:eastAsia="Calibri" w:cs="Calibri"/>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Calibri" w:hAnsi="Calibri" w:eastAsia="Times New Roman" w:cs="Calibri"/>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Policepardfaut">
    <w:name w:val="Police par défaut"/>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WWAbsatzStandardschriftart11111">
    <w:name w:val="WW-Absatz-Standardschriftart11111"/>
    <w:qFormat/>
    <w:rPr/>
  </w:style>
  <w:style w:type="character" w:styleId="WWAbsatzStandardschriftart111111">
    <w:name w:val="WW-Absatz-Standardschriftart111111"/>
    <w:qFormat/>
    <w:rPr/>
  </w:style>
  <w:style w:type="character" w:styleId="Policepardfaut1">
    <w:name w:val="Police par défaut1"/>
    <w:qFormat/>
    <w:rPr/>
  </w:style>
  <w:style w:type="character" w:styleId="TextedebullesCar">
    <w:name w:val="Texte de bulles Car"/>
    <w:qFormat/>
    <w:rPr>
      <w:rFonts w:ascii="Segoe UI" w:hAnsi="Segoe UI" w:eastAsia="Times" w:cs="Segoe UI"/>
      <w:sz w:val="18"/>
      <w:szCs w:val="18"/>
    </w:rPr>
  </w:style>
  <w:style w:type="character" w:styleId="PieddepageCar">
    <w:name w:val="Pied de page Car"/>
    <w:qFormat/>
    <w:rPr>
      <w:rFonts w:ascii="Times" w:hAnsi="Times" w:eastAsia="Times" w:cs="Times"/>
      <w:sz w:val="24"/>
    </w:rPr>
  </w:style>
  <w:style w:type="character" w:styleId="Txt">
    <w:name w:val="txt"/>
    <w:basedOn w:val="Policepardfaut"/>
    <w:qFormat/>
    <w:rPr/>
  </w:style>
  <w:style w:type="paragraph" w:styleId="Heading">
    <w:name w:val="Heading"/>
    <w:basedOn w:val="Normal"/>
    <w:next w:val="Subtitle"/>
    <w:qFormat/>
    <w:pPr>
      <w:jc w:val="center"/>
    </w:pPr>
    <w:rPr>
      <w:b/>
      <w:color w:val="000000"/>
      <w:sz w:val="32"/>
    </w:rPr>
  </w:style>
  <w:style w:type="paragraph" w:styleId="TextBody">
    <w:name w:val="Body Text"/>
    <w:basedOn w:val="Normal"/>
    <w:pPr>
      <w:jc w:val="both"/>
    </w:pPr>
    <w:rPr>
      <w:color w:val="000000"/>
    </w:rPr>
  </w:style>
  <w:style w:type="paragraph" w:styleId="List">
    <w:name w:val="List"/>
    <w:basedOn w:val="TextBody"/>
    <w:pPr/>
    <w:rPr>
      <w:rFonts w:cs="Tahoma"/>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rFonts w:cs="Mangal"/>
    </w:rPr>
  </w:style>
  <w:style w:type="paragraph" w:styleId="Titre1">
    <w:name w:val="Titre1"/>
    <w:basedOn w:val="Normal"/>
    <w:next w:val="TextBody"/>
    <w:qFormat/>
    <w:pPr>
      <w:keepNext w:val="true"/>
      <w:spacing w:before="240" w:after="120"/>
    </w:pPr>
    <w:rPr>
      <w:rFonts w:ascii="Arial" w:hAnsi="Arial" w:eastAsia="MS Mincho;ＭＳ 明朝" w:cs="Tahoma"/>
      <w:sz w:val="28"/>
      <w:szCs w:val="28"/>
    </w:rPr>
  </w:style>
  <w:style w:type="paragraph" w:styleId="Lgende1">
    <w:name w:val="Légende1"/>
    <w:basedOn w:val="Normal"/>
    <w:qFormat/>
    <w:pPr>
      <w:suppressLineNumbers/>
      <w:spacing w:before="120" w:after="120"/>
    </w:pPr>
    <w:rPr>
      <w:rFonts w:cs="Tahoma"/>
      <w:i/>
      <w:iCs/>
      <w:sz w:val="24"/>
      <w:szCs w:val="24"/>
    </w:rPr>
  </w:style>
  <w:style w:type="paragraph" w:styleId="Rpertoire">
    <w:name w:val="Répertoire"/>
    <w:basedOn w:val="Normal"/>
    <w:qFormat/>
    <w:pPr>
      <w:suppressLineNumbers/>
    </w:pPr>
    <w:rPr>
      <w:rFonts w:cs="Tahoma"/>
    </w:rPr>
  </w:style>
  <w:style w:type="paragraph" w:styleId="Subtitle">
    <w:name w:val="Subtitle"/>
    <w:basedOn w:val="Normal"/>
    <w:next w:val="TextBody"/>
    <w:qFormat/>
    <w:pPr>
      <w:jc w:val="center"/>
    </w:pPr>
    <w:rPr>
      <w:b/>
      <w:color w:val="000000"/>
      <w:sz w:val="28"/>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Corpsdetexte21">
    <w:name w:val="Corps de texte 21"/>
    <w:basedOn w:val="Normal"/>
    <w:qFormat/>
    <w:pPr>
      <w:widowControl w:val="false"/>
      <w:tabs>
        <w:tab w:val="left" w:pos="640" w:leader="none"/>
        <w:tab w:val="left" w:pos="1360" w:leader="none"/>
        <w:tab w:val="left" w:pos="2080" w:leader="none"/>
        <w:tab w:val="left" w:pos="2800" w:leader="none"/>
        <w:tab w:val="left" w:pos="3520" w:leader="none"/>
        <w:tab w:val="left" w:pos="4240" w:leader="none"/>
        <w:tab w:val="left" w:pos="4960" w:leader="none"/>
        <w:tab w:val="left" w:pos="5680" w:leader="none"/>
        <w:tab w:val="left" w:pos="6400" w:leader="none"/>
        <w:tab w:val="left" w:pos="7120" w:leader="none"/>
        <w:tab w:val="left" w:pos="7840" w:leader="none"/>
        <w:tab w:val="left" w:pos="8560" w:leader="none"/>
        <w:tab w:val="left" w:pos="9280" w:leader="none"/>
        <w:tab w:val="left" w:pos="10000" w:leader="none"/>
        <w:tab w:val="left" w:pos="10720" w:leader="none"/>
        <w:tab w:val="left" w:pos="11440" w:leader="none"/>
      </w:tabs>
      <w:jc w:val="both"/>
    </w:pPr>
    <w:rPr/>
  </w:style>
  <w:style w:type="paragraph" w:styleId="Paragraphedeliste">
    <w:name w:val="Paragraphe de liste"/>
    <w:basedOn w:val="Normal"/>
    <w:qFormat/>
    <w:pPr>
      <w:widowControl/>
      <w:suppressAutoHyphens w:val="false"/>
      <w:spacing w:lineRule="auto" w:line="256" w:before="0" w:after="160"/>
      <w:ind w:left="720" w:hanging="0"/>
      <w:contextualSpacing/>
    </w:pPr>
    <w:rPr>
      <w:rFonts w:ascii="Calibri" w:hAnsi="Calibri" w:eastAsia="Calibri" w:cs="Times New Roman"/>
      <w:sz w:val="22"/>
      <w:szCs w:val="22"/>
    </w:rPr>
  </w:style>
  <w:style w:type="paragraph" w:styleId="Textedebulles">
    <w:name w:val="Texte de bulles"/>
    <w:basedOn w:val="Normal"/>
    <w:qFormat/>
    <w:pPr/>
    <w:rPr>
      <w:rFonts w:ascii="Segoe UI" w:hAnsi="Segoe UI" w:cs="Segoe UI"/>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2020-11-06T17:45:00Z</dcterms:created>
  <dc:creator/>
  <dc:description/>
  <dc:language>en-GB</dc:language>
  <cp:lastModifiedBy/>
  <cp:lastPrinted>2020-10-26T11:53:00Z</cp:lastPrinted>
  <dcterms:modified xsi:type="dcterms:W3CDTF">2020-11-06T17:49:00Z</dcterms:modified>
  <cp:revision>5</cp:revision>
  <dc:subject/>
  <dc:title>ACCORD D’ENTREPRISE</dc:title>
</cp:coreProperties>
</file>