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numbering.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2.png" ContentType="image/png"/>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ElApp"/>
        <w:jc w:val="both"/>
        <w:rPr>
          <w:sz w:val="20"/>
          <w:szCs w:val="20"/>
          <w:lang w:val="en-GB" w:eastAsia="en-GB" w:bidi="en-GB"/>
        </w:rPr>
      </w:pPr>
      <w:r>
        <w:rPr>
          <w:sz w:val="20"/>
          <w:szCs w:val="20"/>
          <w:lang w:val="en-GB" w:eastAsia="en-GB" w:bidi="en-GB"/>
        </w:rPr>
      </w:r>
    </w:p>
    <w:tbl>
      <w:tblPr>
        <w:tblW w:w="9983" w:type="dxa"/>
        <w:jc w:val="left"/>
        <w:tblInd w:w="-60" w:type="dxa"/>
        <w:tblBorders/>
        <w:tblCellMar>
          <w:top w:w="0" w:type="dxa"/>
          <w:left w:w="0" w:type="dxa"/>
          <w:bottom w:w="0" w:type="dxa"/>
          <w:right w:w="0" w:type="dxa"/>
        </w:tblCellMar>
      </w:tblPr>
      <w:tblGrid>
        <w:gridCol w:w="832"/>
        <w:gridCol w:w="297"/>
        <w:gridCol w:w="8854"/>
      </w:tblGrid>
      <w:tr>
        <w:trPr>
          <w:trHeight w:val="1200" w:hRule="atLeast"/>
        </w:trPr>
        <w:tc>
          <w:tcPr>
            <w:tcW w:w="832" w:type="dxa"/>
            <w:tcBorders/>
            <w:shd w:fill="ED171F" w:val="clear"/>
            <w:vAlign w:val="center"/>
          </w:tcPr>
          <w:p>
            <w:pPr>
              <w:pStyle w:val="Normal"/>
              <w:snapToGrid w:val="false"/>
              <w:jc w:val="center"/>
              <w:rPr>
                <w:rFonts w:ascii="Arial" w:hAnsi="Arial" w:eastAsia="Arial" w:cs="Arial"/>
                <w:color w:val="000000"/>
                <w:sz w:val="28"/>
                <w:szCs w:val="28"/>
                <w:lang w:val="en-GB" w:eastAsia="en-GB" w:bidi="en-GB"/>
              </w:rPr>
            </w:pPr>
            <w:r>
              <w:rPr>
                <w:rFonts w:eastAsia="Arial" w:cs="Arial" w:ascii="Arial" w:hAnsi="Arial"/>
                <w:color w:val="000000"/>
                <w:sz w:val="28"/>
                <w:szCs w:val="28"/>
                <w:lang w:val="en-GB" w:eastAsia="en-GB" w:bidi="en-GB"/>
              </w:rPr>
            </w:r>
          </w:p>
        </w:tc>
        <w:tc>
          <w:tcPr>
            <w:tcW w:w="297" w:type="dxa"/>
            <w:tcBorders/>
            <w:shd w:fill="EFEFF7" w:val="clear"/>
            <w:vAlign w:val="center"/>
          </w:tcPr>
          <w:p>
            <w:pPr>
              <w:pStyle w:val="Normal"/>
              <w:snapToGrid w:val="false"/>
              <w:jc w:val="center"/>
              <w:rPr>
                <w:rFonts w:ascii="Arial" w:hAnsi="Arial" w:eastAsia="Arial" w:cs="Arial"/>
                <w:color w:val="000000"/>
                <w:sz w:val="28"/>
                <w:szCs w:val="28"/>
                <w:lang w:val="en-GB" w:eastAsia="en-GB" w:bidi="en-GB"/>
              </w:rPr>
            </w:pPr>
            <w:r>
              <w:rPr>
                <w:rFonts w:eastAsia="Arial" w:cs="Arial" w:ascii="Arial" w:hAnsi="Arial"/>
                <w:color w:val="000000"/>
                <w:sz w:val="28"/>
                <w:szCs w:val="28"/>
                <w:lang w:val="en-GB" w:eastAsia="en-GB" w:bidi="en-GB"/>
              </w:rPr>
            </w:r>
          </w:p>
        </w:tc>
        <w:tc>
          <w:tcPr>
            <w:tcW w:w="8854" w:type="dxa"/>
            <w:tcBorders/>
            <w:shd w:fill="auto" w:val="clear"/>
            <w:vAlign w:val="center"/>
          </w:tcPr>
          <w:p>
            <w:pPr>
              <w:pStyle w:val="Normal"/>
              <w:jc w:val="center"/>
              <w:rPr>
                <w:rStyle w:val="ElApptexteDP02"/>
                <w:rFonts w:ascii="Arial" w:hAnsi="Arial" w:eastAsia="Arial" w:cs="Arial"/>
                <w:sz w:val="32"/>
                <w:szCs w:val="32"/>
                <w:lang w:val="en-GB" w:eastAsia="en-GB" w:bidi="en-GB"/>
              </w:rPr>
            </w:pPr>
            <w:r>
              <w:rPr>
                <w:rStyle w:val="ElApptexteDP02"/>
                <w:rFonts w:eastAsia="Arial" w:cs="Arial" w:ascii="Arial" w:hAnsi="Arial"/>
                <w:sz w:val="32"/>
                <w:szCs w:val="32"/>
                <w:lang w:val="en-GB" w:eastAsia="en-GB" w:bidi="en-GB"/>
              </w:rPr>
              <w:t>Accord collectif sur le contingent des heures supplémentaires</w:t>
            </w:r>
          </w:p>
          <w:p>
            <w:pPr>
              <w:pStyle w:val="Normal"/>
              <w:jc w:val="center"/>
              <w:rPr>
                <w:rFonts w:ascii="Arial" w:hAnsi="Arial" w:eastAsia="Arial" w:cs="Arial"/>
                <w:color w:val="000000"/>
                <w:sz w:val="32"/>
                <w:szCs w:val="32"/>
                <w:lang w:val="en-GB" w:eastAsia="en-GB" w:bidi="en-GB"/>
              </w:rPr>
            </w:pPr>
            <w:r>
              <w:rPr>
                <w:rFonts w:eastAsia="Arial" w:cs="Arial" w:ascii="Arial" w:hAnsi="Arial"/>
                <w:color w:val="000000"/>
                <w:sz w:val="32"/>
                <w:szCs w:val="32"/>
                <w:lang w:val="en-GB" w:eastAsia="en-GB" w:bidi="en-GB"/>
              </w:rPr>
              <mc:AlternateContent>
                <mc:Choice Requires="wps">
                  <w:drawing>
                    <wp:inline distT="0" distB="0" distL="0" distR="0">
                      <wp:extent cx="6122035" cy="64135"/>
                      <wp:effectExtent l="0" t="0" r="0" b="0"/>
                      <wp:docPr id="1" name=""/>
                      <a:graphic xmlns:a="http://schemas.openxmlformats.org/drawingml/2006/main">
                        <a:graphicData uri="http://schemas.microsoft.com/office/word/2010/wordprocessingShape">
                          <wps:wsp>
                            <wps:cNvSpPr/>
                            <wps:spPr>
                              <a:xfrm>
                                <a:off x="0" y="0"/>
                                <a:ext cx="6121440" cy="63360"/>
                              </a:xfrm>
                              <a:prstGeom prst="rect">
                                <a:avLst/>
                              </a:prstGeom>
                              <a:solidFill>
                                <a:srgbClr val="002060"/>
                              </a:solidFill>
                              <a:ln>
                                <a:noFill/>
                              </a:ln>
                            </wps:spPr>
                            <wps:style>
                              <a:lnRef idx="0"/>
                              <a:fillRef idx="0"/>
                              <a:effectRef idx="0"/>
                              <a:fontRef idx="minor"/>
                            </wps:style>
                            <wps:bodyPr/>
                          </wps:wsp>
                        </a:graphicData>
                      </a:graphic>
                    </wp:inline>
                  </w:drawing>
                </mc:Choice>
                <mc:Fallback>
                  <w:pict>
                    <v:rect id="shape_0" fillcolor="#002060" stroked="f" style="position:absolute;margin-left:0pt;margin-top:-5.05pt;width:481.95pt;height:4.95pt;mso-position-vertical:top">
                      <w10:wrap type="none"/>
                      <v:fill o:detectmouseclick="t" type="solid" color2="#ffdf9f"/>
                      <v:stroke color="#3465a4" joinstyle="round" endcap="flat"/>
                    </v:rect>
                  </w:pict>
                </mc:Fallback>
              </mc:AlternateContent>
            </w:r>
          </w:p>
        </w:tc>
      </w:tr>
    </w:tbl>
    <w:p>
      <w:pPr>
        <w:pStyle w:val="Normal"/>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br/>
        <w:br/>
      </w:r>
      <w:r>
        <w:rPr>
          <w:rFonts w:eastAsia="Arial" w:cs="Arial" w:ascii="Arial" w:hAnsi="Arial"/>
          <w:b/>
          <w:bCs/>
          <w:i/>
          <w:iCs/>
          <w:sz w:val="20"/>
          <w:szCs w:val="20"/>
          <w:lang w:val="en-GB" w:eastAsia="en-GB" w:bidi="en-GB"/>
        </w:rPr>
        <w:t>Entre les soussignés,</w:t>
      </w:r>
    </w:p>
    <w:p>
      <w:pPr>
        <w:pStyle w:val="ElAppp"/>
        <w:spacing w:before="75" w:after="75"/>
        <w:ind w:left="15" w:right="15" w:hanging="0"/>
        <w:jc w:val="both"/>
        <w:rPr>
          <w:sz w:val="20"/>
          <w:szCs w:val="20"/>
          <w:lang w:val="en-GB" w:eastAsia="en-GB" w:bidi="en-GB"/>
        </w:rPr>
      </w:pPr>
      <w:r>
        <w:rPr>
          <w:sz w:val="20"/>
          <w:szCs w:val="20"/>
          <w:lang w:val="en-GB" w:eastAsia="en-GB" w:bidi="en-GB"/>
        </w:rPr>
        <w:t xml:space="preserve">CARRIER IN, adresse, 4 rue de la Garenne – 44700 ORVAULT, numéro de siret 50813226300064 et le 00056 ainsi que tous les établissements. Représenté par monsieur ///////////, président. </w:t>
      </w:r>
    </w:p>
    <w:p>
      <w:pPr>
        <w:pStyle w:val="ElAppp"/>
        <w:spacing w:before="75" w:after="75"/>
        <w:ind w:left="15" w:right="15" w:hanging="0"/>
        <w:jc w:val="both"/>
        <w:rPr>
          <w:sz w:val="20"/>
          <w:szCs w:val="20"/>
          <w:lang w:val="en-GB" w:eastAsia="en-GB" w:bidi="en-GB"/>
        </w:rPr>
      </w:pPr>
      <w:r>
        <w:rPr>
          <w:sz w:val="20"/>
          <w:szCs w:val="20"/>
          <w:lang w:val="en-GB" w:eastAsia="en-GB" w:bidi="en-GB"/>
        </w:rPr>
        <w:t>d'une part,</w:t>
      </w:r>
    </w:p>
    <w:p>
      <w:pPr>
        <w:pStyle w:val="ElAppp"/>
        <w:spacing w:before="75" w:after="75"/>
        <w:ind w:left="15" w:right="15" w:hanging="0"/>
        <w:jc w:val="both"/>
        <w:rPr>
          <w:sz w:val="20"/>
          <w:szCs w:val="20"/>
          <w:lang w:val="en-GB" w:eastAsia="en-GB" w:bidi="en-GB"/>
        </w:rPr>
      </w:pPr>
      <w:r>
        <w:rPr>
          <w:sz w:val="20"/>
          <w:szCs w:val="20"/>
          <w:lang w:val="en-GB" w:eastAsia="en-GB" w:bidi="en-GB"/>
        </w:rPr>
      </w:r>
    </w:p>
    <w:p>
      <w:pPr>
        <w:pStyle w:val="Normal"/>
        <w:jc w:val="both"/>
        <w:rPr>
          <w:rFonts w:ascii="Arial" w:hAnsi="Arial" w:eastAsia="Arial" w:cs="Arial"/>
          <w:b/>
          <w:b/>
          <w:bCs/>
          <w:i/>
          <w:i/>
          <w:iCs/>
          <w:sz w:val="20"/>
          <w:szCs w:val="20"/>
          <w:lang w:val="en-GB" w:eastAsia="en-GB" w:bidi="en-GB"/>
        </w:rPr>
      </w:pPr>
      <w:r>
        <w:rPr>
          <w:rFonts w:eastAsia="Arial" w:cs="Arial" w:ascii="Arial" w:hAnsi="Arial"/>
          <w:b/>
          <w:bCs/>
          <w:i/>
          <w:iCs/>
          <w:sz w:val="20"/>
          <w:szCs w:val="20"/>
          <w:lang w:val="en-GB" w:eastAsia="en-GB" w:bidi="en-GB"/>
        </w:rPr>
        <w:t>Et</w:t>
      </w:r>
    </w:p>
    <w:p>
      <w:pPr>
        <w:pStyle w:val="ElAppp"/>
        <w:spacing w:before="75" w:after="75"/>
        <w:ind w:left="15" w:right="15" w:hanging="0"/>
        <w:jc w:val="both"/>
        <w:rPr>
          <w:sz w:val="20"/>
          <w:szCs w:val="20"/>
          <w:lang w:val="en-GB" w:eastAsia="en-GB" w:bidi="en-GB"/>
        </w:rPr>
      </w:pPr>
      <w:r>
        <w:rPr>
          <w:sz w:val="20"/>
          <w:szCs w:val="20"/>
          <w:lang w:val="en-GB" w:eastAsia="en-GB" w:bidi="en-GB"/>
        </w:rPr>
        <w:t xml:space="preserve">Les organisations du comité social économique (CSE) de CARRIER IN représentées par /////////////// élu majoritairement à plus de 70 % pendant la dernière élection CSE. </w:t>
      </w:r>
    </w:p>
    <w:p>
      <w:pPr>
        <w:pStyle w:val="ElAppp"/>
        <w:spacing w:before="75" w:after="75"/>
        <w:ind w:left="15" w:right="15" w:hanging="0"/>
        <w:jc w:val="both"/>
        <w:rPr>
          <w:sz w:val="20"/>
          <w:szCs w:val="20"/>
          <w:lang w:val="en-GB" w:eastAsia="en-GB" w:bidi="en-GB"/>
        </w:rPr>
      </w:pPr>
      <w:r>
        <w:rPr>
          <w:sz w:val="20"/>
          <w:szCs w:val="20"/>
          <w:lang w:val="en-GB" w:eastAsia="en-GB" w:bidi="en-GB"/>
        </w:rPr>
      </w:r>
    </w:p>
    <w:p>
      <w:pPr>
        <w:pStyle w:val="ElAppp"/>
        <w:spacing w:before="75" w:after="75"/>
        <w:ind w:left="15" w:right="15" w:hanging="0"/>
        <w:jc w:val="both"/>
        <w:rPr>
          <w:sz w:val="20"/>
          <w:szCs w:val="20"/>
          <w:lang w:val="en-GB" w:eastAsia="en-GB" w:bidi="en-GB"/>
        </w:rPr>
      </w:pPr>
      <w:r>
        <w:rPr>
          <w:sz w:val="20"/>
          <w:szCs w:val="20"/>
          <w:lang w:val="en-GB" w:eastAsia="en-GB" w:bidi="en-GB"/>
        </w:rPr>
        <w:t>d'autre part.</w:t>
      </w:r>
    </w:p>
    <w:p>
      <w:pPr>
        <w:pStyle w:val="Normal"/>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r>
    </w:p>
    <w:p>
      <w:pPr>
        <w:pStyle w:val="ElApptidtifaligncenter"/>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t>Préambule</w:t>
      </w:r>
    </w:p>
    <w:p>
      <w:pPr>
        <w:pStyle w:val="Normal"/>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br/>
      </w:r>
    </w:p>
    <w:p>
      <w:pPr>
        <w:pStyle w:val="ElAppp"/>
        <w:spacing w:before="75" w:after="75"/>
        <w:ind w:left="15" w:right="15" w:hanging="0"/>
        <w:jc w:val="both"/>
        <w:rPr/>
      </w:pPr>
      <w:r>
        <w:rPr>
          <w:sz w:val="20"/>
          <w:szCs w:val="20"/>
          <w:lang w:val="en-GB" w:eastAsia="en-GB" w:bidi="en-GB"/>
        </w:rPr>
        <w:t xml:space="preserve">Le présent accord est conclu dans le cadre des règles fixées aux articles L. 3121-27 à L. 3121-34 du code du travail relatifs au régime juridique des heures supplémentaires et contingent. </w:t>
      </w:r>
    </w:p>
    <w:p>
      <w:pPr>
        <w:pStyle w:val="ElAppp"/>
        <w:spacing w:before="75" w:after="75"/>
        <w:ind w:left="15" w:right="15" w:hanging="0"/>
        <w:jc w:val="both"/>
        <w:rPr>
          <w:sz w:val="20"/>
          <w:szCs w:val="20"/>
          <w:lang w:val="en-GB" w:eastAsia="en-GB" w:bidi="en-GB"/>
        </w:rPr>
      </w:pPr>
      <w:r>
        <w:rPr>
          <w:sz w:val="20"/>
          <w:szCs w:val="20"/>
          <w:lang w:val="en-GB" w:eastAsia="en-GB" w:bidi="en-GB"/>
        </w:rPr>
        <w:t>Cet accord a pour objet d'articuler au mieux la protection de la santé et de la sécurité du salarié et plus largement la garantie du respect des droits des salariés et les contraintes économiques de l'entreprise.</w:t>
      </w:r>
    </w:p>
    <w:p>
      <w:pPr>
        <w:pStyle w:val="ElAppp"/>
        <w:spacing w:before="75" w:after="75"/>
        <w:ind w:left="15" w:right="15" w:hanging="0"/>
        <w:jc w:val="both"/>
        <w:rPr>
          <w:sz w:val="20"/>
          <w:szCs w:val="20"/>
          <w:lang w:val="en-GB" w:eastAsia="en-GB" w:bidi="en-GB"/>
        </w:rPr>
      </w:pPr>
      <w:r>
        <w:rPr>
          <w:sz w:val="20"/>
          <w:szCs w:val="20"/>
          <w:lang w:val="en-GB" w:eastAsia="en-GB" w:bidi="en-GB"/>
        </w:rPr>
        <w:t>Il a également pour objet : l’augmentation du contingent annuel d’heures supplémentaires unique à toutes les catégories de salariés.</w:t>
      </w:r>
    </w:p>
    <w:p>
      <w:pPr>
        <w:pStyle w:val="Normal"/>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r>
    </w:p>
    <w:p>
      <w:pPr>
        <w:pStyle w:val="Normal"/>
        <w:jc w:val="both"/>
        <w:rPr/>
      </w:pPr>
      <w:r>
        <w:rPr>
          <w:rFonts w:eastAsia="Arial" w:cs="Arial" w:ascii="Arial" w:hAnsi="Arial"/>
          <w:sz w:val="20"/>
          <w:szCs w:val="20"/>
          <w:lang w:val="en-GB" w:eastAsia="en-GB" w:bidi="en-GB"/>
        </w:rPr>
        <w:br/>
      </w:r>
      <w:r>
        <w:rPr>
          <w:rStyle w:val="ElApptiartf"/>
          <w:rFonts w:eastAsia="Arial" w:cs="Arial" w:ascii="Arial" w:hAnsi="Arial"/>
          <w:sz w:val="20"/>
          <w:szCs w:val="20"/>
          <w:u w:val="single"/>
          <w:lang w:val="en-GB" w:eastAsia="en-GB" w:bidi="en-GB"/>
        </w:rPr>
        <w:t xml:space="preserve">Article 1 - </w:t>
      </w:r>
      <w:r>
        <w:rPr>
          <w:rStyle w:val="ElApptiartf"/>
          <w:rFonts w:eastAsia="Arial" w:cs="Arial" w:ascii="Arial" w:hAnsi="Arial"/>
          <w:color w:val="ED171F"/>
          <w:sz w:val="20"/>
          <w:szCs w:val="20"/>
          <w:u w:val="single"/>
          <w:lang w:val="en-GB" w:eastAsia="en-GB" w:bidi="en-GB"/>
        </w:rPr>
        <w:t>Définition des heures supplémentaires</w:t>
      </w:r>
    </w:p>
    <w:p>
      <w:pPr>
        <w:pStyle w:val="Normal"/>
        <w:jc w:val="both"/>
        <w:rPr>
          <w:rStyle w:val="ElApptiartf"/>
          <w:rFonts w:ascii="Arial" w:hAnsi="Arial" w:eastAsia="Arial" w:cs="Arial"/>
          <w:color w:val="ED171F"/>
          <w:sz w:val="20"/>
          <w:szCs w:val="20"/>
          <w:u w:val="single"/>
          <w:lang w:val="en-GB" w:eastAsia="en-GB" w:bidi="en-GB"/>
        </w:rPr>
      </w:pPr>
      <w:r>
        <w:rPr/>
      </w:r>
    </w:p>
    <w:p>
      <w:pPr>
        <w:pStyle w:val="Normal"/>
        <w:jc w:val="both"/>
        <w:rPr/>
      </w:pPr>
      <w:r>
        <w:rPr>
          <w:rFonts w:eastAsia="Arial" w:cs="Arial" w:ascii="Arial" w:hAnsi="Arial"/>
          <w:sz w:val="20"/>
          <w:szCs w:val="20"/>
          <w:lang w:val="en-GB" w:eastAsia="en-GB" w:bidi="en-GB"/>
        </w:rPr>
        <w:t>Les heures supplémentaires se décomptent par semaine ou au mois pour les poids lourds et super lourds. Cette disposition est d’ordre public. Une convention ou un accord collectif d’entreprise ou d’établissement ou, à défaut, de branche peut fixer une période de 7 jours consécutifs constituant la semaine. A défaut d’accord, la semaine débute le lundi à 0 heure et se termine le dimanche à 24 heures.</w:t>
      </w:r>
    </w:p>
    <w:p>
      <w:pPr>
        <w:pStyle w:val="Normal"/>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r>
    </w:p>
    <w:p>
      <w:pPr>
        <w:pStyle w:val="Normal"/>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t>D’une semaine à l’autre, l’activité de l’entreprise peut être irrégulière, du fait de son caractère saisonnier, de la fluctuation des commandes notamment</w:t>
      </w:r>
      <w:r>
        <w:rPr>
          <w:rFonts w:eastAsia="Arial" w:cs="Arial" w:ascii="Arial" w:hAnsi="Arial"/>
          <w:color w:val="70AD47"/>
          <w:sz w:val="20"/>
          <w:szCs w:val="20"/>
          <w:lang w:val="en-GB" w:eastAsia="en-GB" w:bidi="en-GB"/>
        </w:rPr>
        <w:t> ;</w:t>
      </w:r>
      <w:r>
        <w:rPr>
          <w:rFonts w:eastAsia="Arial" w:cs="Arial" w:ascii="Arial" w:hAnsi="Arial"/>
          <w:sz w:val="20"/>
          <w:szCs w:val="20"/>
          <w:lang w:val="en-GB" w:eastAsia="en-GB" w:bidi="en-GB"/>
        </w:rPr>
        <w:t xml:space="preserve"> Pour adapter le rythme de travail des salariés à celui de l’activité, l’entreprise peut répartir la durée du travail sur une période supérieure à la semaine et, sous réserve qu’un accord de branche l’autorise, au plus égale à trois ans. La mise en place d’un tel dispositif aura des conséquences sur le décompte des heures supplémentaires.</w:t>
      </w:r>
    </w:p>
    <w:p>
      <w:pPr>
        <w:pStyle w:val="Normal"/>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r>
    </w:p>
    <w:p>
      <w:pPr>
        <w:pStyle w:val="Normal"/>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r>
    </w:p>
    <w:p>
      <w:pPr>
        <w:pStyle w:val="Normal"/>
        <w:jc w:val="both"/>
        <w:rPr>
          <w:rStyle w:val="ElApptiartf"/>
          <w:rFonts w:ascii="Arial" w:hAnsi="Arial" w:eastAsia="Arial" w:cs="Arial"/>
          <w:color w:val="ED171F"/>
          <w:sz w:val="20"/>
          <w:szCs w:val="20"/>
          <w:u w:val="single"/>
          <w:lang w:val="en-GB" w:eastAsia="en-GB" w:bidi="en-GB"/>
        </w:rPr>
      </w:pPr>
      <w:r>
        <w:rPr>
          <w:rStyle w:val="ElApptiartf"/>
          <w:rFonts w:eastAsia="Arial" w:cs="Arial" w:ascii="Arial" w:hAnsi="Arial"/>
          <w:sz w:val="20"/>
          <w:szCs w:val="20"/>
          <w:u w:val="single"/>
          <w:lang w:val="en-GB" w:eastAsia="en-GB" w:bidi="en-GB"/>
        </w:rPr>
        <w:t xml:space="preserve">Article 2 - </w:t>
      </w:r>
      <w:r>
        <w:rPr>
          <w:rStyle w:val="ElApptiartf"/>
          <w:rFonts w:eastAsia="Arial" w:cs="Arial" w:ascii="Arial" w:hAnsi="Arial"/>
          <w:color w:val="ED171F"/>
          <w:sz w:val="20"/>
          <w:szCs w:val="20"/>
          <w:u w:val="single"/>
          <w:lang w:val="en-GB" w:eastAsia="en-GB" w:bidi="en-GB"/>
        </w:rPr>
        <w:t>Contingent d'heures supplémentaires</w:t>
      </w:r>
    </w:p>
    <w:p>
      <w:pPr>
        <w:pStyle w:val="Normal"/>
        <w:jc w:val="both"/>
        <w:rPr>
          <w:rStyle w:val="ElApptiartf"/>
          <w:rFonts w:ascii="Arial" w:hAnsi="Arial" w:eastAsia="Arial" w:cs="Arial"/>
          <w:color w:val="ED171F"/>
          <w:sz w:val="20"/>
          <w:szCs w:val="20"/>
          <w:u w:val="single"/>
          <w:lang w:val="en-GB" w:eastAsia="en-GB" w:bidi="en-GB"/>
        </w:rPr>
      </w:pPr>
      <w:r>
        <w:rPr/>
      </w:r>
    </w:p>
    <w:p>
      <w:pPr>
        <w:pStyle w:val="Normal"/>
        <w:jc w:val="both"/>
        <w:rPr/>
      </w:pPr>
      <w:r>
        <w:rPr>
          <w:rFonts w:cs="Arial" w:ascii="Arial" w:hAnsi="Arial"/>
          <w:sz w:val="20"/>
          <w:szCs w:val="20"/>
          <w:lang w:val="en-GB" w:eastAsia="en-GB" w:bidi="en-GB"/>
        </w:rPr>
        <w:t>A compter du 1</w:t>
      </w:r>
      <w:r>
        <w:rPr>
          <w:rFonts w:cs="Arial" w:ascii="Arial" w:hAnsi="Arial"/>
          <w:sz w:val="20"/>
          <w:szCs w:val="20"/>
          <w:vertAlign w:val="superscript"/>
          <w:lang w:val="en-GB" w:eastAsia="en-GB" w:bidi="en-GB"/>
        </w:rPr>
        <w:t>er</w:t>
      </w:r>
      <w:r>
        <w:rPr>
          <w:rFonts w:cs="Arial" w:ascii="Arial" w:hAnsi="Arial"/>
          <w:sz w:val="20"/>
          <w:szCs w:val="20"/>
          <w:lang w:val="en-GB" w:eastAsia="en-GB" w:bidi="en-GB"/>
        </w:rPr>
        <w:t xml:space="preserve"> janvier 2021, le contingent d'heures supplémentaires applicable à l'entreprise est de :</w:t>
      </w:r>
    </w:p>
    <w:p>
      <w:pPr>
        <w:pStyle w:val="Normal"/>
        <w:jc w:val="both"/>
        <w:rPr>
          <w:rFonts w:ascii="Arial" w:hAnsi="Arial" w:cs="Arial"/>
          <w:sz w:val="20"/>
          <w:szCs w:val="20"/>
          <w:lang w:val="en-GB" w:eastAsia="en-GB" w:bidi="en-GB"/>
        </w:rPr>
      </w:pPr>
      <w:r>
        <w:rPr>
          <w:rFonts w:cs="Arial" w:ascii="Arial" w:hAnsi="Arial"/>
          <w:sz w:val="20"/>
          <w:szCs w:val="20"/>
          <w:lang w:val="en-GB" w:eastAsia="en-GB" w:bidi="en-GB"/>
        </w:rPr>
      </w:r>
    </w:p>
    <w:p>
      <w:pPr>
        <w:pStyle w:val="Normal"/>
        <w:jc w:val="both"/>
        <w:rPr>
          <w:rFonts w:ascii="Arial" w:hAnsi="Arial" w:cs="Arial"/>
          <w:sz w:val="20"/>
          <w:szCs w:val="20"/>
          <w:lang w:val="en-GB" w:eastAsia="en-GB" w:bidi="en-GB"/>
        </w:rPr>
      </w:pPr>
      <w:r>
        <w:rPr>
          <w:rFonts w:cs="Arial" w:ascii="Arial" w:hAnsi="Arial"/>
          <w:b/>
          <w:bCs/>
          <w:color w:val="FF0000"/>
          <w:sz w:val="22"/>
          <w:szCs w:val="22"/>
          <w:u w:val="single"/>
          <w:lang w:val="en-GB" w:eastAsia="en-GB" w:bidi="en-GB"/>
        </w:rPr>
        <w:t>220 heures par salarié et par an</w:t>
      </w:r>
      <w:r>
        <w:rPr>
          <w:rFonts w:cs="Arial" w:ascii="Arial" w:hAnsi="Arial"/>
          <w:sz w:val="22"/>
          <w:szCs w:val="22"/>
          <w:lang w:val="en-GB" w:eastAsia="en-GB" w:bidi="en-GB"/>
        </w:rPr>
        <w:t xml:space="preserve"> </w:t>
      </w:r>
      <w:r>
        <w:rPr>
          <w:rFonts w:cs="Arial" w:ascii="Arial" w:hAnsi="Arial"/>
          <w:sz w:val="20"/>
          <w:szCs w:val="20"/>
          <w:lang w:val="en-GB" w:eastAsia="en-GB" w:bidi="en-GB"/>
        </w:rPr>
        <w:t>pour tous les collèges (ouvriers, employés, agents de maitrise, cadres et roulant comme administratif). Au lieu de ceux prévu par la convention collective du transport routier de marchandises et de ses avenants (IDCC 16)</w:t>
      </w:r>
    </w:p>
    <w:p>
      <w:pPr>
        <w:pStyle w:val="Normal"/>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r>
    </w:p>
    <w:p>
      <w:pPr>
        <w:pStyle w:val="Normal"/>
        <w:pBdr/>
        <w:ind w:left="900" w:hanging="0"/>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t>  </w:t>
      </w:r>
      <w:r>
        <w:rPr>
          <w:rFonts w:eastAsia="Arial" w:cs="Arial" w:ascii="Arial" w:hAnsi="Arial"/>
          <w:sz w:val="20"/>
          <w:szCs w:val="20"/>
          <w:lang w:val="en-GB" w:eastAsia="en-GB" w:bidi="en-GB"/>
        </w:rPr>
        <w:drawing>
          <wp:inline distT="0" distB="0" distL="0" distR="0">
            <wp:extent cx="152400" cy="15240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rcRect l="-236" t="-236" r="-236" b="-236"/>
                    <a:stretch>
                      <a:fillRect/>
                    </a:stretch>
                  </pic:blipFill>
                  <pic:spPr bwMode="auto">
                    <a:xfrm>
                      <a:off x="0" y="0"/>
                      <a:ext cx="152400" cy="152400"/>
                    </a:xfrm>
                    <a:prstGeom prst="rect">
                      <a:avLst/>
                    </a:prstGeom>
                  </pic:spPr>
                </pic:pic>
              </a:graphicData>
            </a:graphic>
          </wp:inline>
        </w:drawing>
      </w:r>
      <w:r>
        <w:rPr>
          <w:rFonts w:eastAsia="Arial" w:cs="Arial" w:ascii="Arial" w:hAnsi="Arial"/>
          <w:sz w:val="20"/>
          <w:szCs w:val="20"/>
          <w:lang w:val="en-GB" w:eastAsia="en-GB" w:bidi="en-GB"/>
        </w:rPr>
        <w:t>D</w:t>
      </w:r>
      <w:r>
        <w:rPr>
          <w:rFonts w:eastAsia="Arial" w:cs="Arial" w:ascii="Arial" w:hAnsi="Arial"/>
          <w:i/>
          <w:iCs/>
          <w:sz w:val="20"/>
          <w:szCs w:val="20"/>
          <w:lang w:val="en-GB" w:eastAsia="en-GB" w:bidi="en-GB"/>
        </w:rPr>
        <w:t>élai de prévenance appliqué par l'entreprise :</w:t>
      </w:r>
    </w:p>
    <w:p>
      <w:pPr>
        <w:pStyle w:val="Normal"/>
        <w:ind w:left="900" w:hanging="0"/>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r>
    </w:p>
    <w:p>
      <w:pPr>
        <w:pStyle w:val="ElAppp"/>
        <w:spacing w:before="75" w:after="75"/>
        <w:ind w:left="915" w:right="15" w:hanging="0"/>
        <w:jc w:val="both"/>
        <w:rPr/>
      </w:pPr>
      <w:r>
        <w:rPr>
          <w:sz w:val="20"/>
          <w:szCs w:val="20"/>
          <w:lang w:val="en-GB" w:eastAsia="en-GB" w:bidi="en-GB"/>
        </w:rPr>
        <w:t>Le délai de prévenance du salarié pour la réalisation d'heures supplémentaires est de 3 jours. En cas d'urgence, ce délai est ramené à 1 jours.</w:t>
      </w:r>
    </w:p>
    <w:p>
      <w:pPr>
        <w:pStyle w:val="Normal"/>
        <w:ind w:left="900" w:hanging="0"/>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r>
    </w:p>
    <w:p>
      <w:pPr>
        <w:pStyle w:val="ElAppp"/>
        <w:spacing w:before="75" w:after="75"/>
        <w:ind w:right="15" w:hanging="0"/>
        <w:jc w:val="both"/>
        <w:rPr>
          <w:sz w:val="20"/>
          <w:szCs w:val="20"/>
          <w:lang w:val="en-GB" w:eastAsia="en-GB" w:bidi="en-GB"/>
        </w:rPr>
      </w:pPr>
      <w:r>
        <w:rPr>
          <w:sz w:val="20"/>
          <w:szCs w:val="20"/>
          <w:lang w:val="en-GB" w:eastAsia="en-GB" w:bidi="en-GB"/>
        </w:rPr>
        <w:t>Il est rappelé que le recours aux heures supplémentaires ne peut en aucun cas avoir pour effet de porter les durées hebdomadaires et journalières de travail au-delà des limites maximales fixées par la loi.</w:t>
      </w:r>
    </w:p>
    <w:p>
      <w:pPr>
        <w:pStyle w:val="Normal"/>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r>
    </w:p>
    <w:p>
      <w:pPr>
        <w:pStyle w:val="Normal"/>
        <w:jc w:val="both"/>
        <w:rPr/>
      </w:pPr>
      <w:r>
        <w:rPr>
          <w:rFonts w:eastAsia="Arial" w:cs="Arial" w:ascii="Arial" w:hAnsi="Arial"/>
          <w:sz w:val="20"/>
          <w:szCs w:val="20"/>
          <w:lang w:val="en-GB" w:eastAsia="en-GB" w:bidi="en-GB"/>
        </w:rPr>
        <w:br/>
      </w:r>
      <w:r>
        <w:rPr>
          <w:rStyle w:val="ElApptiartf"/>
          <w:rFonts w:eastAsia="Arial" w:cs="Arial" w:ascii="Arial" w:hAnsi="Arial"/>
          <w:sz w:val="20"/>
          <w:szCs w:val="20"/>
          <w:u w:val="single"/>
          <w:lang w:val="en-GB" w:eastAsia="en-GB" w:bidi="en-GB"/>
        </w:rPr>
        <w:t xml:space="preserve">Article 3 - </w:t>
      </w:r>
      <w:r>
        <w:rPr>
          <w:rStyle w:val="ElApptiartf"/>
          <w:rFonts w:eastAsia="Arial" w:cs="Arial" w:ascii="Arial" w:hAnsi="Arial"/>
          <w:color w:val="ED171F"/>
          <w:sz w:val="20"/>
          <w:szCs w:val="20"/>
          <w:u w:val="single"/>
          <w:lang w:val="en-GB" w:eastAsia="en-GB" w:bidi="en-GB"/>
        </w:rPr>
        <w:t>Contrepartie obligatoire en repos : caractéristiques, ouverture et durée</w:t>
      </w:r>
    </w:p>
    <w:p>
      <w:pPr>
        <w:pStyle w:val="Normal"/>
        <w:jc w:val="both"/>
        <w:rPr>
          <w:rStyle w:val="ElApptiartf"/>
          <w:rFonts w:ascii="Arial" w:hAnsi="Arial" w:eastAsia="Arial" w:cs="Arial"/>
          <w:color w:val="ED171F"/>
          <w:sz w:val="20"/>
          <w:szCs w:val="20"/>
          <w:u w:val="single"/>
          <w:lang w:val="en-GB" w:eastAsia="en-GB" w:bidi="en-GB"/>
        </w:rPr>
      </w:pPr>
      <w:r>
        <w:rPr/>
      </w:r>
    </w:p>
    <w:p>
      <w:pPr>
        <w:pStyle w:val="ElAppp"/>
        <w:spacing w:before="75" w:after="75"/>
        <w:ind w:right="15" w:hanging="0"/>
        <w:jc w:val="both"/>
        <w:rPr>
          <w:sz w:val="20"/>
          <w:szCs w:val="20"/>
          <w:lang w:val="en-GB" w:eastAsia="en-GB" w:bidi="en-GB"/>
        </w:rPr>
      </w:pPr>
      <w:r>
        <w:rPr>
          <w:sz w:val="20"/>
          <w:szCs w:val="20"/>
          <w:lang w:val="en-GB" w:eastAsia="en-GB" w:bidi="en-GB"/>
        </w:rPr>
        <w:t xml:space="preserve">Le salarié peut accomplir des heures supplémentaires au-delà du contingent aux conditions suivantes : qu’à titre exceptionnelle et sur l’accord impératif du directeur ou du président, le suivi en saura renforcé. </w:t>
      </w:r>
    </w:p>
    <w:p>
      <w:pPr>
        <w:pStyle w:val="ElAppp"/>
        <w:spacing w:before="75" w:after="75"/>
        <w:ind w:right="15" w:hanging="0"/>
        <w:jc w:val="both"/>
        <w:rPr>
          <w:sz w:val="20"/>
          <w:szCs w:val="20"/>
          <w:lang w:val="en-GB" w:eastAsia="en-GB" w:bidi="en-GB"/>
        </w:rPr>
      </w:pPr>
      <w:r>
        <w:rPr>
          <w:sz w:val="20"/>
          <w:szCs w:val="20"/>
          <w:lang w:val="en-GB" w:eastAsia="en-GB" w:bidi="en-GB"/>
        </w:rPr>
        <w:t>Il bénéficie d'une contrepartie obligatoire en repos.</w:t>
      </w:r>
    </w:p>
    <w:p>
      <w:pPr>
        <w:pStyle w:val="ElAppp"/>
        <w:spacing w:before="75" w:after="75"/>
        <w:ind w:right="15" w:hanging="0"/>
        <w:jc w:val="both"/>
        <w:rPr/>
      </w:pPr>
      <w:r>
        <w:rPr>
          <w:sz w:val="20"/>
          <w:szCs w:val="20"/>
          <w:lang w:val="en-GB" w:eastAsia="en-GB" w:bidi="en-GB"/>
        </w:rPr>
        <w:t>Compte tenu du nombre de salariés présents dans l'entreprise, la contrepartie en repos est égale à 100 % des heures supplémentaires accomplies au-delà du contingent. Autrement dit, 1 heure supplémentaire réalisée au-delà du contingent annuel ouvre droit à un repos obligatoire de 1 heure.</w:t>
      </w:r>
    </w:p>
    <w:p>
      <w:pPr>
        <w:pStyle w:val="ElAppp"/>
        <w:spacing w:before="75" w:after="75"/>
        <w:ind w:right="15" w:hanging="0"/>
        <w:jc w:val="both"/>
        <w:rPr/>
      </w:pPr>
      <w:r>
        <w:rPr>
          <w:sz w:val="20"/>
          <w:szCs w:val="20"/>
          <w:lang w:val="en-GB" w:eastAsia="en-GB" w:bidi="en-GB"/>
        </w:rPr>
        <w:t xml:space="preserve">Le repos obligatoire est ouvert au salarié dès que sa durée atteint 7 heures. </w:t>
      </w:r>
    </w:p>
    <w:p>
      <w:pPr>
        <w:pStyle w:val="Normal"/>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r>
    </w:p>
    <w:p>
      <w:pPr>
        <w:pStyle w:val="Normal"/>
        <w:jc w:val="both"/>
        <w:rPr/>
      </w:pPr>
      <w:r>
        <w:rPr>
          <w:rFonts w:eastAsia="Arial" w:cs="Arial" w:ascii="Arial" w:hAnsi="Arial"/>
          <w:sz w:val="20"/>
          <w:szCs w:val="20"/>
          <w:lang w:val="en-GB" w:eastAsia="en-GB" w:bidi="en-GB"/>
        </w:rPr>
        <w:br/>
      </w:r>
      <w:r>
        <w:rPr>
          <w:rStyle w:val="ElApptiartf"/>
          <w:rFonts w:eastAsia="Arial" w:cs="Arial" w:ascii="Arial" w:hAnsi="Arial"/>
          <w:sz w:val="20"/>
          <w:szCs w:val="20"/>
          <w:u w:val="single"/>
          <w:lang w:val="en-GB" w:eastAsia="en-GB" w:bidi="en-GB"/>
        </w:rPr>
        <w:t xml:space="preserve">Article 4 - </w:t>
      </w:r>
      <w:r>
        <w:rPr>
          <w:rStyle w:val="ElApptiartf"/>
          <w:rFonts w:eastAsia="Arial" w:cs="Arial" w:ascii="Arial" w:hAnsi="Arial"/>
          <w:color w:val="ED171F"/>
          <w:sz w:val="20"/>
          <w:szCs w:val="20"/>
          <w:u w:val="single"/>
          <w:lang w:val="en-GB" w:eastAsia="en-GB" w:bidi="en-GB"/>
        </w:rPr>
        <w:t>Contrepartie obligatoire en repos : prise du repos</w:t>
      </w:r>
    </w:p>
    <w:p>
      <w:pPr>
        <w:pStyle w:val="Normal"/>
        <w:jc w:val="both"/>
        <w:rPr>
          <w:rStyle w:val="ElApptiartf"/>
          <w:rFonts w:ascii="Arial" w:hAnsi="Arial" w:eastAsia="Arial" w:cs="Arial"/>
          <w:color w:val="ED171F"/>
          <w:sz w:val="20"/>
          <w:szCs w:val="20"/>
          <w:u w:val="single"/>
          <w:lang w:val="en-GB" w:eastAsia="en-GB" w:bidi="en-GB"/>
        </w:rPr>
      </w:pPr>
      <w:r>
        <w:rPr/>
      </w:r>
    </w:p>
    <w:p>
      <w:pPr>
        <w:pStyle w:val="ElAppp"/>
        <w:spacing w:before="75" w:after="75"/>
        <w:ind w:right="15" w:hanging="0"/>
        <w:jc w:val="both"/>
        <w:rPr>
          <w:sz w:val="20"/>
          <w:szCs w:val="20"/>
          <w:lang w:val="en-GB" w:eastAsia="en-GB" w:bidi="en-GB"/>
        </w:rPr>
      </w:pPr>
      <w:r>
        <w:rPr>
          <w:sz w:val="20"/>
          <w:szCs w:val="20"/>
          <w:lang w:val="en-GB" w:eastAsia="en-GB" w:bidi="en-GB"/>
        </w:rPr>
        <w:t>La prise du repos par le salarié est obligatoire. L'absence de demande du salarié ne peut entraîner la perte de son droit.</w:t>
      </w:r>
    </w:p>
    <w:p>
      <w:pPr>
        <w:pStyle w:val="ElAppp"/>
        <w:spacing w:before="75" w:after="75"/>
        <w:ind w:right="15" w:hanging="0"/>
        <w:jc w:val="both"/>
        <w:rPr>
          <w:sz w:val="20"/>
          <w:szCs w:val="20"/>
          <w:lang w:val="en-GB" w:eastAsia="en-GB" w:bidi="en-GB"/>
        </w:rPr>
      </w:pPr>
      <w:r>
        <w:rPr>
          <w:sz w:val="20"/>
          <w:szCs w:val="20"/>
          <w:lang w:val="en-GB" w:eastAsia="en-GB" w:bidi="en-GB"/>
        </w:rPr>
      </w:r>
    </w:p>
    <w:p>
      <w:pPr>
        <w:pStyle w:val="ElAppp"/>
        <w:spacing w:before="75" w:after="75"/>
        <w:ind w:right="15" w:hanging="0"/>
        <w:jc w:val="both"/>
        <w:rPr/>
      </w:pPr>
      <w:r>
        <w:rPr>
          <w:sz w:val="20"/>
          <w:szCs w:val="20"/>
          <w:lang w:val="en-GB" w:eastAsia="en-GB" w:bidi="en-GB"/>
        </w:rPr>
        <w:t>Le salarié peut bénéficier de son repos par journée dans un délai maximum de 6 mois après l'ouverture du droit.</w:t>
      </w:r>
    </w:p>
    <w:p>
      <w:pPr>
        <w:pStyle w:val="ElAppp"/>
        <w:spacing w:before="75" w:after="75"/>
        <w:ind w:right="15" w:hanging="0"/>
        <w:jc w:val="both"/>
        <w:rPr/>
      </w:pPr>
      <w:r>
        <w:rPr>
          <w:sz w:val="20"/>
          <w:szCs w:val="20"/>
          <w:lang w:val="en-GB" w:eastAsia="en-GB" w:bidi="en-GB"/>
        </w:rPr>
        <w:t>Le salarié doit présenter sa demande de repos à l'employeur en précisant la date et la durée du repos souhaité. Il doit également respecter un délai de prévenance de 2 semaines.</w:t>
      </w:r>
    </w:p>
    <w:p>
      <w:pPr>
        <w:pStyle w:val="ElAppp"/>
        <w:spacing w:before="75" w:after="75"/>
        <w:ind w:right="15" w:hanging="0"/>
        <w:jc w:val="both"/>
        <w:rPr/>
      </w:pPr>
      <w:r>
        <w:rPr>
          <w:sz w:val="20"/>
          <w:szCs w:val="20"/>
          <w:lang w:val="en-GB" w:eastAsia="en-GB" w:bidi="en-GB"/>
        </w:rPr>
        <w:t>L'employeur informe le salarié de sa décision dans un délai de 3 jours après réception de sa demande.</w:t>
      </w:r>
    </w:p>
    <w:p>
      <w:pPr>
        <w:pStyle w:val="ElAppp"/>
        <w:spacing w:before="75" w:after="75"/>
        <w:ind w:right="15" w:hanging="0"/>
        <w:jc w:val="both"/>
        <w:rPr>
          <w:sz w:val="20"/>
          <w:szCs w:val="20"/>
          <w:lang w:val="en-GB" w:eastAsia="en-GB" w:bidi="en-GB"/>
        </w:rPr>
      </w:pPr>
      <w:r>
        <w:rPr>
          <w:sz w:val="20"/>
          <w:szCs w:val="20"/>
          <w:lang w:val="en-GB" w:eastAsia="en-GB" w:bidi="en-GB"/>
        </w:rPr>
      </w:r>
    </w:p>
    <w:p>
      <w:pPr>
        <w:pStyle w:val="ElAppp"/>
        <w:spacing w:before="75" w:after="75"/>
        <w:ind w:right="15" w:hanging="0"/>
        <w:jc w:val="both"/>
        <w:rPr/>
      </w:pPr>
      <w:r>
        <w:rPr>
          <w:color w:val="70AD47"/>
          <w:sz w:val="20"/>
          <w:szCs w:val="20"/>
          <w:lang w:val="en-GB" w:eastAsia="en-GB" w:bidi="en-GB"/>
        </w:rPr>
        <w:t>(</w:t>
      </w:r>
      <w:r>
        <w:rPr>
          <w:sz w:val="20"/>
          <w:szCs w:val="20"/>
          <w:lang w:val="en-GB" w:eastAsia="en-GB" w:bidi="en-GB"/>
        </w:rPr>
        <w:t>Attention !</w:t>
      </w:r>
      <w:r>
        <w:rPr>
          <w:color w:val="70AD47"/>
          <w:sz w:val="20"/>
          <w:szCs w:val="20"/>
          <w:lang w:val="en-GB" w:eastAsia="en-GB" w:bidi="en-GB"/>
        </w:rPr>
        <w:t>)</w:t>
      </w:r>
      <w:r>
        <w:rPr>
          <w:sz w:val="20"/>
          <w:szCs w:val="20"/>
          <w:lang w:val="en-GB" w:eastAsia="en-GB" w:bidi="en-GB"/>
        </w:rPr>
        <w:t xml:space="preserve"> en cas de refus, l'employeur doit informer le salarié des motifs de sa décision après consultation du CSE (ou des DP).</w:t>
      </w:r>
    </w:p>
    <w:p>
      <w:pPr>
        <w:pStyle w:val="ElAppp"/>
        <w:spacing w:before="75" w:after="75"/>
        <w:ind w:right="15" w:hanging="0"/>
        <w:jc w:val="both"/>
        <w:rPr>
          <w:sz w:val="20"/>
          <w:szCs w:val="20"/>
          <w:lang w:val="en-GB" w:eastAsia="en-GB" w:bidi="en-GB"/>
        </w:rPr>
      </w:pPr>
      <w:r>
        <w:rPr>
          <w:sz w:val="20"/>
          <w:szCs w:val="20"/>
          <w:lang w:val="en-GB" w:eastAsia="en-GB" w:bidi="en-GB"/>
        </w:rPr>
      </w:r>
    </w:p>
    <w:p>
      <w:pPr>
        <w:pStyle w:val="ElAppp"/>
        <w:spacing w:before="75" w:after="75"/>
        <w:ind w:right="15" w:hanging="0"/>
        <w:jc w:val="both"/>
        <w:rPr>
          <w:sz w:val="20"/>
          <w:szCs w:val="20"/>
          <w:lang w:val="en-GB" w:eastAsia="en-GB" w:bidi="en-GB"/>
        </w:rPr>
      </w:pPr>
      <w:r>
        <w:rPr>
          <w:sz w:val="20"/>
          <w:szCs w:val="20"/>
          <w:lang w:val="en-GB" w:eastAsia="en-GB" w:bidi="en-GB"/>
        </w:rPr>
        <w:t xml:space="preserve">L'employeur peut reporter la prise du repos s'il justifie d’une urgence et d’un besoin du salarié impérativement au travail. </w:t>
      </w:r>
    </w:p>
    <w:p>
      <w:pPr>
        <w:pStyle w:val="ElAppp"/>
        <w:spacing w:before="75" w:after="75"/>
        <w:ind w:right="15" w:hanging="0"/>
        <w:jc w:val="both"/>
        <w:rPr>
          <w:color w:val="70AD47"/>
          <w:sz w:val="20"/>
          <w:szCs w:val="20"/>
          <w:lang w:val="en-GB" w:eastAsia="en-GB" w:bidi="en-GB"/>
        </w:rPr>
      </w:pPr>
      <w:r>
        <w:rPr>
          <w:sz w:val="20"/>
          <w:szCs w:val="20"/>
          <w:lang w:val="en-GB" w:eastAsia="en-GB" w:bidi="en-GB"/>
        </w:rPr>
        <w:t>Dans ce cas, l'employeur doit proposer au salarié une autre date dans le délai maximum de 2 semaines. La prise du repos ne peut être différée au-delà de 3 mois. Si le report de la prise de repos concerne plusieurs salariés, ils sont départagés selon l'ordre de priorité suivant : par la date de prise de repos de la plus récente à la plus ancienne.</w:t>
      </w:r>
    </w:p>
    <w:p>
      <w:pPr>
        <w:pStyle w:val="Normal"/>
        <w:jc w:val="both"/>
        <w:rPr>
          <w:rFonts w:ascii="Arial" w:hAnsi="Arial" w:eastAsia="Arial" w:cs="Arial"/>
          <w:color w:val="70AD47"/>
          <w:sz w:val="20"/>
          <w:szCs w:val="20"/>
          <w:lang w:val="en-GB" w:eastAsia="en-GB" w:bidi="en-GB"/>
        </w:rPr>
      </w:pPr>
      <w:r>
        <w:rPr>
          <w:rFonts w:eastAsia="Arial" w:cs="Arial" w:ascii="Arial" w:hAnsi="Arial"/>
          <w:color w:val="70AD47"/>
          <w:sz w:val="20"/>
          <w:szCs w:val="20"/>
          <w:lang w:val="en-GB" w:eastAsia="en-GB" w:bidi="en-GB"/>
        </w:rPr>
      </w:r>
    </w:p>
    <w:p>
      <w:pPr>
        <w:pStyle w:val="Normal"/>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r>
    </w:p>
    <w:p>
      <w:pPr>
        <w:pStyle w:val="Normal"/>
        <w:jc w:val="both"/>
        <w:rPr>
          <w:rStyle w:val="ElApptiartf"/>
          <w:rFonts w:ascii="Arial" w:hAnsi="Arial" w:eastAsia="Arial" w:cs="Arial"/>
          <w:sz w:val="20"/>
          <w:szCs w:val="20"/>
          <w:u w:val="single"/>
          <w:lang w:val="en-GB" w:eastAsia="en-GB" w:bidi="en-GB"/>
        </w:rPr>
      </w:pPr>
      <w:r>
        <w:rPr>
          <w:rFonts w:eastAsia="Arial" w:cs="Arial" w:ascii="Arial" w:hAnsi="Arial"/>
          <w:sz w:val="20"/>
          <w:szCs w:val="20"/>
          <w:lang w:val="en-GB" w:eastAsia="en-GB" w:bidi="en-GB"/>
        </w:rPr>
      </w:r>
    </w:p>
    <w:p>
      <w:pPr>
        <w:pStyle w:val="Normal"/>
        <w:jc w:val="both"/>
        <w:rPr/>
      </w:pPr>
      <w:r>
        <w:rPr>
          <w:rStyle w:val="ElApptiartf"/>
          <w:rFonts w:eastAsia="Arial" w:cs="Arial" w:ascii="Arial" w:hAnsi="Arial"/>
          <w:sz w:val="20"/>
          <w:szCs w:val="20"/>
          <w:u w:val="single"/>
          <w:lang w:val="en-GB" w:eastAsia="en-GB" w:bidi="en-GB"/>
        </w:rPr>
        <w:t xml:space="preserve">Article 5 - </w:t>
      </w:r>
      <w:r>
        <w:rPr>
          <w:rStyle w:val="ElApptiartf"/>
          <w:rFonts w:eastAsia="Arial" w:cs="Arial" w:ascii="Arial" w:hAnsi="Arial"/>
          <w:color w:val="ED171F"/>
          <w:sz w:val="20"/>
          <w:szCs w:val="20"/>
          <w:u w:val="single"/>
          <w:lang w:val="en-GB" w:eastAsia="en-GB" w:bidi="en-GB"/>
        </w:rPr>
        <w:t>Durée de l'accord</w:t>
      </w:r>
    </w:p>
    <w:p>
      <w:pPr>
        <w:pStyle w:val="Normal"/>
        <w:jc w:val="both"/>
        <w:rPr>
          <w:rStyle w:val="ElApptiartf"/>
          <w:rFonts w:ascii="Arial" w:hAnsi="Arial" w:eastAsia="Arial" w:cs="Arial"/>
          <w:color w:val="ED171F"/>
          <w:sz w:val="20"/>
          <w:szCs w:val="20"/>
          <w:u w:val="single"/>
          <w:lang w:val="en-GB" w:eastAsia="en-GB" w:bidi="en-GB"/>
        </w:rPr>
      </w:pPr>
      <w:r>
        <w:rPr/>
      </w:r>
    </w:p>
    <w:p>
      <w:pPr>
        <w:pStyle w:val="ElAppp"/>
        <w:spacing w:before="75" w:after="75"/>
        <w:ind w:left="15" w:right="15" w:hanging="0"/>
        <w:jc w:val="both"/>
        <w:rPr>
          <w:sz w:val="20"/>
          <w:szCs w:val="20"/>
          <w:lang w:val="en-GB" w:eastAsia="en-GB" w:bidi="en-GB"/>
        </w:rPr>
      </w:pPr>
      <w:r>
        <w:rPr>
          <w:sz w:val="20"/>
          <w:szCs w:val="20"/>
          <w:lang w:val="en-GB" w:eastAsia="en-GB" w:bidi="en-GB"/>
        </w:rPr>
        <w:t>Le présent accord est conclu à durée indéterminée.</w:t>
      </w:r>
    </w:p>
    <w:p>
      <w:pPr>
        <w:pStyle w:val="ElAppp"/>
        <w:spacing w:before="75" w:after="75"/>
        <w:ind w:right="15" w:hanging="0"/>
        <w:jc w:val="both"/>
        <w:rPr/>
      </w:pPr>
      <w:r>
        <w:rPr>
          <w:sz w:val="20"/>
          <w:szCs w:val="20"/>
          <w:lang w:val="en-GB" w:eastAsia="en-GB" w:bidi="en-GB"/>
        </w:rPr>
        <w:t>Le présent accord entrera en vigueur à compter du 1</w:t>
      </w:r>
      <w:r>
        <w:rPr>
          <w:sz w:val="20"/>
          <w:szCs w:val="20"/>
          <w:vertAlign w:val="superscript"/>
          <w:lang w:val="en-GB" w:eastAsia="en-GB" w:bidi="en-GB"/>
        </w:rPr>
        <w:t>er</w:t>
      </w:r>
      <w:r>
        <w:rPr>
          <w:sz w:val="20"/>
          <w:szCs w:val="20"/>
          <w:lang w:val="en-GB" w:eastAsia="en-GB" w:bidi="en-GB"/>
        </w:rPr>
        <w:t xml:space="preserve"> janvier 2021.</w:t>
      </w:r>
    </w:p>
    <w:p>
      <w:pPr>
        <w:pStyle w:val="Normal"/>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r>
    </w:p>
    <w:p>
      <w:pPr>
        <w:pStyle w:val="Normal"/>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r>
    </w:p>
    <w:p>
      <w:pPr>
        <w:pStyle w:val="Normal"/>
        <w:jc w:val="both"/>
        <w:rPr/>
      </w:pPr>
      <w:r>
        <w:rPr>
          <w:rFonts w:eastAsia="Arial" w:cs="Arial" w:ascii="Arial" w:hAnsi="Arial"/>
          <w:sz w:val="20"/>
          <w:szCs w:val="20"/>
          <w:lang w:val="en-GB" w:eastAsia="en-GB" w:bidi="en-GB"/>
        </w:rPr>
        <w:br/>
      </w:r>
      <w:r>
        <w:rPr>
          <w:rStyle w:val="ElApptiartf"/>
          <w:rFonts w:eastAsia="Arial" w:cs="Arial" w:ascii="Arial" w:hAnsi="Arial"/>
          <w:sz w:val="20"/>
          <w:szCs w:val="20"/>
          <w:u w:val="single"/>
          <w:lang w:val="en-GB" w:eastAsia="en-GB" w:bidi="en-GB"/>
        </w:rPr>
        <w:t xml:space="preserve">Article 6 - </w:t>
      </w:r>
      <w:r>
        <w:rPr>
          <w:rStyle w:val="ElApptiartf"/>
          <w:rFonts w:eastAsia="Arial" w:cs="Arial" w:ascii="Arial" w:hAnsi="Arial"/>
          <w:color w:val="ED171F"/>
          <w:sz w:val="20"/>
          <w:szCs w:val="20"/>
          <w:u w:val="single"/>
          <w:lang w:val="en-GB" w:eastAsia="en-GB" w:bidi="en-GB"/>
        </w:rPr>
        <w:t xml:space="preserve">Commission de suivi </w:t>
      </w:r>
    </w:p>
    <w:p>
      <w:pPr>
        <w:pStyle w:val="Normal"/>
        <w:jc w:val="both"/>
        <w:rPr>
          <w:rStyle w:val="ElApptiartf"/>
          <w:rFonts w:ascii="Arial" w:hAnsi="Arial" w:eastAsia="Arial" w:cs="Arial"/>
          <w:color w:val="ED171F"/>
          <w:sz w:val="20"/>
          <w:szCs w:val="20"/>
          <w:u w:val="single"/>
          <w:lang w:val="en-GB" w:eastAsia="en-GB" w:bidi="en-GB"/>
        </w:rPr>
      </w:pPr>
      <w:r>
        <w:rPr/>
      </w:r>
    </w:p>
    <w:p>
      <w:pPr>
        <w:pStyle w:val="ElAppp"/>
        <w:spacing w:before="75" w:after="75"/>
        <w:ind w:right="15" w:hanging="0"/>
        <w:jc w:val="both"/>
        <w:rPr>
          <w:sz w:val="20"/>
          <w:szCs w:val="20"/>
          <w:lang w:val="en-GB" w:eastAsia="en-GB" w:bidi="en-GB"/>
        </w:rPr>
      </w:pPr>
      <w:r>
        <w:rPr>
          <w:sz w:val="20"/>
          <w:szCs w:val="20"/>
          <w:lang w:val="en-GB" w:eastAsia="en-GB" w:bidi="en-GB"/>
        </w:rPr>
        <w:t xml:space="preserve">Afin d'assurer le suivi du présent accord, il est prévu que la bonne application de l’accord sera vérifier (par les bulletins de salaire et) en réunion CSE s’il y a lieu d’être. </w:t>
      </w:r>
    </w:p>
    <w:p>
      <w:pPr>
        <w:pStyle w:val="ElAppp"/>
        <w:spacing w:before="75" w:after="75"/>
        <w:ind w:right="15" w:hanging="0"/>
        <w:jc w:val="both"/>
        <w:rPr>
          <w:sz w:val="20"/>
          <w:szCs w:val="20"/>
          <w:lang w:val="en-GB" w:eastAsia="en-GB" w:bidi="en-GB"/>
        </w:rPr>
      </w:pPr>
      <w:r>
        <w:rPr>
          <w:sz w:val="20"/>
          <w:szCs w:val="20"/>
          <w:lang w:val="en-GB" w:eastAsia="en-GB" w:bidi="en-GB"/>
        </w:rPr>
        <w:t>En outre, toutes difficultés éventuelles d'application de cet accord sera soumis au responsable ressources humaines de l’entreprise ou le président de l’entreprise.</w:t>
      </w:r>
    </w:p>
    <w:p>
      <w:pPr>
        <w:pStyle w:val="Normal"/>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br/>
      </w:r>
    </w:p>
    <w:p>
      <w:pPr>
        <w:pStyle w:val="Normal"/>
        <w:pBdr/>
        <w:jc w:val="both"/>
        <w:rPr>
          <w:rStyle w:val="ElApptiartf"/>
          <w:rFonts w:ascii="Arial" w:hAnsi="Arial" w:eastAsia="Arial" w:cs="Arial"/>
          <w:b w:val="false"/>
          <w:b w:val="false"/>
          <w:bCs w:val="false"/>
          <w:sz w:val="20"/>
          <w:szCs w:val="20"/>
          <w:lang w:val="en-GB" w:eastAsia="en-GB" w:bidi="en-GB"/>
        </w:rPr>
      </w:pPr>
      <w:r>
        <w:rPr>
          <w:rStyle w:val="ElApptiartf"/>
          <w:rFonts w:eastAsia="Arial" w:cs="Arial" w:ascii="Arial" w:hAnsi="Arial"/>
          <w:sz w:val="20"/>
          <w:szCs w:val="20"/>
          <w:u w:val="single"/>
          <w:lang w:val="en-GB" w:eastAsia="en-GB" w:bidi="en-GB"/>
        </w:rPr>
        <w:t xml:space="preserve">Article 7 – </w:t>
      </w:r>
      <w:r>
        <w:rPr>
          <w:rStyle w:val="ElApptiartf"/>
          <w:rFonts w:eastAsia="Arial" w:cs="Arial" w:ascii="Arial" w:hAnsi="Arial"/>
          <w:color w:val="ED171F"/>
          <w:sz w:val="20"/>
          <w:szCs w:val="20"/>
          <w:u w:val="single"/>
          <w:lang w:val="en-GB" w:eastAsia="en-GB" w:bidi="en-GB"/>
        </w:rPr>
        <w:t>Dénonciation</w:t>
      </w:r>
    </w:p>
    <w:p>
      <w:pPr>
        <w:pStyle w:val="Normal"/>
        <w:jc w:val="both"/>
        <w:rPr>
          <w:rStyle w:val="ElApptiartf"/>
          <w:rFonts w:ascii="Arial" w:hAnsi="Arial" w:eastAsia="Arial" w:cs="Arial"/>
          <w:b w:val="false"/>
          <w:b w:val="false"/>
          <w:bCs w:val="false"/>
          <w:sz w:val="20"/>
          <w:szCs w:val="20"/>
          <w:u w:val="single"/>
          <w:lang w:val="en-GB" w:eastAsia="en-GB" w:bidi="en-GB"/>
        </w:rPr>
      </w:pPr>
      <w:r>
        <w:rPr/>
      </w:r>
    </w:p>
    <w:p>
      <w:pPr>
        <w:pStyle w:val="ElAppp"/>
        <w:spacing w:before="75" w:after="75"/>
        <w:ind w:right="15" w:hanging="0"/>
        <w:jc w:val="both"/>
        <w:rPr>
          <w:sz w:val="20"/>
          <w:szCs w:val="20"/>
          <w:lang w:val="en-GB" w:eastAsia="en-GB" w:bidi="en-GB"/>
        </w:rPr>
      </w:pPr>
      <w:r>
        <w:rPr>
          <w:sz w:val="20"/>
          <w:szCs w:val="20"/>
          <w:lang w:val="en-GB" w:eastAsia="en-GB" w:bidi="en-GB"/>
        </w:rPr>
        <w:t>Conformément aux dispositions de l'article L. 2261-9 du code du travail, le présent accord et ses avenants éventuels peuvent être dénoncés par l'une ou l'autre des parties signataires, sur notification écrite aux autres parties par lettre recommandée avec avis de réception.</w:t>
      </w:r>
    </w:p>
    <w:p>
      <w:pPr>
        <w:pStyle w:val="ElAppp"/>
        <w:spacing w:before="75" w:after="75"/>
        <w:ind w:right="15" w:hanging="0"/>
        <w:jc w:val="both"/>
        <w:rPr>
          <w:sz w:val="20"/>
          <w:szCs w:val="20"/>
          <w:lang w:val="en-GB" w:eastAsia="en-GB" w:bidi="en-GB"/>
        </w:rPr>
      </w:pPr>
      <w:r>
        <w:rPr>
          <w:sz w:val="20"/>
          <w:szCs w:val="20"/>
          <w:lang w:val="en-GB" w:eastAsia="en-GB" w:bidi="en-GB"/>
        </w:rPr>
      </w:r>
    </w:p>
    <w:p>
      <w:pPr>
        <w:pStyle w:val="ElAppp"/>
        <w:spacing w:before="75" w:after="75"/>
        <w:ind w:right="15" w:hanging="0"/>
        <w:jc w:val="both"/>
        <w:rPr>
          <w:sz w:val="20"/>
          <w:szCs w:val="20"/>
          <w:lang w:val="en-GB" w:eastAsia="en-GB" w:bidi="en-GB"/>
        </w:rPr>
      </w:pPr>
      <w:r>
        <w:rPr>
          <w:sz w:val="20"/>
          <w:szCs w:val="20"/>
          <w:lang w:val="en-GB" w:eastAsia="en-GB" w:bidi="en-GB"/>
        </w:rPr>
        <w:t xml:space="preserve">La dénonciation prend effet à l'issue du préavis de 1 an. </w:t>
      </w:r>
    </w:p>
    <w:p>
      <w:pPr>
        <w:pStyle w:val="ElAppp"/>
        <w:spacing w:before="75" w:after="75"/>
        <w:ind w:right="15" w:hanging="0"/>
        <w:jc w:val="both"/>
        <w:rPr>
          <w:sz w:val="20"/>
          <w:szCs w:val="20"/>
          <w:lang w:val="en-GB" w:eastAsia="en-GB" w:bidi="en-GB"/>
        </w:rPr>
      </w:pPr>
      <w:r>
        <w:rPr>
          <w:sz w:val="20"/>
          <w:szCs w:val="20"/>
          <w:lang w:val="en-GB" w:eastAsia="en-GB" w:bidi="en-GB"/>
        </w:rPr>
        <w:t xml:space="preserve">En effet, en paie, le contingent d’heures est sur l’année civile. Cela permet d’être au plus juste sur les droits et les acquisitions de chacun des salariés. En milieu d’année ce n’est pas possible de changer. </w:t>
      </w:r>
    </w:p>
    <w:p>
      <w:pPr>
        <w:pStyle w:val="Normal"/>
        <w:ind w:left="900" w:hanging="0"/>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r>
    </w:p>
    <w:p>
      <w:pPr>
        <w:pStyle w:val="ElAppp"/>
        <w:spacing w:before="75" w:after="75"/>
        <w:ind w:right="15" w:hanging="0"/>
        <w:jc w:val="both"/>
        <w:rPr>
          <w:sz w:val="20"/>
          <w:szCs w:val="20"/>
          <w:lang w:val="en-GB" w:eastAsia="en-GB" w:bidi="en-GB"/>
        </w:rPr>
      </w:pPr>
      <w:r>
        <w:rPr>
          <w:sz w:val="20"/>
          <w:szCs w:val="20"/>
          <w:lang w:val="en-GB" w:eastAsia="en-GB" w:bidi="en-GB"/>
        </w:rPr>
        <w:t>Le courrier de dénonciation donnera lieu également au dépôt auprès de la Direccte de Loire Atlantique 1A boulevard de Berlin 44024 NANTES</w:t>
      </w:r>
    </w:p>
    <w:p>
      <w:pPr>
        <w:pStyle w:val="Normal"/>
        <w:ind w:left="900" w:hanging="0"/>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r>
    </w:p>
    <w:p>
      <w:pPr>
        <w:pStyle w:val="ElAppp"/>
        <w:spacing w:before="75" w:after="75"/>
        <w:ind w:right="15" w:hanging="0"/>
        <w:jc w:val="both"/>
        <w:rPr>
          <w:sz w:val="20"/>
          <w:szCs w:val="20"/>
          <w:lang w:val="en-GB" w:eastAsia="en-GB" w:bidi="en-GB"/>
        </w:rPr>
      </w:pPr>
      <w:r>
        <w:rPr>
          <w:sz w:val="20"/>
          <w:szCs w:val="20"/>
          <w:lang w:val="en-GB" w:eastAsia="en-GB" w:bidi="en-GB"/>
        </w:rPr>
        <w:t>Pendant la durée du préavis, la direction s'engage à réunir les parties afin de négocier un éventuel accord de substitution.</w:t>
      </w:r>
    </w:p>
    <w:p>
      <w:pPr>
        <w:pStyle w:val="Normal"/>
        <w:ind w:left="900" w:hanging="0"/>
        <w:jc w:val="both"/>
        <w:rPr>
          <w:rFonts w:ascii="Arial" w:hAnsi="Arial" w:eastAsia="Arial" w:cs="Arial"/>
          <w:sz w:val="20"/>
          <w:szCs w:val="20"/>
          <w:lang w:val="en-GB" w:eastAsia="en-GB" w:bidi="en-GB"/>
        </w:rPr>
      </w:pPr>
      <w:r>
        <w:rPr>
          <w:rFonts w:eastAsia="Arial" w:cs="Arial" w:ascii="Arial" w:hAnsi="Arial"/>
          <w:sz w:val="20"/>
          <w:szCs w:val="20"/>
          <w:lang w:val="en-GB" w:eastAsia="en-GB" w:bidi="en-GB"/>
        </w:rPr>
      </w:r>
    </w:p>
    <w:p>
      <w:pPr>
        <w:pStyle w:val="Normal"/>
        <w:jc w:val="both"/>
        <w:rPr/>
      </w:pPr>
      <w:r>
        <w:rPr>
          <w:rFonts w:eastAsia="Arial" w:cs="Arial" w:ascii="Arial" w:hAnsi="Arial"/>
          <w:sz w:val="20"/>
          <w:szCs w:val="20"/>
          <w:lang w:val="en-GB" w:eastAsia="en-GB" w:bidi="en-GB"/>
        </w:rPr>
        <w:br/>
      </w:r>
      <w:r>
        <w:rPr>
          <w:rStyle w:val="ElApptiartf"/>
          <w:rFonts w:eastAsia="Arial" w:cs="Arial" w:ascii="Arial" w:hAnsi="Arial"/>
          <w:sz w:val="20"/>
          <w:szCs w:val="20"/>
          <w:u w:val="single"/>
          <w:lang w:val="en-GB" w:eastAsia="en-GB" w:bidi="en-GB"/>
        </w:rPr>
        <w:t xml:space="preserve">Article 8 - </w:t>
      </w:r>
      <w:r>
        <w:rPr>
          <w:rStyle w:val="ElApptiartf"/>
          <w:rFonts w:eastAsia="Arial" w:cs="Arial" w:ascii="Arial" w:hAnsi="Arial"/>
          <w:color w:val="ED171F"/>
          <w:sz w:val="20"/>
          <w:szCs w:val="20"/>
          <w:u w:val="single"/>
          <w:lang w:val="en-GB" w:eastAsia="en-GB" w:bidi="en-GB"/>
        </w:rPr>
        <w:t>Dépôt et publicité</w:t>
      </w:r>
    </w:p>
    <w:p>
      <w:pPr>
        <w:pStyle w:val="ElAppp"/>
        <w:spacing w:before="75" w:after="75"/>
        <w:ind w:left="15" w:right="15" w:hanging="0"/>
        <w:jc w:val="both"/>
        <w:rPr>
          <w:rStyle w:val="ElApptiartf"/>
          <w:rFonts w:ascii="Arial" w:hAnsi="Arial" w:eastAsia="Arial" w:cs="Arial"/>
          <w:color w:val="ED171F"/>
          <w:sz w:val="20"/>
          <w:szCs w:val="20"/>
          <w:u w:val="single"/>
          <w:lang w:val="en-GB" w:eastAsia="en-GB" w:bidi="en-GB"/>
        </w:rPr>
      </w:pPr>
      <w:r>
        <w:rPr/>
      </w:r>
    </w:p>
    <w:p>
      <w:pPr>
        <w:pStyle w:val="ElAppp"/>
        <w:spacing w:before="75" w:after="75"/>
        <w:ind w:left="15" w:right="15" w:hanging="0"/>
        <w:jc w:val="both"/>
        <w:rPr/>
      </w:pPr>
      <w:r>
        <w:rPr>
          <w:sz w:val="20"/>
          <w:szCs w:val="20"/>
          <w:lang w:val="en-GB" w:eastAsia="en-GB" w:bidi="en-GB"/>
        </w:rPr>
        <w:t>Le présent accord sera déposé sur la plateforme « TéléAccords » accessible depuis le site accompagné des pièces prévues à l'article  D. 2231-7 du code du travail par monsieur ROUSSEAU Sébastien représentant légal de l'entreprise.</w:t>
      </w:r>
    </w:p>
    <w:p>
      <w:pPr>
        <w:pStyle w:val="ElAppp"/>
        <w:spacing w:before="75" w:after="75"/>
        <w:ind w:left="15" w:right="15" w:hanging="0"/>
        <w:jc w:val="both"/>
        <w:rPr>
          <w:sz w:val="20"/>
          <w:szCs w:val="20"/>
          <w:lang w:val="en-GB" w:eastAsia="en-GB" w:bidi="en-GB"/>
        </w:rPr>
      </w:pPr>
      <w:r>
        <w:rPr>
          <w:sz w:val="20"/>
          <w:szCs w:val="20"/>
          <w:lang w:val="en-GB" w:eastAsia="en-GB" w:bidi="en-GB"/>
        </w:rPr>
      </w:r>
    </w:p>
    <w:p>
      <w:pPr>
        <w:pStyle w:val="ElAppp"/>
        <w:spacing w:before="75" w:after="75"/>
        <w:ind w:left="15" w:right="15" w:hanging="0"/>
        <w:jc w:val="both"/>
        <w:rPr>
          <w:sz w:val="20"/>
          <w:szCs w:val="20"/>
          <w:lang w:val="en-GB" w:eastAsia="en-GB" w:bidi="en-GB"/>
        </w:rPr>
      </w:pPr>
      <w:r>
        <w:rPr>
          <w:sz w:val="20"/>
          <w:szCs w:val="20"/>
          <w:lang w:val="en-GB" w:eastAsia="en-GB" w:bidi="en-GB"/>
        </w:rPr>
        <w:t>Conformément à l'article D. 2231-2, un exemplaire de l'accord est également remis au greffe du conseil de prud'hommes de Nantes, 26 Boulevard Vincent Gâche, 44000 Nantes.</w:t>
      </w:r>
    </w:p>
    <w:p>
      <w:pPr>
        <w:pStyle w:val="ElAppp"/>
        <w:spacing w:before="75" w:after="75"/>
        <w:ind w:left="15" w:right="15" w:hanging="0"/>
        <w:jc w:val="both"/>
        <w:rPr>
          <w:sz w:val="20"/>
          <w:szCs w:val="20"/>
          <w:lang w:val="en-GB" w:eastAsia="en-GB" w:bidi="en-GB"/>
        </w:rPr>
      </w:pPr>
      <w:r>
        <w:rPr>
          <w:sz w:val="20"/>
          <w:szCs w:val="20"/>
          <w:lang w:val="en-GB" w:eastAsia="en-GB" w:bidi="en-GB"/>
        </w:rPr>
      </w:r>
    </w:p>
    <w:p>
      <w:pPr>
        <w:pStyle w:val="ElAppp"/>
        <w:spacing w:before="75" w:after="75"/>
        <w:ind w:left="15" w:right="15" w:hanging="0"/>
        <w:jc w:val="both"/>
        <w:rPr>
          <w:sz w:val="20"/>
          <w:szCs w:val="20"/>
          <w:lang w:val="en-GB" w:eastAsia="en-GB" w:bidi="en-GB"/>
        </w:rPr>
      </w:pPr>
      <w:r>
        <w:rPr>
          <w:sz w:val="20"/>
          <w:szCs w:val="20"/>
          <w:lang w:val="en-GB" w:eastAsia="en-GB" w:bidi="en-GB"/>
        </w:rPr>
        <w:t>Les éventuels avenants de révision du présent accord feront l'objet des mêmes mesures de publicité.</w:t>
      </w:r>
    </w:p>
    <w:p>
      <w:pPr>
        <w:pStyle w:val="ElApp"/>
        <w:jc w:val="both"/>
        <w:rPr>
          <w:sz w:val="20"/>
          <w:szCs w:val="20"/>
          <w:lang w:val="en-GB" w:eastAsia="en-GB" w:bidi="en-GB"/>
        </w:rPr>
      </w:pPr>
      <w:r>
        <w:rPr>
          <w:sz w:val="20"/>
          <w:szCs w:val="20"/>
          <w:lang w:val="en-GB" w:eastAsia="en-GB" w:bidi="en-GB"/>
        </w:rPr>
      </w:r>
    </w:p>
    <w:p>
      <w:pPr>
        <w:pStyle w:val="ElApp"/>
        <w:jc w:val="both"/>
        <w:rPr>
          <w:sz w:val="20"/>
          <w:szCs w:val="20"/>
          <w:lang w:val="en-GB" w:eastAsia="en-GB" w:bidi="en-GB"/>
        </w:rPr>
      </w:pPr>
      <w:r>
        <w:rPr>
          <w:sz w:val="20"/>
          <w:szCs w:val="20"/>
          <w:lang w:val="en-GB" w:eastAsia="en-GB" w:bidi="en-GB"/>
        </w:rPr>
      </w:r>
    </w:p>
    <w:p>
      <w:pPr>
        <w:pStyle w:val="ElApp"/>
        <w:jc w:val="both"/>
        <w:rPr>
          <w:sz w:val="20"/>
          <w:szCs w:val="20"/>
          <w:lang w:val="en-GB" w:eastAsia="en-GB" w:bidi="en-GB"/>
        </w:rPr>
      </w:pPr>
      <w:r>
        <w:rPr>
          <w:sz w:val="20"/>
          <w:szCs w:val="20"/>
          <w:lang w:val="en-GB" w:eastAsia="en-GB" w:bidi="en-GB"/>
        </w:rPr>
        <w:t>Date et Signatures</w:t>
      </w:r>
    </w:p>
    <w:p>
      <w:pPr>
        <w:pStyle w:val="ElApp"/>
        <w:jc w:val="both"/>
        <w:rPr>
          <w:sz w:val="20"/>
          <w:szCs w:val="20"/>
          <w:lang w:val="en-GB" w:eastAsia="en-GB" w:bidi="en-GB"/>
        </w:rPr>
      </w:pPr>
      <w:r>
        <w:rPr>
          <w:sz w:val="20"/>
          <w:szCs w:val="20"/>
          <w:lang w:val="en-GB" w:eastAsia="en-GB" w:bidi="en-GB"/>
        </w:rPr>
      </w:r>
    </w:p>
    <w:p>
      <w:pPr>
        <w:pStyle w:val="ElApp"/>
        <w:tabs>
          <w:tab w:val="left" w:pos="5529" w:leader="none"/>
        </w:tabs>
        <w:jc w:val="both"/>
        <w:rPr/>
      </w:pPr>
      <w:r>
        <w:rPr>
          <w:sz w:val="20"/>
          <w:szCs w:val="20"/>
          <w:lang w:val="en-GB" w:eastAsia="en-GB" w:bidi="en-GB"/>
        </w:rPr>
        <w:t>Pour ////////////// CSE TITULAIRE</w:t>
        <w:tab/>
        <w:t xml:space="preserve">Pour l’employeur ///////////////// </w:t>
      </w:r>
    </w:p>
    <w:p>
      <w:pPr>
        <w:pStyle w:val="ElApp"/>
        <w:jc w:val="both"/>
        <w:rPr>
          <w:sz w:val="20"/>
          <w:szCs w:val="20"/>
          <w:lang w:val="en-GB" w:eastAsia="en-GB" w:bidi="en-GB"/>
        </w:rPr>
      </w:pPr>
      <w:r>
        <w:rPr>
          <w:sz w:val="20"/>
          <w:szCs w:val="20"/>
          <w:lang w:val="en-GB" w:eastAsia="en-GB" w:bidi="en-GB"/>
        </w:rPr>
        <w:t>« lu et approuvé, bon pour application</w:t>
      </w:r>
    </w:p>
    <w:p>
      <w:pPr>
        <w:pStyle w:val="ElApp"/>
        <w:jc w:val="both"/>
        <w:rPr>
          <w:sz w:val="20"/>
          <w:szCs w:val="20"/>
          <w:lang w:val="en-GB" w:eastAsia="en-GB" w:bidi="en-GB"/>
        </w:rPr>
      </w:pPr>
      <w:r>
        <w:rPr>
          <w:sz w:val="20"/>
          <w:szCs w:val="20"/>
          <w:lang w:val="en-GB" w:eastAsia="en-GB" w:bidi="en-GB"/>
        </w:rPr>
        <w:t>Du présent accord au 1</w:t>
      </w:r>
      <w:r>
        <w:rPr>
          <w:sz w:val="20"/>
          <w:szCs w:val="20"/>
          <w:vertAlign w:val="superscript"/>
          <w:lang w:val="en-GB" w:eastAsia="en-GB" w:bidi="en-GB"/>
        </w:rPr>
        <w:t>er</w:t>
      </w:r>
      <w:r>
        <w:rPr>
          <w:sz w:val="20"/>
          <w:szCs w:val="20"/>
          <w:lang w:val="en-GB" w:eastAsia="en-GB" w:bidi="en-GB"/>
        </w:rPr>
        <w:t xml:space="preserve"> janvier 2021 »</w:t>
      </w:r>
      <w:bookmarkStart w:id="0" w:name="_PictureBullets"/>
      <w:bookmarkEnd w:id="0"/>
      <w:r>
        <w:rPr>
          <w:lang w:val="en-GB" w:eastAsia="en-GB"/>
        </w:rPr>
        <w:t xml:space="preserve"> </w:t>
      </w:r>
    </w:p>
    <w:sectPr>
      <w:type w:val="nextPage"/>
      <w:pgSz w:w="12240" w:h="15840"/>
      <w:pgMar w:left="1417" w:right="1183" w:header="0" w:top="1417" w:footer="0" w:bottom="1135"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numPicBullet w:numPicBulletId="0">
    <w:pict>
      <v:shape style="width:11.25pt;height:11.25pt" o:bullet="t">
        <v:imagedata r:id="rId1" o:title=""/>
      </v:shape>
    </w:pict>
  </w:numPicBullet>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pStyle w:val="Heading5"/>
      <w:numFmt w:val="none"/>
      <w:suff w:val="nothing"/>
      <w:lvlText w:val=""/>
      <w:lvlJc w:val="left"/>
      <w:pPr>
        <w:ind w:left="0" w:hanging="0"/>
      </w:pPr>
    </w:lvl>
    <w:lvl w:ilvl="5">
      <w:start w:val="1"/>
      <w:pStyle w:val="Heading6"/>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1">
    <w:name w:val="Heading 1"/>
    <w:basedOn w:val="Normal"/>
    <w:next w:val="Normal"/>
    <w:qFormat/>
    <w:pPr>
      <w:keepNext w:val="true"/>
      <w:numPr>
        <w:ilvl w:val="0"/>
        <w:numId w:val="1"/>
      </w:numPr>
      <w:spacing w:before="240" w:after="60"/>
      <w:outlineLvl w:val="0"/>
    </w:pPr>
    <w:rPr>
      <w:rFonts w:ascii="Times New Roman" w:hAnsi="Times New Roman" w:eastAsia="Times New Roman" w:cs="Times New Roman"/>
      <w:b/>
      <w:bCs/>
      <w:i w:val="false"/>
      <w:sz w:val="48"/>
      <w:szCs w:val="48"/>
    </w:rPr>
  </w:style>
  <w:style w:type="paragraph" w:styleId="Heading2">
    <w:name w:val="Heading 2"/>
    <w:basedOn w:val="Normal"/>
    <w:next w:val="Normal"/>
    <w:qFormat/>
    <w:pPr>
      <w:keepNext w:val="true"/>
      <w:numPr>
        <w:ilvl w:val="1"/>
        <w:numId w:val="1"/>
      </w:numPr>
      <w:spacing w:before="240" w:after="60"/>
      <w:outlineLvl w:val="1"/>
    </w:pPr>
    <w:rPr>
      <w:rFonts w:ascii="Times New Roman" w:hAnsi="Times New Roman" w:eastAsia="Times New Roman" w:cs="Times New Roman"/>
      <w:b/>
      <w:bCs/>
      <w:i w:val="false"/>
      <w:iCs/>
      <w:sz w:val="36"/>
      <w:szCs w:val="36"/>
    </w:rPr>
  </w:style>
  <w:style w:type="paragraph" w:styleId="Heading3">
    <w:name w:val="Heading 3"/>
    <w:basedOn w:val="Normal"/>
    <w:next w:val="Normal"/>
    <w:qFormat/>
    <w:pPr>
      <w:keepNext w:val="true"/>
      <w:numPr>
        <w:ilvl w:val="2"/>
        <w:numId w:val="1"/>
      </w:numPr>
      <w:spacing w:before="240" w:after="60"/>
      <w:outlineLvl w:val="2"/>
    </w:pPr>
    <w:rPr>
      <w:rFonts w:ascii="Times New Roman" w:hAnsi="Times New Roman" w:eastAsia="Times New Roman" w:cs="Times New Roman"/>
      <w:b/>
      <w:bCs/>
      <w:i w:val="false"/>
      <w:sz w:val="28"/>
      <w:szCs w:val="28"/>
    </w:rPr>
  </w:style>
  <w:style w:type="paragraph" w:styleId="Heading4">
    <w:name w:val="Heading 4"/>
    <w:basedOn w:val="Normal"/>
    <w:next w:val="Normal"/>
    <w:qFormat/>
    <w:pPr>
      <w:keepNext w:val="true"/>
      <w:numPr>
        <w:ilvl w:val="3"/>
        <w:numId w:val="1"/>
      </w:numPr>
      <w:spacing w:before="240" w:after="60"/>
      <w:outlineLvl w:val="3"/>
    </w:pPr>
    <w:rPr>
      <w:rFonts w:ascii="Times New Roman" w:hAnsi="Times New Roman" w:eastAsia="Times New Roman" w:cs="Times New Roman"/>
      <w:b/>
      <w:bCs/>
      <w:i w:val="false"/>
      <w:sz w:val="24"/>
      <w:szCs w:val="24"/>
    </w:rPr>
  </w:style>
  <w:style w:type="paragraph" w:styleId="Heading5">
    <w:name w:val="Heading 5"/>
    <w:basedOn w:val="Normal"/>
    <w:next w:val="Normal"/>
    <w:qFormat/>
    <w:pPr>
      <w:numPr>
        <w:ilvl w:val="4"/>
        <w:numId w:val="1"/>
      </w:numPr>
      <w:spacing w:before="240" w:after="60"/>
      <w:outlineLvl w:val="4"/>
    </w:pPr>
    <w:rPr>
      <w:rFonts w:ascii="Times New Roman" w:hAnsi="Times New Roman" w:eastAsia="Times New Roman" w:cs="Times New Roman"/>
      <w:b/>
      <w:bCs/>
      <w:i w:val="false"/>
      <w:iCs/>
      <w:sz w:val="20"/>
      <w:szCs w:val="20"/>
    </w:rPr>
  </w:style>
  <w:style w:type="paragraph" w:styleId="Heading6">
    <w:name w:val="Heading 6"/>
    <w:basedOn w:val="Normal"/>
    <w:next w:val="Normal"/>
    <w:qFormat/>
    <w:pPr>
      <w:numPr>
        <w:ilvl w:val="5"/>
        <w:numId w:val="1"/>
      </w:numPr>
      <w:spacing w:before="240" w:after="60"/>
      <w:outlineLvl w:val="5"/>
    </w:pPr>
    <w:rPr>
      <w:rFonts w:ascii="Times New Roman" w:hAnsi="Times New Roman" w:eastAsia="Times New Roman" w:cs="Times New Roman"/>
      <w:b/>
      <w:bCs/>
      <w:i w:val="false"/>
      <w:sz w:val="16"/>
      <w:szCs w:val="16"/>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Policepardfaut">
    <w:name w:val="Police par défaut"/>
    <w:qFormat/>
    <w:rPr/>
  </w:style>
  <w:style w:type="character" w:styleId="ElAppxlargeandbold">
    <w:name w:val="ElApp_xlargeandbold"/>
    <w:qFormat/>
    <w:rPr>
      <w:b/>
      <w:bCs/>
      <w:sz w:val="29"/>
      <w:szCs w:val="29"/>
    </w:rPr>
  </w:style>
  <w:style w:type="character" w:styleId="ElApptexteDP02">
    <w:name w:val="ElApp_texteDP02"/>
    <w:qFormat/>
    <w:rPr>
      <w:color w:val="ED171F"/>
    </w:rPr>
  </w:style>
  <w:style w:type="character" w:styleId="ElApptiartf">
    <w:name w:val="ElApp_tiartf"/>
    <w:qFormat/>
    <w:rPr>
      <w:b/>
      <w:bCs/>
      <w:sz w:val="15"/>
      <w:szCs w:val="15"/>
    </w:rPr>
  </w:style>
  <w:style w:type="character" w:styleId="ElApplarge">
    <w:name w:val="ElApp_large"/>
    <w:qFormat/>
    <w:rPr>
      <w:sz w:val="26"/>
      <w:szCs w:val="26"/>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ElApp">
    <w:name w:val="ElApp"/>
    <w:basedOn w:val="Normal"/>
    <w:qFormat/>
    <w:pPr/>
    <w:rPr>
      <w:rFonts w:ascii="Arial" w:hAnsi="Arial" w:eastAsia="Arial" w:cs="Arial"/>
      <w:sz w:val="17"/>
      <w:szCs w:val="17"/>
    </w:rPr>
  </w:style>
  <w:style w:type="paragraph" w:styleId="ElAppp">
    <w:name w:val="ElApp_p"/>
    <w:basedOn w:val="Normal"/>
    <w:qFormat/>
    <w:pPr/>
    <w:rPr>
      <w:rFonts w:ascii="Arial" w:hAnsi="Arial" w:eastAsia="Arial" w:cs="Arial"/>
      <w:sz w:val="17"/>
      <w:szCs w:val="17"/>
    </w:rPr>
  </w:style>
  <w:style w:type="paragraph" w:styleId="ElApptidtifaligncenter">
    <w:name w:val="ElApp_tidtifaligncenter"/>
    <w:basedOn w:val="Normal"/>
    <w:qFormat/>
    <w:pPr>
      <w:jc w:val="center"/>
    </w:pPr>
    <w:rPr>
      <w:color w:val="666699"/>
      <w:sz w:val="23"/>
      <w:szCs w:val="23"/>
    </w:rPr>
  </w:style>
  <w:style w:type="paragraph" w:styleId="ElAppchoix">
    <w:name w:val="ElApp_choix"/>
    <w:basedOn w:val="Normal"/>
    <w:qFormat/>
    <w:pPr>
      <w:pBdr/>
      <w:jc w:val="left"/>
    </w:pPr>
    <w:rPr/>
  </w:style>
  <w:style w:type="paragraph" w:styleId="ElAppajout">
    <w:name w:val="ElApp_ajout"/>
    <w:basedOn w:val="Normal"/>
    <w:qFormat/>
    <w:pPr>
      <w:pBdr/>
    </w:pPr>
    <w:rPr/>
  </w:style>
  <w:style w:type="paragraph" w:styleId="CopyRight">
    <w:name w:val="copyRight"/>
    <w:basedOn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word/_rels/numbering.xml.rels><?xml version="1.0" encoding="UTF-8"?>
<Relationships xmlns="http://schemas.openxmlformats.org/package/2006/relationships"><Relationship Id="rId1"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2020-11-02T09:24:00Z</dcterms:created>
  <dc:creator/>
  <dc:description/>
  <dc:language>en-GB</dc:language>
  <cp:lastModifiedBy/>
  <dcterms:modified xsi:type="dcterms:W3CDTF">2020-11-02T09:24:00Z</dcterms:modified>
  <cp:revision>2</cp:revision>
  <dc:subject/>
  <dc:title/>
</cp:coreProperties>
</file>