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Verdana" w:hAnsi="Verdana" w:cs="Verdana"/>
          <w:color w:val="000000"/>
          <w:sz w:val="20"/>
        </w:rPr>
      </w:pPr>
      <w:r>
        <w:rPr>
          <w:rFonts w:cs="Verdana" w:ascii="Verdana" w:hAnsi="Verdana"/>
          <w:color w:val="000000"/>
          <w:sz w:val="20"/>
          <w:lang w:val="en-GB" w:eastAsia="en-GB"/>
        </w:rPr>
        <w:drawing>
          <wp:inline distT="0" distB="0" distL="0" distR="0">
            <wp:extent cx="800100" cy="8286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00100" cy="828675"/>
                    </a:xfrm>
                    <a:prstGeom prst="rect">
                      <a:avLst/>
                    </a:prstGeom>
                  </pic:spPr>
                </pic:pic>
              </a:graphicData>
            </a:graphic>
          </wp:inline>
        </w:drawing>
      </w:r>
    </w:p>
    <w:p>
      <w:pPr>
        <w:pStyle w:val="Normal"/>
        <w:spacing w:lineRule="auto" w:line="120" w:before="0" w:after="0"/>
        <w:rPr>
          <w:rFonts w:ascii="Verdana" w:hAnsi="Verdana" w:cs="Raavi"/>
          <w:b/>
          <w:b/>
          <w:bCs/>
          <w:color w:val="000000"/>
          <w:sz w:val="22"/>
          <w:szCs w:val="22"/>
        </w:rPr>
      </w:pPr>
      <w:r>
        <w:rPr>
          <w:rFonts w:cs="Raavi" w:ascii="Verdana" w:hAnsi="Verdana"/>
          <w:b/>
          <w:bCs/>
          <w:color w:val="000000"/>
          <w:sz w:val="22"/>
          <w:szCs w:val="22"/>
        </w:rPr>
      </w:r>
    </w:p>
    <w:p>
      <w:pPr>
        <w:pStyle w:val="Normal"/>
        <w:spacing w:lineRule="auto" w:line="120" w:before="0" w:after="0"/>
        <w:rPr>
          <w:rFonts w:ascii="Verdana" w:hAnsi="Verdana" w:cs="Raavi"/>
          <w:b/>
          <w:b/>
          <w:bCs/>
          <w:color w:val="000000"/>
          <w:sz w:val="22"/>
          <w:szCs w:val="22"/>
        </w:rPr>
      </w:pPr>
      <w:r>
        <w:rPr>
          <w:rFonts w:cs="Raavi" w:ascii="Verdana" w:hAnsi="Verdana"/>
          <w:b/>
          <w:bCs/>
          <w:color w:val="000000"/>
          <w:sz w:val="22"/>
          <w:szCs w:val="22"/>
        </w:rPr>
      </w:r>
    </w:p>
    <w:p>
      <w:pPr>
        <w:pStyle w:val="Normal"/>
        <w:spacing w:lineRule="auto" w:line="120" w:before="0" w:after="0"/>
        <w:rPr>
          <w:rFonts w:ascii="Verdana" w:hAnsi="Verdana" w:cs="Raavi"/>
          <w:b/>
          <w:b/>
          <w:bCs/>
          <w:color w:val="000000"/>
          <w:sz w:val="22"/>
          <w:szCs w:val="22"/>
        </w:rPr>
      </w:pPr>
      <w:r>
        <w:rPr>
          <w:rFonts w:cs="Raavi" w:ascii="Verdana" w:hAnsi="Verdana"/>
          <w:b/>
          <w:bCs/>
          <w:color w:val="000000"/>
          <w:sz w:val="22"/>
          <w:szCs w:val="22"/>
        </w:rPr>
      </w:r>
    </w:p>
    <w:p>
      <w:pPr>
        <w:pStyle w:val="Normal"/>
        <w:spacing w:lineRule="auto" w:line="240" w:before="0" w:after="0"/>
        <w:rPr>
          <w:rFonts w:ascii="Verdana" w:hAnsi="Verdana" w:cs="Raavi"/>
          <w:b/>
          <w:b/>
          <w:bCs/>
          <w:color w:val="000000"/>
          <w:sz w:val="22"/>
          <w:szCs w:val="22"/>
        </w:rPr>
      </w:pPr>
      <w:r>
        <w:rPr>
          <w:rFonts w:cs="Raavi" w:ascii="Verdana" w:hAnsi="Verdana"/>
          <w:b/>
          <w:bCs/>
          <w:color w:val="000000"/>
          <w:sz w:val="22"/>
          <w:szCs w:val="22"/>
        </w:rPr>
        <w:t>Direction Services-Courrier-Colis Midi Pyrénées Nord</w:t>
      </w:r>
    </w:p>
    <w:p>
      <w:pPr>
        <w:pStyle w:val="Normal"/>
        <w:spacing w:lineRule="auto" w:line="240" w:before="0" w:after="0"/>
        <w:rPr>
          <w:rFonts w:ascii="Verdana" w:hAnsi="Verdana" w:cs="Raavi"/>
          <w:b/>
          <w:b/>
          <w:bCs/>
          <w:color w:val="000000"/>
          <w:sz w:val="22"/>
          <w:szCs w:val="22"/>
        </w:rPr>
      </w:pPr>
      <w:r>
        <w:rPr>
          <w:rFonts w:cs="Raavi" w:ascii="Verdana" w:hAnsi="Verdana"/>
          <w:b/>
          <w:bCs/>
          <w:color w:val="000000"/>
          <w:sz w:val="22"/>
          <w:szCs w:val="22"/>
        </w:rPr>
        <w:t>Etablissement de LHOSPITALET PAYS DE CAHORS PPDC</w:t>
      </w:r>
    </w:p>
    <w:p>
      <w:pPr>
        <w:pStyle w:val="Normal"/>
        <w:rPr>
          <w:rFonts w:ascii="Verdana" w:hAnsi="Verdana" w:cs="Verdana"/>
          <w:b/>
          <w:b/>
          <w:bCs/>
          <w:color w:val="000000"/>
          <w:sz w:val="22"/>
          <w:szCs w:val="22"/>
        </w:rPr>
      </w:pPr>
      <w:r>
        <w:rPr>
          <w:rFonts w:cs="Verdana" w:ascii="Verdana" w:hAnsi="Verdana"/>
          <w:b/>
          <w:bCs/>
          <w:color w:val="000000"/>
          <w:sz w:val="22"/>
          <w:szCs w:val="22"/>
        </w:rPr>
      </w:r>
    </w:p>
    <w:p>
      <w:pPr>
        <w:pStyle w:val="Normal"/>
        <w:jc w:val="center"/>
        <w:rPr>
          <w:rFonts w:ascii="Verdana" w:hAnsi="Verdana" w:cs="Raavi"/>
          <w:b/>
          <w:b/>
          <w:bCs/>
          <w:color w:val="000000"/>
          <w:sz w:val="32"/>
          <w:szCs w:val="32"/>
        </w:rPr>
      </w:pPr>
      <w:r>
        <w:rPr>
          <w:rFonts w:cs="Raavi" w:ascii="Verdana" w:hAnsi="Verdana"/>
          <w:b/>
          <w:bCs/>
          <w:color w:val="000000"/>
          <w:sz w:val="32"/>
          <w:szCs w:val="32"/>
        </w:rPr>
      </w:r>
    </w:p>
    <w:p>
      <w:pPr>
        <w:pStyle w:val="Normal"/>
        <w:jc w:val="center"/>
        <w:rPr>
          <w:rFonts w:ascii="Verdana" w:hAnsi="Verdana" w:cs="Raavi"/>
          <w:b/>
          <w:b/>
          <w:bCs/>
          <w:color w:val="000000"/>
          <w:sz w:val="32"/>
          <w:szCs w:val="32"/>
        </w:rPr>
      </w:pPr>
      <w:r>
        <w:rPr>
          <w:rFonts w:cs="Raavi" w:ascii="Verdana" w:hAnsi="Verdana"/>
          <w:b/>
          <w:bCs/>
          <w:color w:val="000000"/>
          <w:sz w:val="32"/>
          <w:szCs w:val="32"/>
        </w:rPr>
      </w:r>
    </w:p>
    <w:p>
      <w:pPr>
        <w:pStyle w:val="Normal"/>
        <w:jc w:val="center"/>
        <w:rPr>
          <w:rFonts w:ascii="Verdana" w:hAnsi="Verdana" w:cs="Raavi"/>
          <w:b/>
          <w:b/>
          <w:bCs/>
          <w:color w:val="000000"/>
          <w:sz w:val="32"/>
          <w:szCs w:val="32"/>
        </w:rPr>
      </w:pPr>
      <w:r>
        <w:rPr>
          <w:rFonts w:cs="Raavi" w:ascii="Verdana" w:hAnsi="Verdana"/>
          <w:b/>
          <w:bCs/>
          <w:color w:val="000000"/>
          <w:sz w:val="32"/>
          <w:szCs w:val="32"/>
        </w:rPr>
      </w:r>
    </w:p>
    <w:p>
      <w:pPr>
        <w:pStyle w:val="Normal"/>
        <w:jc w:val="center"/>
        <w:rPr>
          <w:rFonts w:ascii="Verdana" w:hAnsi="Verdana" w:cs="Raavi"/>
          <w:b/>
          <w:b/>
          <w:bCs/>
          <w:color w:val="000000"/>
          <w:sz w:val="32"/>
          <w:szCs w:val="32"/>
        </w:rPr>
      </w:pPr>
      <w:r>
        <w:rPr>
          <w:rFonts w:cs="Raavi" w:ascii="Verdana" w:hAnsi="Verdana"/>
          <w:b/>
          <w:bCs/>
          <w:color w:val="000000"/>
          <w:sz w:val="32"/>
          <w:szCs w:val="32"/>
        </w:rPr>
      </w:r>
    </w:p>
    <w:p>
      <w:pPr>
        <w:pStyle w:val="Normal"/>
        <w:jc w:val="center"/>
        <w:rPr>
          <w:rFonts w:ascii="Verdana" w:hAnsi="Verdana" w:cs="Raavi"/>
          <w:b/>
          <w:b/>
          <w:bCs/>
          <w:color w:val="000000"/>
          <w:sz w:val="32"/>
          <w:szCs w:val="32"/>
        </w:rPr>
      </w:pPr>
      <w:r>
        <w:rPr>
          <w:rFonts w:cs="Raavi" w:ascii="Verdana" w:hAnsi="Verdana"/>
          <w:b/>
          <w:bCs/>
          <w:color w:val="000000"/>
          <w:sz w:val="32"/>
          <w:szCs w:val="32"/>
        </w:rPr>
      </w:r>
    </w:p>
    <w:p>
      <w:pPr>
        <w:pStyle w:val="Normal"/>
        <w:shd w:fill="C4BC96" w:val="clear"/>
        <w:tabs>
          <w:tab w:val="left" w:pos="3969" w:leader="none"/>
          <w:tab w:val="center" w:pos="4535" w:leader="none"/>
          <w:tab w:val="left" w:pos="6765" w:leader="none"/>
        </w:tabs>
        <w:spacing w:lineRule="auto" w:line="240" w:before="0" w:after="0"/>
        <w:jc w:val="center"/>
        <w:rPr>
          <w:rFonts w:ascii="Verdana" w:hAnsi="Verdana" w:cs="Raavi"/>
          <w:b/>
          <w:b/>
          <w:bCs/>
          <w:i/>
          <w:i/>
          <w:color w:val="000000"/>
          <w:sz w:val="48"/>
          <w:szCs w:val="48"/>
        </w:rPr>
      </w:pPr>
      <w:r>
        <w:rPr>
          <w:rFonts w:cs="Raavi" w:ascii="Verdana" w:hAnsi="Verdana"/>
          <w:b/>
          <w:bCs/>
          <w:i/>
          <w:color w:val="000000"/>
          <w:sz w:val="48"/>
          <w:szCs w:val="48"/>
        </w:rPr>
        <w:t>ACCORD COLLECTIF</w:t>
      </w:r>
    </w:p>
    <w:p>
      <w:pPr>
        <w:pStyle w:val="Normal"/>
        <w:shd w:fill="C4BC96" w:val="clear"/>
        <w:tabs>
          <w:tab w:val="left" w:pos="3969" w:leader="none"/>
          <w:tab w:val="center" w:pos="4535" w:leader="none"/>
          <w:tab w:val="left" w:pos="6765" w:leader="none"/>
        </w:tabs>
        <w:spacing w:lineRule="auto" w:line="240" w:before="0" w:after="0"/>
        <w:jc w:val="center"/>
        <w:rPr>
          <w:rFonts w:ascii="Verdana" w:hAnsi="Verdana" w:cs="Raavi"/>
          <w:b/>
          <w:b/>
          <w:bCs/>
          <w:color w:val="000000"/>
          <w:sz w:val="48"/>
          <w:szCs w:val="48"/>
        </w:rPr>
      </w:pPr>
      <w:r>
        <w:rPr>
          <w:rFonts w:cs="Raavi" w:ascii="Verdana" w:hAnsi="Verdana"/>
          <w:b/>
          <w:bCs/>
          <w:color w:val="000000"/>
          <w:sz w:val="48"/>
          <w:szCs w:val="48"/>
        </w:rPr>
        <w:t xml:space="preserve">BACK OFFICE </w:t>
      </w:r>
    </w:p>
    <w:p>
      <w:pPr>
        <w:pStyle w:val="Normal"/>
        <w:shd w:fill="C4BC96" w:val="clear"/>
        <w:tabs>
          <w:tab w:val="left" w:pos="3969" w:leader="none"/>
          <w:tab w:val="center" w:pos="4535" w:leader="none"/>
          <w:tab w:val="left" w:pos="6765" w:leader="none"/>
        </w:tabs>
        <w:spacing w:lineRule="auto" w:line="240" w:before="0" w:after="0"/>
        <w:jc w:val="center"/>
        <w:rPr>
          <w:rFonts w:ascii="Verdana" w:hAnsi="Verdana" w:cs="Raavi"/>
          <w:b/>
          <w:b/>
          <w:bCs/>
          <w:color w:val="000000"/>
          <w:sz w:val="48"/>
          <w:szCs w:val="48"/>
        </w:rPr>
      </w:pPr>
      <w:r>
        <w:rPr>
          <w:rFonts w:cs="Raavi" w:ascii="Verdana" w:hAnsi="Verdana"/>
          <w:b/>
          <w:bCs/>
          <w:color w:val="000000"/>
          <w:sz w:val="48"/>
          <w:szCs w:val="48"/>
        </w:rPr>
        <w:t>LHOSPITALET PAYS DE CAHORS PPDC</w:t>
      </w:r>
    </w:p>
    <w:p>
      <w:pPr>
        <w:pStyle w:val="Normal"/>
        <w:shd w:fill="C4BC96" w:val="clear"/>
        <w:jc w:val="center"/>
        <w:rPr>
          <w:rFonts w:ascii="Verdana" w:hAnsi="Verdana" w:cs="Raavi"/>
          <w:b/>
          <w:b/>
          <w:bCs/>
          <w:i/>
          <w:i/>
          <w:color w:val="000000"/>
          <w:sz w:val="36"/>
          <w:szCs w:val="36"/>
        </w:rPr>
      </w:pPr>
      <w:r>
        <w:rPr>
          <w:rFonts w:cs="Raavi" w:ascii="Verdana" w:hAnsi="Verdana"/>
          <w:b/>
          <w:bCs/>
          <w:i/>
          <w:color w:val="000000"/>
          <w:sz w:val="36"/>
          <w:szCs w:val="36"/>
        </w:rPr>
      </w:r>
    </w:p>
    <w:p>
      <w:pPr>
        <w:pStyle w:val="Normal"/>
        <w:rPr>
          <w:rFonts w:ascii="Verdana" w:hAnsi="Verdana" w:cs="Raavi"/>
          <w:b/>
          <w:b/>
          <w:bCs/>
          <w:i/>
          <w:i/>
          <w:color w:val="000000"/>
          <w:sz w:val="32"/>
          <w:szCs w:val="32"/>
        </w:rPr>
      </w:pPr>
      <w:r>
        <w:rPr>
          <w:rFonts w:cs="Raavi" w:ascii="Verdana" w:hAnsi="Verdana"/>
          <w:b/>
          <w:bCs/>
          <w:i/>
          <w:color w:val="000000"/>
          <w:sz w:val="32"/>
          <w:szCs w:val="32"/>
        </w:rPr>
      </w:r>
    </w:p>
    <w:p>
      <w:pPr>
        <w:pStyle w:val="Normal"/>
        <w:rPr>
          <w:rFonts w:ascii="Verdana" w:hAnsi="Verdana" w:cs="Verdana"/>
          <w:color w:val="000000"/>
          <w:sz w:val="32"/>
          <w:szCs w:val="32"/>
        </w:rPr>
      </w:pPr>
      <w:r>
        <w:rPr>
          <w:rFonts w:cs="Verdana" w:ascii="Verdana" w:hAnsi="Verdana"/>
          <w:color w:val="000000"/>
          <w:sz w:val="32"/>
          <w:szCs w:val="32"/>
        </w:rPr>
      </w:r>
      <w:r>
        <w:br w:type="page"/>
      </w:r>
    </w:p>
    <w:p>
      <w:pPr>
        <w:pStyle w:val="Normal"/>
        <w:jc w:val="center"/>
        <w:rPr>
          <w:rFonts w:ascii="Verdana" w:hAnsi="Verdana" w:cs="Verdana"/>
          <w:color w:val="000000"/>
        </w:rPr>
      </w:pPr>
      <w:r>
        <w:rPr>
          <w:rFonts w:cs="Verdana" w:ascii="Verdana" w:hAnsi="Verdana"/>
          <w:color w:val="000000"/>
        </w:rPr>
      </w:r>
    </w:p>
    <w:p>
      <w:pPr>
        <w:pStyle w:val="Normal"/>
        <w:ind w:left="540" w:hanging="0"/>
        <w:jc w:val="center"/>
        <w:rPr>
          <w:rFonts w:ascii="Verdana" w:hAnsi="Verdana" w:cs="Verdana"/>
          <w:b/>
          <w:b/>
          <w:bCs/>
          <w:color w:val="000000"/>
          <w:sz w:val="22"/>
          <w:szCs w:val="22"/>
        </w:rPr>
      </w:pPr>
      <w:r>
        <w:rPr>
          <w:rStyle w:val="Texte1"/>
          <w:rFonts w:cs="Verdana" w:ascii="Verdana" w:hAnsi="Verdana"/>
          <w:b/>
          <w:bCs/>
          <w:color w:val="000000"/>
          <w:sz w:val="22"/>
          <w:szCs w:val="22"/>
        </w:rPr>
        <w:t>ACCORD COLLECTIF INSTITUANT UNE ORGANISATION DU TEMPS DE  TRAVAIL PLURI-HEBDOMADAIRE A LA PPDC DE LHOSPITALET PAYS DE CAHORS, pour le personnel des services arrière, Guichets, Cabine et S3C</w:t>
      </w:r>
    </w:p>
    <w:p>
      <w:pPr>
        <w:pStyle w:val="TextBody"/>
        <w:rPr>
          <w:rFonts w:cs="Arial"/>
          <w:color w:val="000000"/>
          <w:szCs w:val="22"/>
        </w:rPr>
      </w:pPr>
      <w:r>
        <w:rPr>
          <w:rFonts w:cs="Arial"/>
          <w:color w:val="000000"/>
          <w:szCs w:val="22"/>
        </w:rPr>
        <w:t xml:space="preserve">Le présent accord est signé dans le respect de l’Accord cadre de La Poste du 17 février 1999 et de l'accord sur le dialogue social du 21 juin 2004. </w:t>
      </w:r>
    </w:p>
    <w:p>
      <w:pPr>
        <w:pStyle w:val="Normal"/>
        <w:jc w:val="both"/>
        <w:rPr>
          <w:rFonts w:ascii="Verdana" w:hAnsi="Verdana" w:cs="Arial"/>
          <w:color w:val="000000"/>
          <w:sz w:val="22"/>
          <w:szCs w:val="22"/>
        </w:rPr>
      </w:pPr>
      <w:r>
        <w:rPr>
          <w:rFonts w:cs="Arial" w:ascii="Verdana" w:hAnsi="Verdana"/>
          <w:color w:val="000000"/>
          <w:sz w:val="22"/>
          <w:szCs w:val="22"/>
        </w:rPr>
        <w:t xml:space="preserve">Entre les soussignés, </w:t>
      </w:r>
    </w:p>
    <w:p>
      <w:pPr>
        <w:pStyle w:val="Normal"/>
        <w:jc w:val="both"/>
        <w:rPr>
          <w:rFonts w:ascii="Verdana" w:hAnsi="Verdana" w:cs="Arial"/>
          <w:color w:val="000000"/>
          <w:sz w:val="22"/>
          <w:szCs w:val="22"/>
        </w:rPr>
      </w:pPr>
      <w:r>
        <w:rPr>
          <w:rFonts w:cs="Arial" w:ascii="Verdana" w:hAnsi="Verdana"/>
          <w:color w:val="000000"/>
          <w:sz w:val="22"/>
          <w:szCs w:val="22"/>
        </w:rPr>
        <w:t>La Société La Poste, représentée par              , en sa qualité de Directeur d’Etablissement de LHOSPITALET Pays de Cahors PPDC, mandaté par              , DSCC Midi Pyrénées Nord par intérim.</w:t>
      </w:r>
    </w:p>
    <w:p>
      <w:pPr>
        <w:pStyle w:val="Normal"/>
        <w:jc w:val="both"/>
        <w:rPr>
          <w:rFonts w:ascii="Verdana" w:hAnsi="Verdana" w:cs="Arial"/>
          <w:color w:val="000000"/>
          <w:sz w:val="22"/>
          <w:szCs w:val="22"/>
        </w:rPr>
      </w:pPr>
      <w:r>
        <w:rPr>
          <w:rFonts w:cs="Arial" w:ascii="Verdana" w:hAnsi="Verdana"/>
          <w:color w:val="000000"/>
          <w:sz w:val="22"/>
          <w:szCs w:val="22"/>
        </w:rPr>
        <w:t>D’une part</w:t>
      </w:r>
    </w:p>
    <w:p>
      <w:pPr>
        <w:pStyle w:val="Normal"/>
        <w:jc w:val="both"/>
        <w:rPr>
          <w:rFonts w:ascii="Verdana" w:hAnsi="Verdana" w:cs="Arial"/>
          <w:color w:val="000000"/>
          <w:sz w:val="22"/>
          <w:szCs w:val="22"/>
        </w:rPr>
      </w:pPr>
      <w:r>
        <w:rPr>
          <w:rFonts w:cs="Arial" w:ascii="Verdana" w:hAnsi="Verdana"/>
          <w:color w:val="000000"/>
          <w:sz w:val="22"/>
          <w:szCs w:val="22"/>
        </w:rPr>
        <w:t>ET</w:t>
      </w:r>
    </w:p>
    <w:p>
      <w:pPr>
        <w:pStyle w:val="Texte"/>
        <w:spacing w:lineRule="auto" w:line="240"/>
        <w:rPr>
          <w:rFonts w:ascii="Verdana" w:hAnsi="Verdana" w:cs="Verdana"/>
          <w:color w:val="000000"/>
          <w:szCs w:val="22"/>
        </w:rPr>
      </w:pPr>
      <w:r>
        <w:rPr>
          <w:rFonts w:cs="Verdana" w:ascii="Verdana" w:hAnsi="Verdana"/>
          <w:color w:val="000000"/>
          <w:szCs w:val="22"/>
        </w:rPr>
        <w:t>Les organisations professionnelles représentées respectivement par :</w:t>
      </w:r>
    </w:p>
    <w:p>
      <w:pPr>
        <w:pStyle w:val="Texte"/>
        <w:spacing w:lineRule="auto" w:line="240"/>
        <w:rPr>
          <w:rFonts w:ascii="Verdana" w:hAnsi="Verdana" w:cs="Verdana"/>
          <w:color w:val="000000"/>
          <w:szCs w:val="22"/>
        </w:rPr>
      </w:pPr>
      <w:r>
        <w:rPr>
          <w:rFonts w:cs="Arial" w:ascii="Verdana" w:hAnsi="Verdana"/>
          <w:color w:val="000000"/>
          <w:szCs w:val="22"/>
        </w:rPr>
        <w:t>M.</w:t>
        <w:tab/>
        <w:tab/>
        <w:t>mandaté (e) par le syndicat CFDT,</w:t>
      </w:r>
    </w:p>
    <w:p>
      <w:pPr>
        <w:pStyle w:val="Normal"/>
        <w:spacing w:lineRule="auto" w:line="240" w:before="480" w:after="290"/>
        <w:jc w:val="both"/>
        <w:rPr/>
      </w:pPr>
      <w:r>
        <w:rPr>
          <w:rFonts w:cs="Arial" w:ascii="Verdana" w:hAnsi="Verdana"/>
          <w:color w:val="000000"/>
          <w:sz w:val="22"/>
          <w:szCs w:val="22"/>
        </w:rPr>
        <w:t>M.</w:t>
        <w:tab/>
        <w:tab/>
        <w:t>mandaté (e) par le syndicat CGT,</w:t>
      </w:r>
    </w:p>
    <w:p>
      <w:pPr>
        <w:pStyle w:val="Normal"/>
        <w:spacing w:lineRule="auto" w:line="240" w:before="480" w:after="290"/>
        <w:jc w:val="both"/>
        <w:rPr/>
      </w:pPr>
      <w:r>
        <w:rPr>
          <w:rFonts w:cs="Arial" w:ascii="Verdana" w:hAnsi="Verdana"/>
          <w:color w:val="000000"/>
          <w:sz w:val="22"/>
          <w:szCs w:val="22"/>
        </w:rPr>
        <w:t>Mme</w:t>
        <w:tab/>
        <w:tab/>
        <w:t>mandaté (e) par le syndicat FO,</w:t>
      </w:r>
    </w:p>
    <w:p>
      <w:pPr>
        <w:pStyle w:val="Normal"/>
        <w:spacing w:lineRule="auto" w:line="240" w:before="480" w:after="290"/>
        <w:jc w:val="both"/>
        <w:rPr/>
      </w:pPr>
      <w:r>
        <w:rPr>
          <w:rFonts w:cs="Arial" w:ascii="Verdana" w:hAnsi="Verdana"/>
          <w:color w:val="000000"/>
          <w:sz w:val="22"/>
          <w:szCs w:val="22"/>
        </w:rPr>
        <w:t>M.</w:t>
        <w:tab/>
        <w:tab/>
        <w:t>mandaté (e) par le syndicat SUD,</w:t>
      </w:r>
    </w:p>
    <w:p>
      <w:pPr>
        <w:pStyle w:val="Normal"/>
        <w:jc w:val="both"/>
        <w:rPr>
          <w:rFonts w:ascii="Verdana" w:hAnsi="Verdana" w:cs="Arial"/>
          <w:color w:val="000000"/>
          <w:sz w:val="22"/>
          <w:szCs w:val="22"/>
        </w:rPr>
      </w:pPr>
      <w:r>
        <w:rPr>
          <w:rFonts w:cs="Arial" w:ascii="Verdana" w:hAnsi="Verdana"/>
          <w:color w:val="000000"/>
          <w:sz w:val="22"/>
          <w:szCs w:val="22"/>
        </w:rPr>
      </w:r>
    </w:p>
    <w:p>
      <w:pPr>
        <w:pStyle w:val="Normal"/>
        <w:jc w:val="both"/>
        <w:rPr>
          <w:rFonts w:ascii="Verdana" w:hAnsi="Verdana" w:cs="Arial"/>
          <w:color w:val="000000"/>
          <w:sz w:val="22"/>
          <w:szCs w:val="22"/>
        </w:rPr>
      </w:pPr>
      <w:r>
        <w:rPr>
          <w:rFonts w:cs="Arial" w:ascii="Verdana" w:hAnsi="Verdana"/>
          <w:color w:val="000000"/>
          <w:sz w:val="22"/>
          <w:szCs w:val="22"/>
        </w:rPr>
        <w:t>D’autre part,</w:t>
      </w:r>
    </w:p>
    <w:p>
      <w:pPr>
        <w:pStyle w:val="Normal"/>
        <w:jc w:val="both"/>
        <w:rPr>
          <w:rFonts w:ascii="Verdana" w:hAnsi="Verdana" w:cs="Arial"/>
          <w:color w:val="000000"/>
          <w:sz w:val="22"/>
          <w:szCs w:val="22"/>
        </w:rPr>
      </w:pPr>
      <w:r>
        <w:rPr>
          <w:rFonts w:cs="Arial" w:ascii="Verdana" w:hAnsi="Verdana"/>
          <w:color w:val="000000"/>
          <w:sz w:val="22"/>
          <w:szCs w:val="22"/>
        </w:rPr>
      </w:r>
      <w:r>
        <w:br w:type="page"/>
      </w:r>
    </w:p>
    <w:p>
      <w:pPr>
        <w:pStyle w:val="Normal"/>
        <w:jc w:val="center"/>
        <w:rPr>
          <w:rFonts w:ascii="Verdana" w:hAnsi="Verdana" w:cs="Verdana"/>
          <w:b/>
          <w:b/>
          <w:bCs/>
          <w:color w:val="000000"/>
          <w:sz w:val="22"/>
          <w:szCs w:val="22"/>
        </w:rPr>
      </w:pPr>
      <w:r>
        <w:rPr>
          <w:rFonts w:cs="Verdana" w:ascii="Verdana" w:hAnsi="Verdana"/>
          <w:b/>
          <w:bCs/>
          <w:color w:val="000000"/>
          <w:sz w:val="22"/>
          <w:szCs w:val="22"/>
        </w:rPr>
      </w:r>
    </w:p>
    <w:p>
      <w:pPr>
        <w:pStyle w:val="Heading1"/>
        <w:rPr>
          <w:rFonts w:ascii="Verdana" w:hAnsi="Verdana" w:cs="Verdana"/>
          <w:color w:val="000000"/>
          <w:sz w:val="22"/>
          <w:szCs w:val="22"/>
        </w:rPr>
      </w:pPr>
      <w:r>
        <w:rPr>
          <w:rFonts w:cs="Verdana" w:ascii="Verdana" w:hAnsi="Verdana"/>
          <w:color w:val="000000"/>
          <w:sz w:val="22"/>
          <w:szCs w:val="22"/>
        </w:rPr>
        <w:t>PREAMBULE</w:t>
      </w:r>
    </w:p>
    <w:p>
      <w:pPr>
        <w:pStyle w:val="Texte"/>
        <w:rPr>
          <w:rFonts w:ascii="Verdana" w:hAnsi="Verdana" w:cs="Verdana"/>
          <w:color w:val="000000"/>
          <w:szCs w:val="22"/>
        </w:rPr>
      </w:pPr>
      <w:r>
        <w:rPr>
          <w:rFonts w:cs="Verdana" w:ascii="Verdana" w:hAnsi="Verdana"/>
          <w:color w:val="000000"/>
          <w:szCs w:val="22"/>
        </w:rPr>
        <w:t>Le présent document a pour objet de définir l’organisation du temps de travail applicable aux personnels des services arrière, de la PPDC de LHOSPITALET, guichets, cabine et S3C.</w:t>
      </w:r>
    </w:p>
    <w:p>
      <w:pPr>
        <w:pStyle w:val="Normal"/>
        <w:jc w:val="both"/>
        <w:rPr/>
      </w:pPr>
      <w:r>
        <w:rPr>
          <w:rFonts w:cs="Verdana" w:ascii="Verdana" w:hAnsi="Verdana"/>
          <w:color w:val="000000"/>
          <w:sz w:val="22"/>
          <w:szCs w:val="22"/>
        </w:rPr>
        <w:t>Il contient notamment la période de référence appliquée dans l’établissement et les règles applicables en matière de décompte des heures supplémentaires.</w:t>
      </w:r>
      <w:r>
        <w:rPr>
          <w:rFonts w:cs="Arial" w:ascii="Verdana" w:hAnsi="Verdana"/>
          <w:color w:val="000000"/>
          <w:sz w:val="20"/>
          <w:szCs w:val="22"/>
        </w:rPr>
        <w:t xml:space="preserve"> </w:t>
      </w:r>
    </w:p>
    <w:p>
      <w:pPr>
        <w:pStyle w:val="Normal"/>
        <w:jc w:val="both"/>
        <w:rPr>
          <w:rFonts w:ascii="Verdana" w:hAnsi="Verdana" w:cs="Arial"/>
          <w:color w:val="000000"/>
          <w:sz w:val="22"/>
          <w:szCs w:val="22"/>
        </w:rPr>
      </w:pPr>
      <w:r>
        <w:rPr>
          <w:rFonts w:cs="Arial" w:ascii="Verdana" w:hAnsi="Verdana"/>
          <w:color w:val="000000"/>
          <w:sz w:val="22"/>
          <w:szCs w:val="22"/>
        </w:rPr>
        <w:t>Il est convenu ce qui suit, étant précisé que le projet de texte a été soumis à l’information consultation du CHSCT en date du 3 mai 2018 du premier CT en date 14 juin 2018 et du deuxième CT en date du 3 juillet 2018.</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1 – CHAMP D’APPLICATION</w:t>
      </w:r>
    </w:p>
    <w:p>
      <w:pPr>
        <w:pStyle w:val="Texte"/>
        <w:rPr>
          <w:rFonts w:ascii="Verdana" w:hAnsi="Verdana" w:cs="Arial"/>
          <w:color w:val="000000"/>
          <w:szCs w:val="22"/>
        </w:rPr>
      </w:pPr>
      <w:r>
        <w:rPr>
          <w:rFonts w:cs="Arial" w:ascii="Verdana" w:hAnsi="Verdana"/>
          <w:color w:val="000000"/>
          <w:szCs w:val="22"/>
        </w:rPr>
        <w:t>Le présent accord mettant en place une organisation du temps de travail sur une période de plusieurs semaines est applicable à l'ensemble du personnel, fonctionnaires et salariés des services arrière, de la PPDC de LHOSPITALET, guichets, cabine et S3C.</w:t>
      </w:r>
    </w:p>
    <w:p>
      <w:pPr>
        <w:pStyle w:val="Normal"/>
        <w:spacing w:before="0" w:after="240"/>
        <w:rPr/>
      </w:pPr>
      <w:r>
        <w:rPr>
          <w:rFonts w:cs="Arial" w:ascii="Verdana" w:hAnsi="Verdana"/>
          <w:color w:val="000000"/>
          <w:sz w:val="22"/>
          <w:szCs w:val="22"/>
        </w:rPr>
        <w:t>Il est convenu que l’organisation du temps de travail mise en place dans le cadre du présent accord, prévue pour le personnel sus visé, se substitue aux anciens régimes de travail résultant d’usages ou d’accords collectifs, jusqu’alors en vigueur dans les services précités et personnels concernés.</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2 – DUREE DU TRAVAIL</w:t>
      </w:r>
    </w:p>
    <w:p>
      <w:pPr>
        <w:pStyle w:val="NormalWeb"/>
        <w:spacing w:before="0" w:after="0"/>
        <w:jc w:val="both"/>
        <w:rPr>
          <w:rFonts w:ascii="Verdana" w:hAnsi="Verdana" w:cs="Arial"/>
          <w:sz w:val="22"/>
          <w:szCs w:val="22"/>
        </w:rPr>
      </w:pPr>
      <w:r>
        <w:rPr>
          <w:rFonts w:cs="Arial" w:ascii="Verdana" w:hAnsi="Verdana"/>
          <w:sz w:val="22"/>
          <w:szCs w:val="22"/>
        </w:rPr>
        <w:t>Conformément aux articles L.3122-1 et suivants du Code du travail  et à l’accord cadre du 17 février 1999, la durée hebdomadaire du travail effectif du personnel visé à l’article 1 est de 35 heures en moyenne sur la période de référence définie à l’article 3.</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3 – AMENAGEMENT DU TEMPS DE TRAVAIL</w:t>
      </w:r>
    </w:p>
    <w:p>
      <w:pPr>
        <w:pStyle w:val="Texte"/>
        <w:spacing w:before="280" w:after="280"/>
        <w:rPr>
          <w:rFonts w:ascii="Verdana" w:hAnsi="Verdana" w:cs="Verdana"/>
          <w:b/>
          <w:b/>
          <w:color w:val="000000"/>
          <w:szCs w:val="22"/>
        </w:rPr>
      </w:pPr>
      <w:r>
        <w:rPr>
          <w:rFonts w:cs="Verdana" w:ascii="Verdana" w:hAnsi="Verdana"/>
          <w:b/>
          <w:color w:val="000000"/>
          <w:szCs w:val="22"/>
        </w:rPr>
        <w:t>3.1 – Régime de travail des services arrière, de la PPDC de LHOSPITALET, guichets, cabine et S3C.</w:t>
      </w:r>
    </w:p>
    <w:p>
      <w:pPr>
        <w:pStyle w:val="Texte"/>
        <w:spacing w:before="280" w:after="280"/>
        <w:rPr>
          <w:rFonts w:ascii="Verdana" w:hAnsi="Verdana" w:cs="Verdana"/>
          <w:b/>
          <w:b/>
          <w:color w:val="000000"/>
          <w:szCs w:val="22"/>
        </w:rPr>
      </w:pPr>
      <w:r>
        <w:rPr>
          <w:rFonts w:cs="Verdana" w:ascii="Verdana" w:hAnsi="Verdana"/>
          <w:b/>
          <w:color w:val="000000"/>
          <w:szCs w:val="22"/>
        </w:rPr>
      </w:r>
    </w:p>
    <w:p>
      <w:pPr>
        <w:pStyle w:val="Texte"/>
        <w:spacing w:before="280" w:after="280"/>
        <w:rPr>
          <w:rFonts w:ascii="Verdana" w:hAnsi="Verdana" w:cs="Verdana"/>
          <w:b/>
          <w:b/>
          <w:color w:val="000000"/>
          <w:szCs w:val="22"/>
        </w:rPr>
      </w:pPr>
      <w:r>
        <w:rPr>
          <w:rFonts w:cs="Verdana" w:ascii="Verdana" w:hAnsi="Verdana"/>
          <w:b/>
          <w:color w:val="000000"/>
          <w:szCs w:val="22"/>
        </w:rPr>
      </w:r>
    </w:p>
    <w:p>
      <w:pPr>
        <w:pStyle w:val="Texte"/>
        <w:spacing w:before="280" w:after="280"/>
        <w:rPr>
          <w:rFonts w:ascii="Verdana" w:hAnsi="Verdana" w:cs="Verdana"/>
          <w:b/>
          <w:b/>
          <w:color w:val="000000"/>
          <w:szCs w:val="22"/>
        </w:rPr>
      </w:pPr>
      <w:r>
        <w:rPr>
          <w:rFonts w:cs="Verdana" w:ascii="Verdana" w:hAnsi="Verdana"/>
          <w:b/>
          <w:color w:val="000000"/>
          <w:szCs w:val="22"/>
        </w:rPr>
      </w:r>
    </w:p>
    <w:p>
      <w:pPr>
        <w:pStyle w:val="Normal"/>
        <w:spacing w:before="280" w:after="280"/>
        <w:jc w:val="both"/>
        <w:rPr/>
      </w:pPr>
      <w:r>
        <w:rPr>
          <w:rFonts w:cs="Verdana" w:ascii="Verdana" w:hAnsi="Verdana"/>
          <w:b/>
          <w:sz w:val="22"/>
        </w:rPr>
        <w:t>3-1-1</w:t>
      </w:r>
      <w:r>
        <w:rPr>
          <w:rFonts w:cs="Verdana" w:ascii="Verdana" w:hAnsi="Verdana"/>
          <w:sz w:val="22"/>
        </w:rPr>
        <w:t xml:space="preserve"> </w:t>
      </w:r>
      <w:r>
        <w:rPr>
          <w:rFonts w:cs="Verdana" w:ascii="Verdana" w:hAnsi="Verdana"/>
          <w:b/>
          <w:sz w:val="22"/>
        </w:rPr>
        <w:t xml:space="preserve">Guichets, S3C : </w:t>
      </w:r>
    </w:p>
    <w:p>
      <w:pPr>
        <w:pStyle w:val="Normal"/>
        <w:spacing w:before="0" w:after="0"/>
        <w:jc w:val="both"/>
        <w:rPr/>
      </w:pPr>
      <w:r>
        <w:rPr>
          <w:rFonts w:cs="Arial" w:ascii="Verdana" w:hAnsi="Verdana"/>
          <w:sz w:val="22"/>
          <w:szCs w:val="22"/>
        </w:rPr>
        <w:t>La durée du travail définie à l’article 2 est répartie sur une période de référence de 3 semaines.</w:t>
      </w:r>
    </w:p>
    <w:p>
      <w:pPr>
        <w:pStyle w:val="Normal"/>
        <w:spacing w:before="0" w:after="0"/>
        <w:jc w:val="both"/>
        <w:rPr/>
      </w:pPr>
      <w:r>
        <w:rPr>
          <w:rFonts w:cs="Arial" w:ascii="Verdana" w:hAnsi="Verdana"/>
          <w:sz w:val="22"/>
          <w:szCs w:val="22"/>
        </w:rPr>
        <w:t>Sur la durée totale de la période de 3 semaines, les agents travailleront en moyenne 35 heures, selon les modalités suivantes :</w:t>
      </w:r>
    </w:p>
    <w:p>
      <w:pPr>
        <w:pStyle w:val="Normal"/>
        <w:spacing w:before="0" w:after="0"/>
        <w:jc w:val="both"/>
        <w:rPr>
          <w:rFonts w:ascii="Verdana" w:hAnsi="Verdana" w:cs="Arial"/>
          <w:sz w:val="22"/>
          <w:szCs w:val="22"/>
        </w:rPr>
      </w:pPr>
      <w:r>
        <w:rPr>
          <w:rFonts w:cs="Arial" w:ascii="Verdana" w:hAnsi="Verdana"/>
          <w:sz w:val="22"/>
          <w:szCs w:val="22"/>
        </w:rPr>
      </w:r>
    </w:p>
    <w:tbl>
      <w:tblPr>
        <w:tblW w:w="6610" w:type="dxa"/>
        <w:jc w:val="left"/>
        <w:tblInd w:w="5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940"/>
        <w:gridCol w:w="1400"/>
        <w:gridCol w:w="1240"/>
        <w:gridCol w:w="2030"/>
      </w:tblGrid>
      <w:tr>
        <w:trPr>
          <w:trHeight w:val="360" w:hRule="atLeast"/>
        </w:trPr>
        <w:tc>
          <w:tcPr>
            <w:tcW w:w="19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nombre de semaines</w:t>
            </w:r>
          </w:p>
        </w:tc>
        <w:tc>
          <w:tcPr>
            <w:tcW w:w="140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DHT  semaine</w:t>
            </w:r>
          </w:p>
        </w:tc>
        <w:tc>
          <w:tcPr>
            <w:tcW w:w="12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PPH</w:t>
            </w:r>
          </w:p>
        </w:tc>
        <w:tc>
          <w:tcPr>
            <w:tcW w:w="20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Activité</w:t>
            </w:r>
          </w:p>
        </w:tc>
      </w:tr>
      <w:tr>
        <w:trPr>
          <w:trHeight w:val="72" w:hRule="atLeast"/>
        </w:trPr>
        <w:tc>
          <w:tcPr>
            <w:tcW w:w="194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140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124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2</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33h45</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Guichet / S3C</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1</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37h30</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Guichet / S3C</w:t>
            </w:r>
          </w:p>
        </w:tc>
      </w:tr>
    </w:tbl>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280" w:after="280"/>
        <w:jc w:val="both"/>
        <w:rPr/>
      </w:pPr>
      <w:r>
        <w:rPr>
          <w:rFonts w:cs="Verdana" w:ascii="Verdana" w:hAnsi="Verdana"/>
          <w:b/>
          <w:sz w:val="22"/>
        </w:rPr>
        <w:t>3-1-2</w:t>
      </w:r>
      <w:r>
        <w:rPr>
          <w:rFonts w:cs="Verdana" w:ascii="Verdana" w:hAnsi="Verdana"/>
          <w:sz w:val="22"/>
        </w:rPr>
        <w:t xml:space="preserve"> </w:t>
      </w:r>
      <w:r>
        <w:rPr>
          <w:rFonts w:cs="Verdana" w:ascii="Verdana" w:hAnsi="Verdana"/>
          <w:b/>
          <w:sz w:val="22"/>
        </w:rPr>
        <w:t xml:space="preserve">Cabine : </w:t>
      </w:r>
    </w:p>
    <w:p>
      <w:pPr>
        <w:pStyle w:val="Normal"/>
        <w:spacing w:before="0" w:after="0"/>
        <w:jc w:val="both"/>
        <w:rPr/>
      </w:pPr>
      <w:r>
        <w:rPr>
          <w:rFonts w:cs="Arial" w:ascii="Verdana" w:hAnsi="Verdana"/>
          <w:sz w:val="22"/>
          <w:szCs w:val="22"/>
        </w:rPr>
        <w:t>La durée du travail définie à l’article 2 est répartie sur une période de référence de 3 semaines.</w:t>
      </w:r>
    </w:p>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0" w:after="0"/>
        <w:jc w:val="both"/>
        <w:rPr>
          <w:rFonts w:ascii="Verdana" w:hAnsi="Verdana" w:cs="Arial"/>
          <w:sz w:val="22"/>
          <w:szCs w:val="22"/>
        </w:rPr>
      </w:pPr>
      <w:r>
        <w:rPr>
          <w:rFonts w:cs="Arial" w:ascii="Verdana" w:hAnsi="Verdana"/>
          <w:sz w:val="22"/>
          <w:szCs w:val="22"/>
        </w:rPr>
        <w:t>Sur la durée totale de la période de 3 semaines, les agents travailleront en moyenne 35 heures, selon les modalités suivantes :</w:t>
      </w:r>
    </w:p>
    <w:p>
      <w:pPr>
        <w:pStyle w:val="Normal"/>
        <w:spacing w:before="0" w:after="0"/>
        <w:jc w:val="both"/>
        <w:rPr>
          <w:rFonts w:ascii="Verdana" w:hAnsi="Verdana" w:cs="Arial"/>
          <w:sz w:val="22"/>
          <w:szCs w:val="22"/>
        </w:rPr>
      </w:pPr>
      <w:r>
        <w:rPr>
          <w:rFonts w:cs="Arial" w:ascii="Verdana" w:hAnsi="Verdana"/>
          <w:sz w:val="22"/>
          <w:szCs w:val="22"/>
        </w:rPr>
      </w:r>
    </w:p>
    <w:tbl>
      <w:tblPr>
        <w:tblW w:w="6610" w:type="dxa"/>
        <w:jc w:val="left"/>
        <w:tblInd w:w="5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940"/>
        <w:gridCol w:w="1400"/>
        <w:gridCol w:w="1240"/>
        <w:gridCol w:w="2030"/>
      </w:tblGrid>
      <w:tr>
        <w:trPr>
          <w:trHeight w:val="288" w:hRule="atLeast"/>
        </w:trPr>
        <w:tc>
          <w:tcPr>
            <w:tcW w:w="19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nombre de semaines</w:t>
            </w:r>
          </w:p>
        </w:tc>
        <w:tc>
          <w:tcPr>
            <w:tcW w:w="140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DHT  semaine</w:t>
            </w:r>
          </w:p>
        </w:tc>
        <w:tc>
          <w:tcPr>
            <w:tcW w:w="12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PPH</w:t>
            </w:r>
          </w:p>
        </w:tc>
        <w:tc>
          <w:tcPr>
            <w:tcW w:w="20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Activité</w:t>
            </w:r>
          </w:p>
        </w:tc>
      </w:tr>
      <w:tr>
        <w:trPr>
          <w:trHeight w:val="96" w:hRule="atLeast"/>
        </w:trPr>
        <w:tc>
          <w:tcPr>
            <w:tcW w:w="194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140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124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1</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33h16</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cabine</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1</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32h50</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cabine</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1</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38h54</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cabine</w:t>
            </w:r>
          </w:p>
        </w:tc>
      </w:tr>
    </w:tbl>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280" w:after="280"/>
        <w:jc w:val="both"/>
        <w:rPr/>
      </w:pPr>
      <w:r>
        <w:rPr>
          <w:rFonts w:cs="Verdana" w:ascii="Verdana" w:hAnsi="Verdana"/>
          <w:b/>
          <w:sz w:val="22"/>
        </w:rPr>
        <w:t>3-1-3</w:t>
      </w:r>
      <w:r>
        <w:rPr>
          <w:rFonts w:cs="Verdana" w:ascii="Verdana" w:hAnsi="Verdana"/>
          <w:sz w:val="22"/>
        </w:rPr>
        <w:t xml:space="preserve"> </w:t>
      </w:r>
      <w:r>
        <w:rPr>
          <w:rFonts w:cs="Verdana" w:ascii="Verdana" w:hAnsi="Verdana"/>
          <w:b/>
          <w:sz w:val="22"/>
        </w:rPr>
        <w:t xml:space="preserve">MRP : </w:t>
      </w:r>
    </w:p>
    <w:p>
      <w:pPr>
        <w:pStyle w:val="Normal"/>
        <w:spacing w:before="0" w:after="0"/>
        <w:jc w:val="both"/>
        <w:rPr/>
      </w:pPr>
      <w:r>
        <w:rPr>
          <w:rFonts w:cs="Arial" w:ascii="Verdana" w:hAnsi="Verdana"/>
          <w:sz w:val="22"/>
          <w:szCs w:val="22"/>
        </w:rPr>
        <w:t>La durée du travail définie à l’article 2 est répartie sur une période de référence de 3 semaines.</w:t>
      </w:r>
    </w:p>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0" w:after="0"/>
        <w:jc w:val="both"/>
        <w:rPr>
          <w:rFonts w:ascii="Verdana" w:hAnsi="Verdana" w:cs="Arial"/>
          <w:sz w:val="22"/>
          <w:szCs w:val="22"/>
        </w:rPr>
      </w:pPr>
      <w:r>
        <w:rPr>
          <w:rFonts w:cs="Arial" w:ascii="Verdana" w:hAnsi="Verdana"/>
          <w:sz w:val="22"/>
          <w:szCs w:val="22"/>
        </w:rPr>
        <w:t>Sur la durée totale de la période de 3 semaines, les agents travailleront en moyenne 35 heures, selon les modalités suivantes :</w:t>
      </w:r>
    </w:p>
    <w:p>
      <w:pPr>
        <w:pStyle w:val="Normal"/>
        <w:spacing w:before="0" w:after="0"/>
        <w:jc w:val="both"/>
        <w:rPr>
          <w:rFonts w:ascii="Verdana" w:hAnsi="Verdana" w:cs="Arial"/>
          <w:sz w:val="22"/>
          <w:szCs w:val="22"/>
        </w:rPr>
      </w:pPr>
      <w:r>
        <w:rPr>
          <w:rFonts w:cs="Arial" w:ascii="Verdana" w:hAnsi="Verdana"/>
          <w:sz w:val="22"/>
          <w:szCs w:val="22"/>
        </w:rPr>
      </w:r>
    </w:p>
    <w:tbl>
      <w:tblPr>
        <w:tblW w:w="6610" w:type="dxa"/>
        <w:jc w:val="left"/>
        <w:tblInd w:w="5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940"/>
        <w:gridCol w:w="1400"/>
        <w:gridCol w:w="1240"/>
        <w:gridCol w:w="2030"/>
      </w:tblGrid>
      <w:tr>
        <w:trPr>
          <w:trHeight w:val="360" w:hRule="atLeast"/>
        </w:trPr>
        <w:tc>
          <w:tcPr>
            <w:tcW w:w="19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nombre de semaines</w:t>
            </w:r>
          </w:p>
        </w:tc>
        <w:tc>
          <w:tcPr>
            <w:tcW w:w="140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DHT  semaine</w:t>
            </w:r>
          </w:p>
        </w:tc>
        <w:tc>
          <w:tcPr>
            <w:tcW w:w="124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PPH</w:t>
            </w:r>
          </w:p>
        </w:tc>
        <w:tc>
          <w:tcPr>
            <w:tcW w:w="20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Activité</w:t>
            </w:r>
          </w:p>
        </w:tc>
      </w:tr>
      <w:tr>
        <w:trPr>
          <w:trHeight w:val="72" w:hRule="atLeast"/>
        </w:trPr>
        <w:tc>
          <w:tcPr>
            <w:tcW w:w="194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140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1240" w:type="dxa"/>
            <w:tcBorders>
              <w:left w:val="single" w:sz="4" w:space="0" w:color="000000"/>
              <w:bottom w:val="single" w:sz="4" w:space="0" w:color="000000"/>
              <w:insideH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BFBFBF"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 </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2</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33h45</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Back-office</w:t>
            </w:r>
          </w:p>
        </w:tc>
      </w:tr>
      <w:tr>
        <w:trPr>
          <w:trHeight w:val="288" w:hRule="atLeast"/>
        </w:trPr>
        <w:tc>
          <w:tcPr>
            <w:tcW w:w="19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1</w:t>
            </w:r>
          </w:p>
        </w:tc>
        <w:tc>
          <w:tcPr>
            <w:tcW w:w="140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37h30</w:t>
            </w:r>
          </w:p>
        </w:tc>
        <w:tc>
          <w:tcPr>
            <w:tcW w:w="1240" w:type="dxa"/>
            <w:tcBorders>
              <w:left w:val="single" w:sz="4" w:space="0" w:color="000000"/>
              <w:bottom w:val="single" w:sz="4" w:space="0" w:color="000000"/>
              <w:insideH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3</w:t>
            </w:r>
          </w:p>
        </w:tc>
        <w:tc>
          <w:tcPr>
            <w:tcW w:w="203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keepLines w:val="false"/>
              <w:spacing w:lineRule="auto" w:line="240" w:before="0" w:after="0"/>
              <w:jc w:val="center"/>
              <w:rPr>
                <w:rFonts w:ascii="Calibri" w:hAnsi="Calibri" w:cs="Calibri"/>
                <w:sz w:val="22"/>
                <w:szCs w:val="22"/>
              </w:rPr>
            </w:pPr>
            <w:r>
              <w:rPr>
                <w:rFonts w:cs="Calibri" w:ascii="Calibri" w:hAnsi="Calibri"/>
                <w:sz w:val="22"/>
                <w:szCs w:val="22"/>
              </w:rPr>
              <w:t>Back-office</w:t>
            </w:r>
          </w:p>
        </w:tc>
      </w:tr>
    </w:tbl>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0" w:after="0"/>
        <w:jc w:val="both"/>
        <w:rPr>
          <w:rFonts w:ascii="Verdana" w:hAnsi="Verdana" w:cs="Arial"/>
          <w:sz w:val="22"/>
          <w:szCs w:val="22"/>
        </w:rPr>
      </w:pPr>
      <w:r>
        <w:rPr>
          <w:rFonts w:cs="Arial" w:ascii="Verdana" w:hAnsi="Verdana"/>
          <w:sz w:val="22"/>
          <w:szCs w:val="22"/>
        </w:rPr>
      </w:r>
    </w:p>
    <w:p>
      <w:pPr>
        <w:pStyle w:val="Normal"/>
        <w:spacing w:before="0" w:after="0"/>
        <w:jc w:val="both"/>
        <w:rPr>
          <w:rFonts w:ascii="Verdana" w:hAnsi="Verdana" w:cs="Arial"/>
          <w:sz w:val="22"/>
          <w:szCs w:val="22"/>
        </w:rPr>
      </w:pPr>
      <w:r>
        <w:rPr>
          <w:rFonts w:cs="Arial" w:ascii="Verdana" w:hAnsi="Verdana"/>
          <w:sz w:val="22"/>
          <w:szCs w:val="22"/>
        </w:rPr>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4 – INFORMATION DES AGENTS SUR LES HORAIRES DE TRAVAIL</w:t>
      </w:r>
    </w:p>
    <w:p>
      <w:pPr>
        <w:pStyle w:val="NormalWeb"/>
        <w:spacing w:before="0" w:after="0"/>
        <w:jc w:val="both"/>
        <w:rPr/>
      </w:pPr>
      <w:r>
        <w:rPr>
          <w:rFonts w:cs="Arial" w:ascii="Verdana" w:hAnsi="Verdana"/>
          <w:sz w:val="22"/>
          <w:szCs w:val="22"/>
        </w:rPr>
        <w:t>La répartition du travail au sein de chaque période de référence ainsi que les horaires collectifs de travail seront affichés dans l’établissement.</w:t>
      </w:r>
    </w:p>
    <w:p>
      <w:pPr>
        <w:pStyle w:val="NormalWeb"/>
        <w:spacing w:before="0" w:after="0"/>
        <w:jc w:val="both"/>
        <w:rPr>
          <w:rFonts w:ascii="Verdana" w:hAnsi="Verdana" w:cs="Arial"/>
          <w:sz w:val="22"/>
          <w:szCs w:val="22"/>
        </w:rPr>
      </w:pPr>
      <w:r>
        <w:rPr>
          <w:rFonts w:cs="Arial" w:ascii="Verdana" w:hAnsi="Verdana"/>
          <w:sz w:val="22"/>
          <w:szCs w:val="22"/>
        </w:rPr>
        <w:t>Les durées journalières de travail, les dates des jours de repos, ainsi que les horaires de travail sont modifiables par l’employeur, en fonction des contraintes de production, sous réserve de respecter un délai de prévenance de 7 jours calendaires.</w:t>
      </w:r>
    </w:p>
    <w:p>
      <w:pPr>
        <w:pStyle w:val="NormalWeb"/>
        <w:spacing w:before="0" w:after="0"/>
        <w:jc w:val="both"/>
        <w:rPr>
          <w:rFonts w:ascii="Verdana" w:hAnsi="Verdana" w:cs="Arial"/>
          <w:sz w:val="22"/>
          <w:szCs w:val="22"/>
        </w:rPr>
      </w:pPr>
      <w:r>
        <w:rPr>
          <w:rFonts w:cs="Arial" w:ascii="Verdana" w:hAnsi="Verdana"/>
          <w:sz w:val="22"/>
          <w:szCs w:val="22"/>
        </w:rPr>
      </w:r>
    </w:p>
    <w:p>
      <w:pPr>
        <w:pStyle w:val="NormalWeb"/>
        <w:spacing w:before="0" w:after="0"/>
        <w:jc w:val="both"/>
        <w:rPr>
          <w:rFonts w:ascii="Verdana" w:hAnsi="Verdana" w:cs="Arial"/>
          <w:sz w:val="22"/>
          <w:szCs w:val="22"/>
        </w:rPr>
      </w:pPr>
      <w:r>
        <w:rPr>
          <w:rFonts w:cs="Arial" w:ascii="Verdana" w:hAnsi="Verdana"/>
          <w:sz w:val="22"/>
          <w:szCs w:val="22"/>
        </w:rPr>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5 – HEURES SUPPLEMENTAIRES</w:t>
      </w:r>
    </w:p>
    <w:p>
      <w:pPr>
        <w:pStyle w:val="NormalWeb"/>
        <w:spacing w:before="0" w:after="0"/>
        <w:jc w:val="both"/>
        <w:rPr>
          <w:rFonts w:ascii="Verdana" w:hAnsi="Verdana" w:cs="Arial"/>
          <w:sz w:val="22"/>
          <w:szCs w:val="22"/>
          <w:u w:val="single"/>
        </w:rPr>
      </w:pPr>
      <w:r>
        <w:rPr>
          <w:rFonts w:cs="Arial" w:ascii="Verdana" w:hAnsi="Verdana"/>
          <w:sz w:val="22"/>
          <w:szCs w:val="22"/>
          <w:u w:val="single"/>
        </w:rPr>
        <w:t>5.1 Définition </w:t>
      </w:r>
    </w:p>
    <w:p>
      <w:pPr>
        <w:pStyle w:val="Normal"/>
        <w:jc w:val="both"/>
        <w:rPr>
          <w:rFonts w:ascii="Verdana" w:hAnsi="Verdana" w:eastAsia="Arial Unicode MS" w:cs="Arial"/>
          <w:color w:val="000000"/>
          <w:sz w:val="22"/>
          <w:szCs w:val="22"/>
        </w:rPr>
      </w:pPr>
      <w:r>
        <w:rPr>
          <w:rFonts w:eastAsia="Arial Unicode MS" w:cs="Arial" w:ascii="Verdana" w:hAnsi="Verdana"/>
          <w:color w:val="000000"/>
          <w:sz w:val="22"/>
          <w:szCs w:val="22"/>
        </w:rPr>
        <w:t>Les heures supplémentaires sont celles réalisées au-delà d’une moyenne de 35H de travail, calculée sur la période de référence définie à l’article 3 du présent accord.</w:t>
      </w:r>
    </w:p>
    <w:p>
      <w:pPr>
        <w:pStyle w:val="Obstrait"/>
        <w:jc w:val="both"/>
        <w:rPr/>
      </w:pPr>
      <w:r>
        <w:rPr>
          <w:rStyle w:val="Tiartf2"/>
          <w:rFonts w:eastAsia="Times New Roman" w:cs="Arial" w:ascii="Verdana" w:hAnsi="Verdana"/>
          <w:sz w:val="22"/>
          <w:szCs w:val="22"/>
          <w:u w:val="single"/>
        </w:rPr>
        <w:t>5.2 Paiement des heures supplémentaires</w:t>
      </w:r>
    </w:p>
    <w:p>
      <w:pPr>
        <w:pStyle w:val="Obstrait"/>
        <w:jc w:val="both"/>
        <w:rPr/>
      </w:pPr>
      <w:r>
        <w:rPr>
          <w:rStyle w:val="Tiartf2"/>
          <w:rFonts w:eastAsia="Times New Roman" w:cs="Arial" w:ascii="Verdana" w:hAnsi="Verdana"/>
          <w:sz w:val="22"/>
          <w:szCs w:val="22"/>
        </w:rPr>
        <w:t>L</w:t>
      </w:r>
      <w:r>
        <w:rPr>
          <w:rFonts w:cs="Arial" w:ascii="Verdana" w:hAnsi="Verdana"/>
          <w:sz w:val="22"/>
          <w:szCs w:val="22"/>
        </w:rPr>
        <w:t xml:space="preserve">e paiement de ces heures et des majorations y afférentes sera : </w:t>
      </w:r>
    </w:p>
    <w:p>
      <w:pPr>
        <w:pStyle w:val="NormalWeb"/>
        <w:spacing w:before="0" w:after="0"/>
        <w:jc w:val="both"/>
        <w:rPr/>
      </w:pPr>
      <w:r>
        <w:rPr>
          <w:rFonts w:cs="Arial" w:ascii="Verdana" w:hAnsi="Verdana"/>
          <w:i/>
          <w:sz w:val="22"/>
          <w:szCs w:val="22"/>
          <w:u w:val="single"/>
        </w:rPr>
        <w:t>Soit</w:t>
      </w:r>
      <w:r>
        <w:rPr>
          <w:rFonts w:cs="Arial" w:ascii="Verdana" w:hAnsi="Verdana"/>
          <w:i/>
          <w:sz w:val="22"/>
          <w:szCs w:val="22"/>
        </w:rPr>
        <w:t xml:space="preserve"> </w:t>
      </w:r>
      <w:r>
        <w:rPr>
          <w:rFonts w:cs="Arial" w:ascii="Verdana" w:hAnsi="Verdana"/>
          <w:sz w:val="22"/>
          <w:szCs w:val="22"/>
        </w:rPr>
        <w:t>remplacé par l’attribution d’un repos compensateur équivalent  auquel cas les heures supplémentaires ne s'imputent pas sur le contingent d'heures supplémentaires, conformément aux dispositions légales ou réglementaires applicables selon le statut de chaque agent concerné.</w:t>
      </w:r>
    </w:p>
    <w:p>
      <w:pPr>
        <w:pStyle w:val="Texte"/>
        <w:spacing w:before="280" w:after="280"/>
        <w:rPr/>
      </w:pPr>
      <w:r>
        <w:rPr>
          <w:rFonts w:cs="Arial" w:ascii="Verdana" w:hAnsi="Verdana"/>
          <w:i/>
          <w:color w:val="000000"/>
          <w:szCs w:val="22"/>
          <w:u w:val="single"/>
        </w:rPr>
        <w:t>Soit</w:t>
      </w:r>
      <w:r>
        <w:rPr>
          <w:rFonts w:cs="Arial" w:ascii="Verdana" w:hAnsi="Verdana"/>
          <w:color w:val="000000"/>
          <w:szCs w:val="22"/>
        </w:rPr>
        <w:t xml:space="preserve">  effectué conformément aux dispositions légales ou réglementaires applicables selon le statut de chaque agent concerné, à savoir le paiement en salaire majoré et imputation sur le contingent d’heures supplémentaires.</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 xml:space="preserve">ARTICLE 6 – SALARIES A TEMPS PARTIEL </w:t>
      </w:r>
    </w:p>
    <w:p>
      <w:pPr>
        <w:pStyle w:val="Normal"/>
        <w:rPr/>
      </w:pPr>
      <w:r>
        <w:rPr>
          <w:rFonts w:eastAsia="Arial Unicode MS" w:cs="Arial" w:ascii="Verdana" w:hAnsi="Verdana"/>
          <w:color w:val="000000"/>
          <w:sz w:val="22"/>
          <w:szCs w:val="22"/>
        </w:rPr>
        <w:t>Les salariés à temps partiel affectés dans le service du back office de LHOSPITALET pays de Cahors PPDC sont soumis à l’organisation du temps de travail instituée par le présent accord.</w:t>
      </w:r>
    </w:p>
    <w:p>
      <w:pPr>
        <w:pStyle w:val="Normal"/>
        <w:rPr/>
      </w:pPr>
      <w:r>
        <w:rPr>
          <w:rFonts w:eastAsia="Arial Unicode MS" w:cs="Arial" w:ascii="Verdana" w:hAnsi="Verdana"/>
          <w:color w:val="000000"/>
          <w:sz w:val="22"/>
          <w:szCs w:val="22"/>
        </w:rPr>
        <w:t>La répartition de la durée du travail sur la période définie à l’article 3 du présent accord ainsi que les horaires journaliers de travail sont communiqués à ces salariés, individuellement. Ils peuvent faire l’objet d’une modification en raison des contraintes de production, sous réserve de respecter un délai de prévenance de 7 jours calendaires.</w:t>
      </w:r>
      <w:r>
        <w:rPr>
          <w:rFonts w:cs="Arial" w:ascii="Verdana" w:hAnsi="Verdana"/>
          <w:color w:val="000000"/>
          <w:sz w:val="22"/>
          <w:szCs w:val="22"/>
        </w:rPr>
        <w:t xml:space="preserve"> </w:t>
      </w:r>
    </w:p>
    <w:p>
      <w:pPr>
        <w:pStyle w:val="Normal"/>
        <w:rPr>
          <w:rFonts w:ascii="Verdana" w:hAnsi="Verdana" w:cs="Arial"/>
          <w:color w:val="000000"/>
          <w:sz w:val="22"/>
          <w:szCs w:val="22"/>
        </w:rPr>
      </w:pPr>
      <w:r>
        <w:rPr>
          <w:rFonts w:cs="Arial" w:ascii="Verdana" w:hAnsi="Verdana"/>
          <w:color w:val="000000"/>
          <w:sz w:val="22"/>
          <w:szCs w:val="22"/>
        </w:rPr>
        <w:t>L’application de cette disposition est réalisée sans préjudice des dispositions contractuelles figurant sur les contrats de travail des salariés concernés à la date d’entrée en vigueur du présent accord.</w:t>
      </w:r>
    </w:p>
    <w:p>
      <w:pPr>
        <w:pStyle w:val="Normal"/>
        <w:rPr>
          <w:rFonts w:ascii="Verdana" w:hAnsi="Verdana" w:cs="Arial"/>
          <w:color w:val="000000"/>
          <w:sz w:val="22"/>
          <w:szCs w:val="22"/>
        </w:rPr>
      </w:pPr>
      <w:r>
        <w:rPr>
          <w:rFonts w:cs="Arial" w:ascii="Verdana" w:hAnsi="Verdana"/>
          <w:color w:val="000000"/>
          <w:sz w:val="22"/>
          <w:szCs w:val="22"/>
        </w:rPr>
      </w:r>
    </w:p>
    <w:p>
      <w:pPr>
        <w:pStyle w:val="Normal"/>
        <w:rPr>
          <w:rFonts w:ascii="Verdana" w:hAnsi="Verdana" w:eastAsia="Arial Unicode MS" w:cs="Arial"/>
          <w:color w:val="000000"/>
          <w:sz w:val="22"/>
          <w:szCs w:val="22"/>
        </w:rPr>
      </w:pPr>
      <w:r>
        <w:rPr>
          <w:rFonts w:eastAsia="Arial Unicode MS" w:cs="Arial" w:ascii="Verdana" w:hAnsi="Verdana"/>
          <w:color w:val="000000"/>
          <w:sz w:val="22"/>
          <w:szCs w:val="22"/>
        </w:rPr>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 xml:space="preserve">ARTICLE 7 – LISSAGE DE LA REMUNERATION </w:t>
      </w:r>
    </w:p>
    <w:p>
      <w:pPr>
        <w:pStyle w:val="Normal"/>
        <w:spacing w:before="0" w:after="240"/>
        <w:jc w:val="both"/>
        <w:rPr>
          <w:rFonts w:ascii="Verdana" w:hAnsi="Verdana" w:cs="Arial"/>
          <w:color w:val="000000"/>
          <w:sz w:val="22"/>
          <w:szCs w:val="22"/>
        </w:rPr>
      </w:pPr>
      <w:r>
        <w:rPr>
          <w:rFonts w:cs="Arial" w:ascii="Verdana" w:hAnsi="Verdana"/>
          <w:color w:val="000000"/>
          <w:sz w:val="22"/>
          <w:szCs w:val="22"/>
        </w:rPr>
        <w:t>Afin d’éviter toute variation de rémunération, le salaire de base sera indépendant de l’horaire réellement effectué dans la semaine : la rémunération sera lissée sur le mois.</w:t>
      </w:r>
    </w:p>
    <w:p>
      <w:pPr>
        <w:pStyle w:val="Normal"/>
        <w:spacing w:before="0" w:after="240"/>
        <w:jc w:val="both"/>
        <w:rPr>
          <w:rFonts w:ascii="Verdana" w:hAnsi="Verdana" w:cs="Arial"/>
          <w:color w:val="000000"/>
          <w:sz w:val="22"/>
          <w:szCs w:val="22"/>
        </w:rPr>
      </w:pPr>
      <w:r>
        <w:rPr>
          <w:rFonts w:cs="Arial" w:ascii="Verdana" w:hAnsi="Verdana"/>
          <w:color w:val="000000"/>
          <w:sz w:val="22"/>
          <w:szCs w:val="22"/>
        </w:rPr>
        <w:t xml:space="preserve">Les agents seront rémunérés sur la base de 35H par semaine, soit sur 151H67 par mois. </w:t>
      </w:r>
    </w:p>
    <w:p>
      <w:pPr>
        <w:pStyle w:val="Normal"/>
        <w:spacing w:before="0" w:after="240"/>
        <w:jc w:val="both"/>
        <w:rPr>
          <w:rFonts w:ascii="Verdana" w:hAnsi="Verdana" w:cs="Arial"/>
          <w:color w:val="000000"/>
          <w:sz w:val="22"/>
          <w:szCs w:val="22"/>
        </w:rPr>
      </w:pPr>
      <w:r>
        <w:rPr>
          <w:rFonts w:cs="Arial" w:ascii="Verdana" w:hAnsi="Verdana"/>
          <w:color w:val="000000"/>
          <w:sz w:val="22"/>
          <w:szCs w:val="22"/>
        </w:rPr>
        <w:t>Les éventuelles absences non rémunérées et les heures supplémentaires sont comptabilisées à l’issue de la  période de référence.</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8 – EMBAUCHE OU RUPTURE DU CONTRAT DE TRAVAIL AU COURS DE LA PERIODE DE REFERENCE</w:t>
      </w:r>
    </w:p>
    <w:p>
      <w:pPr>
        <w:pStyle w:val="Normal"/>
        <w:spacing w:before="0" w:after="240"/>
        <w:jc w:val="both"/>
        <w:rPr/>
      </w:pPr>
      <w:r>
        <w:rPr>
          <w:rStyle w:val="Tiartf"/>
          <w:rFonts w:cs="Arial" w:ascii="Verdana" w:hAnsi="Verdana"/>
          <w:color w:val="000000"/>
          <w:sz w:val="22"/>
          <w:szCs w:val="22"/>
        </w:rPr>
        <w:t>Sauf clause contraire prévue au contrat de travail, les agents embauchés en cours de période de référence suivent les horaires en vigueur dans l’entreprise.</w:t>
      </w:r>
    </w:p>
    <w:p>
      <w:pPr>
        <w:pStyle w:val="Normal"/>
        <w:spacing w:before="0" w:after="240"/>
        <w:jc w:val="both"/>
        <w:rPr/>
      </w:pPr>
      <w:r>
        <w:rPr>
          <w:rFonts w:cs="Arial" w:ascii="Verdana" w:hAnsi="Verdana"/>
          <w:color w:val="000000"/>
          <w:sz w:val="22"/>
          <w:szCs w:val="22"/>
        </w:rPr>
        <w:t>A la fin de la période durant laquelle l’agent a été embauché, il est procédé à une régularisation sur la base d’un temps réel de travail au cours de la période de présence par rapport à 35H hebdomadaires.</w:t>
      </w:r>
    </w:p>
    <w:p>
      <w:pPr>
        <w:pStyle w:val="Normal"/>
        <w:spacing w:before="0" w:after="240"/>
        <w:jc w:val="both"/>
        <w:rPr>
          <w:rFonts w:ascii="Verdana" w:hAnsi="Verdana" w:cs="Arial"/>
          <w:color w:val="000000"/>
          <w:sz w:val="22"/>
          <w:szCs w:val="22"/>
        </w:rPr>
      </w:pPr>
      <w:r>
        <w:rPr>
          <w:rFonts w:cs="Arial" w:ascii="Verdana" w:hAnsi="Verdana"/>
          <w:color w:val="000000"/>
          <w:sz w:val="22"/>
          <w:szCs w:val="22"/>
        </w:rPr>
        <w:t>En cas de rupture du contrat de travail, la rémunération sera régularisée sur la base des heures effectivement travaillées.</w:t>
      </w:r>
    </w:p>
    <w:p>
      <w:pPr>
        <w:pStyle w:val="Normal"/>
        <w:spacing w:before="0" w:after="240"/>
        <w:jc w:val="both"/>
        <w:rPr>
          <w:rFonts w:ascii="Verdana" w:hAnsi="Verdana" w:cs="Arial"/>
          <w:color w:val="000000"/>
          <w:sz w:val="22"/>
          <w:szCs w:val="22"/>
        </w:rPr>
      </w:pPr>
      <w:r>
        <w:rPr>
          <w:rFonts w:cs="Arial" w:ascii="Verdana" w:hAnsi="Verdana"/>
          <w:color w:val="000000"/>
          <w:sz w:val="22"/>
          <w:szCs w:val="22"/>
        </w:rPr>
        <w:t>-la rémunération ne correspondant pas à du temps de travail effectif sera prélevée sur le dernier bulletin de salaire ;</w:t>
      </w:r>
    </w:p>
    <w:p>
      <w:pPr>
        <w:pStyle w:val="Normal"/>
        <w:spacing w:before="0" w:after="240"/>
        <w:jc w:val="both"/>
        <w:rPr>
          <w:rFonts w:ascii="Verdana" w:hAnsi="Verdana" w:cs="Arial"/>
          <w:color w:val="000000"/>
          <w:sz w:val="22"/>
          <w:szCs w:val="22"/>
        </w:rPr>
      </w:pPr>
      <w:r>
        <w:rPr>
          <w:rFonts w:cs="Arial" w:ascii="Verdana" w:hAnsi="Verdana"/>
          <w:color w:val="000000"/>
          <w:sz w:val="22"/>
          <w:szCs w:val="22"/>
        </w:rPr>
        <w:t>-les heures excédentaires par rapport à 35H seront payées au salarié avec les bonifications et les majorations applicables aux heures supplémentaires.</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9 – DUREE DE L’ACCORD</w:t>
      </w:r>
    </w:p>
    <w:p>
      <w:pPr>
        <w:pStyle w:val="Texte"/>
        <w:rPr>
          <w:rFonts w:ascii="Verdana" w:hAnsi="Verdana" w:cs="Verdana"/>
          <w:color w:val="000000"/>
          <w:szCs w:val="22"/>
        </w:rPr>
      </w:pPr>
      <w:r>
        <w:rPr>
          <w:rFonts w:cs="Verdana" w:ascii="Verdana" w:hAnsi="Verdana"/>
          <w:color w:val="000000"/>
          <w:szCs w:val="22"/>
        </w:rPr>
        <w:t>Le présent accord est conclu pour une durée déterminée de 24 mois. Les régimes de travail définis dans le présent accord seront applicables à l’issue du délai d’opposition et au plus tôt à partir du 6 août 2018.</w:t>
      </w:r>
    </w:p>
    <w:p>
      <w:pPr>
        <w:pStyle w:val="Texte"/>
        <w:rPr>
          <w:rFonts w:ascii="Verdana" w:hAnsi="Verdana" w:cs="Verdana"/>
          <w:color w:val="000000"/>
          <w:szCs w:val="22"/>
        </w:rPr>
      </w:pPr>
      <w:r>
        <w:rPr>
          <w:rFonts w:cs="Verdana" w:ascii="Verdana" w:hAnsi="Verdana"/>
          <w:color w:val="000000"/>
          <w:szCs w:val="22"/>
        </w:rPr>
        <w:t>La signature vaut notification aux signataires. Le présent accord sera notifié aux non-signataires par LR/AR.</w:t>
      </w:r>
    </w:p>
    <w:p>
      <w:pPr>
        <w:pStyle w:val="Texte"/>
        <w:rPr>
          <w:rFonts w:ascii="Verdana" w:hAnsi="Verdana" w:cs="Verdana"/>
          <w:color w:val="000000"/>
          <w:szCs w:val="22"/>
        </w:rPr>
      </w:pPr>
      <w:r>
        <w:rPr>
          <w:rFonts w:cs="Verdana" w:ascii="Verdana" w:hAnsi="Verdana"/>
          <w:color w:val="000000"/>
          <w:szCs w:val="22"/>
        </w:rPr>
        <w:t>En cas de modifications des dispositions légales ou conventionnelles relatives au temps de travail, les parties signataires se réuniront, sur l’initiative de la partie la plus diligente, dans un délai de 1 mois à compter de la date d’entrée en vigueur des nouvelles dispositions légales ou conventionnelles, afin d’examiner les aménagements à apporter au présent accord.</w:t>
      </w:r>
    </w:p>
    <w:p>
      <w:pPr>
        <w:pStyle w:val="Texte"/>
        <w:rPr>
          <w:rFonts w:ascii="Verdana" w:hAnsi="Verdana" w:cs="Verdana"/>
          <w:color w:val="000000"/>
          <w:szCs w:val="22"/>
        </w:rPr>
      </w:pPr>
      <w:r>
        <w:rPr>
          <w:rFonts w:cs="Verdana" w:ascii="Verdana" w:hAnsi="Verdana"/>
          <w:color w:val="000000"/>
          <w:szCs w:val="22"/>
        </w:rPr>
        <w:t xml:space="preserve">Une des parties signataires ou adhérentes peut présenter une demande de révision motivée, par LR/AR adressée à tous les signataires. Les parties signataires s’engagent à se réunir dans les 2 mois de la demande pour rechercher un accord sur l’avenant de révision. Les parties non-signataires de l’accord initial sont invitées à la négociation. </w:t>
      </w:r>
    </w:p>
    <w:p>
      <w:pPr>
        <w:pStyle w:val="Texte"/>
        <w:rPr>
          <w:rFonts w:ascii="Verdana" w:hAnsi="Verdana" w:cs="Verdana"/>
          <w:color w:val="000000"/>
          <w:szCs w:val="22"/>
        </w:rPr>
      </w:pPr>
      <w:r>
        <w:rPr>
          <w:rFonts w:cs="Verdana" w:ascii="Verdana" w:hAnsi="Verdana"/>
          <w:color w:val="000000"/>
          <w:szCs w:val="22"/>
        </w:rPr>
        <w:t>En cas d’accord entre La Poste et au moins une organisation syndicale signataire ou adhérente du présent accord, l’avenant sera conclu et notifié aux non-signataires de l’avenant et de l’accord initial, conformément aux dispositions de l’accord du 21 juin 2004. L’accord sera applicable en l’absence d’opposition majoritaire selon les conditions de l’accord du 21 juin 2004.</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ARTICLE 10 – SUIVI DE L’ACCORD</w:t>
      </w:r>
    </w:p>
    <w:p>
      <w:pPr>
        <w:pStyle w:val="Texte"/>
        <w:rPr>
          <w:rFonts w:ascii="Verdana" w:hAnsi="Verdana" w:cs="Verdana"/>
          <w:color w:val="000000"/>
          <w:szCs w:val="22"/>
        </w:rPr>
      </w:pPr>
      <w:r>
        <w:rPr>
          <w:rFonts w:cs="Verdana" w:ascii="Verdana" w:hAnsi="Verdana"/>
          <w:color w:val="000000"/>
          <w:szCs w:val="22"/>
        </w:rPr>
        <w:t>Une commission de suivi sera mise en œuvre avec les organisations syndicales signataires et adhérentes tous les 6 mois, à compter de l’entrée en vigueur de l’accord.</w:t>
      </w:r>
    </w:p>
    <w:p>
      <w:pPr>
        <w:pStyle w:val="Texte"/>
        <w:pBdr>
          <w:top w:val="single" w:sz="4" w:space="1" w:color="000000"/>
          <w:left w:val="single" w:sz="4" w:space="4" w:color="000000"/>
          <w:bottom w:val="single" w:sz="4" w:space="1" w:color="000000"/>
          <w:right w:val="single" w:sz="4" w:space="4" w:color="000000"/>
        </w:pBdr>
        <w:rPr>
          <w:rFonts w:ascii="Verdana" w:hAnsi="Verdana" w:cs="Verdana"/>
          <w:b/>
          <w:b/>
          <w:bCs/>
          <w:color w:val="000000"/>
          <w:szCs w:val="22"/>
        </w:rPr>
      </w:pPr>
      <w:r>
        <w:rPr>
          <w:rFonts w:cs="Verdana" w:ascii="Verdana" w:hAnsi="Verdana"/>
          <w:b/>
          <w:bCs/>
          <w:color w:val="000000"/>
          <w:szCs w:val="22"/>
        </w:rPr>
        <w:t xml:space="preserve">ARTICLE 11 – PUBLICITE </w:t>
      </w:r>
    </w:p>
    <w:p>
      <w:pPr>
        <w:pStyle w:val="Texte"/>
        <w:rPr/>
      </w:pPr>
      <w:r>
        <w:rPr>
          <w:rFonts w:cs="Verdana" w:ascii="Verdana" w:hAnsi="Verdana"/>
          <w:color w:val="000000"/>
          <w:szCs w:val="22"/>
        </w:rPr>
        <w:t>Le présent accord sera déposé par la Direction Services-Courrier-Colis de Midi Pyrénées Nord en deux exemplaires dont une version, sur support papier signée des parties et une version sur support électronique, auprès de la direction départementale du travail et de l’emploi, et, en un exemplaire auprès du secrétaire greffe du conseil des prud’hommes, à l’expiration du délai d’opposition.</w:t>
      </w:r>
      <w:r>
        <w:br w:type="page"/>
      </w:r>
    </w:p>
    <w:p>
      <w:pPr>
        <w:pStyle w:val="Texte"/>
        <w:rPr>
          <w:rFonts w:ascii="Verdana" w:hAnsi="Verdana" w:cs="Verdana"/>
          <w:b/>
          <w:b/>
          <w:bCs/>
          <w:color w:val="000000"/>
          <w:szCs w:val="22"/>
        </w:rPr>
      </w:pPr>
      <w:r>
        <w:rPr>
          <w:rFonts w:cs="Verdana" w:ascii="Verdana" w:hAnsi="Verdana"/>
          <w:b/>
          <w:bCs/>
          <w:color w:val="000000"/>
          <w:szCs w:val="22"/>
        </w:rPr>
        <w:t xml:space="preserve">SIGNATURES : </w:t>
      </w:r>
    </w:p>
    <w:p>
      <w:pPr>
        <w:pStyle w:val="Normal"/>
        <w:rPr>
          <w:rFonts w:ascii="Verdana" w:hAnsi="Verdana" w:cs="Arial"/>
          <w:b/>
          <w:b/>
          <w:bCs/>
          <w:color w:val="000000"/>
          <w:sz w:val="22"/>
          <w:szCs w:val="22"/>
        </w:rPr>
      </w:pPr>
      <w:r>
        <w:rPr>
          <w:rFonts w:cs="Arial" w:ascii="Verdana" w:hAnsi="Verdana"/>
          <w:b/>
          <w:bCs/>
          <w:color w:val="000000"/>
          <w:sz w:val="22"/>
          <w:szCs w:val="22"/>
        </w:rPr>
      </w:r>
    </w:p>
    <w:p>
      <w:pPr>
        <w:pStyle w:val="Texte"/>
        <w:rPr/>
      </w:pPr>
      <w:r>
        <w:rPr>
          <w:rFonts w:cs="Arial" w:ascii="Verdana" w:hAnsi="Verdana"/>
          <w:color w:val="000000"/>
          <w:szCs w:val="22"/>
        </w:rPr>
        <w:t xml:space="preserve">Fait à…LHOSPITALET, le ……26 juillet 2018….  </w:t>
      </w:r>
    </w:p>
    <w:p>
      <w:pPr>
        <w:pStyle w:val="Heading3"/>
        <w:spacing w:lineRule="auto" w:line="240"/>
        <w:rPr>
          <w:rFonts w:ascii="Verdana" w:hAnsi="Verdana" w:cs="Verdana"/>
          <w:b w:val="false"/>
          <w:b w:val="false"/>
          <w:color w:val="000000"/>
          <w:sz w:val="22"/>
          <w:szCs w:val="22"/>
        </w:rPr>
      </w:pPr>
      <w:r>
        <w:rPr>
          <w:rFonts w:cs="Verdana" w:ascii="Verdana" w:hAnsi="Verdana"/>
          <w:b w:val="false"/>
          <w:color w:val="000000"/>
          <w:sz w:val="22"/>
          <w:szCs w:val="22"/>
        </w:rPr>
      </w:r>
    </w:p>
    <w:p>
      <w:pPr>
        <w:pStyle w:val="Heading3"/>
        <w:spacing w:lineRule="auto" w:line="240"/>
        <w:rPr>
          <w:rFonts w:ascii="Verdana" w:hAnsi="Verdana" w:cs="Verdana"/>
          <w:b w:val="false"/>
          <w:b w:val="false"/>
          <w:color w:val="000000"/>
          <w:sz w:val="22"/>
          <w:szCs w:val="22"/>
        </w:rPr>
      </w:pPr>
      <w:r>
        <w:rPr>
          <w:rFonts w:cs="Verdana" w:ascii="Verdana" w:hAnsi="Verdana"/>
          <w:b w:val="false"/>
          <w:color w:val="000000"/>
          <w:sz w:val="22"/>
          <w:szCs w:val="22"/>
        </w:rPr>
      </w:r>
    </w:p>
    <w:p>
      <w:pPr>
        <w:pStyle w:val="Heading3"/>
        <w:spacing w:lineRule="auto" w:line="240"/>
        <w:rPr>
          <w:rFonts w:ascii="Verdana" w:hAnsi="Verdana" w:cs="Verdana"/>
          <w:b w:val="false"/>
          <w:b w:val="false"/>
          <w:color w:val="000000"/>
          <w:sz w:val="22"/>
          <w:szCs w:val="22"/>
          <w:u w:val="single"/>
        </w:rPr>
      </w:pPr>
      <w:r>
        <w:rPr>
          <w:rFonts w:cs="Verdana" w:ascii="Verdana" w:hAnsi="Verdana"/>
          <w:b w:val="false"/>
          <w:color w:val="000000"/>
          <w:sz w:val="22"/>
          <w:szCs w:val="22"/>
          <w:u w:val="single"/>
        </w:rPr>
        <w:t>Pour La Poste</w:t>
      </w:r>
    </w:p>
    <w:p>
      <w:pPr>
        <w:pStyle w:val="Normal"/>
        <w:rPr>
          <w:rFonts w:ascii="Verdana" w:hAnsi="Verdana" w:cs="Arial"/>
          <w:b/>
          <w:b/>
          <w:color w:val="000000"/>
          <w:sz w:val="22"/>
          <w:szCs w:val="22"/>
          <w:u w:val="single"/>
        </w:rPr>
      </w:pPr>
      <w:r>
        <w:rPr>
          <w:rFonts w:cs="Arial" w:ascii="Verdana" w:hAnsi="Verdana"/>
          <w:b/>
          <w:color w:val="000000"/>
          <w:sz w:val="22"/>
          <w:szCs w:val="22"/>
          <w:u w:val="single"/>
        </w:rPr>
      </w:r>
    </w:p>
    <w:p>
      <w:pPr>
        <w:pStyle w:val="Heading6"/>
        <w:spacing w:lineRule="auto" w:line="240" w:before="280" w:after="0"/>
        <w:rPr/>
      </w:pPr>
      <w:r>
        <w:rPr>
          <w:rFonts w:cs="Arial" w:ascii="Verdana" w:hAnsi="Verdana"/>
          <w:color w:val="000000"/>
        </w:rPr>
        <w:t xml:space="preserve">Le Directeur d’Etablissement de LHOSPITALET PAYS DE CAHORS PPDC, </w:t>
      </w:r>
    </w:p>
    <w:p>
      <w:pPr>
        <w:pStyle w:val="Normal"/>
        <w:rPr>
          <w:rFonts w:ascii="Verdana" w:hAnsi="Verdana" w:cs="Arial"/>
          <w:b/>
          <w:b/>
          <w:color w:val="000000"/>
          <w:sz w:val="22"/>
          <w:szCs w:val="22"/>
        </w:rPr>
      </w:pPr>
      <w:r>
        <w:rPr>
          <w:rFonts w:cs="Arial" w:ascii="Verdana" w:hAnsi="Verdana"/>
          <w:b/>
          <w:color w:val="000000"/>
          <w:sz w:val="22"/>
          <w:szCs w:val="22"/>
        </w:rPr>
      </w:r>
    </w:p>
    <w:p>
      <w:pPr>
        <w:pStyle w:val="Heading5"/>
        <w:spacing w:lineRule="auto" w:line="240"/>
        <w:rPr>
          <w:rFonts w:ascii="Verdana" w:hAnsi="Verdana" w:cs="Arial"/>
          <w:b w:val="false"/>
          <w:b w:val="false"/>
          <w:bCs w:val="false"/>
          <w:i w:val="false"/>
          <w:i w:val="false"/>
          <w:iCs w:val="false"/>
          <w:color w:val="000000"/>
          <w:sz w:val="22"/>
          <w:szCs w:val="22"/>
          <w:u w:val="single"/>
        </w:rPr>
      </w:pPr>
      <w:r>
        <w:rPr>
          <w:rFonts w:cs="Arial" w:ascii="Verdana" w:hAnsi="Verdana"/>
          <w:b w:val="false"/>
          <w:bCs w:val="false"/>
          <w:i w:val="false"/>
          <w:iCs w:val="false"/>
          <w:color w:val="000000"/>
          <w:sz w:val="22"/>
          <w:szCs w:val="22"/>
          <w:u w:val="single"/>
        </w:rPr>
      </w:r>
    </w:p>
    <w:p>
      <w:pPr>
        <w:pStyle w:val="Heading5"/>
        <w:spacing w:lineRule="auto" w:line="240"/>
        <w:rPr>
          <w:rFonts w:ascii="Verdana" w:hAnsi="Verdana" w:cs="Arial"/>
          <w:b w:val="false"/>
          <w:b w:val="false"/>
          <w:bCs w:val="false"/>
          <w:i w:val="false"/>
          <w:i w:val="false"/>
          <w:iCs w:val="false"/>
          <w:color w:val="000000"/>
          <w:sz w:val="22"/>
          <w:szCs w:val="22"/>
          <w:u w:val="single"/>
        </w:rPr>
      </w:pPr>
      <w:r>
        <w:rPr>
          <w:rFonts w:cs="Arial" w:ascii="Verdana" w:hAnsi="Verdana"/>
          <w:b w:val="false"/>
          <w:bCs w:val="false"/>
          <w:i w:val="false"/>
          <w:iCs w:val="false"/>
          <w:color w:val="000000"/>
          <w:sz w:val="22"/>
          <w:szCs w:val="22"/>
          <w:u w:val="single"/>
        </w:rPr>
        <w:t>Pour les Organisations Syndicales</w:t>
      </w:r>
    </w:p>
    <w:p>
      <w:pPr>
        <w:pStyle w:val="Normal"/>
        <w:spacing w:before="0" w:after="0"/>
        <w:rPr>
          <w:rFonts w:ascii="Verdana" w:hAnsi="Verdana" w:cs="Arial"/>
          <w:b/>
          <w:b/>
          <w:bCs/>
          <w:i/>
          <w:i/>
          <w:iCs/>
          <w:color w:val="000000"/>
          <w:sz w:val="22"/>
          <w:szCs w:val="22"/>
          <w:u w:val="single"/>
        </w:rPr>
      </w:pPr>
      <w:r>
        <w:rPr>
          <w:rFonts w:cs="Arial" w:ascii="Verdana" w:hAnsi="Verdana"/>
          <w:b/>
          <w:bCs/>
          <w:i/>
          <w:iCs/>
          <w:color w:val="000000"/>
          <w:sz w:val="22"/>
          <w:szCs w:val="22"/>
          <w:u w:val="single"/>
        </w:rPr>
      </w:r>
    </w:p>
    <w:p>
      <w:pPr>
        <w:pStyle w:val="Heading6"/>
        <w:spacing w:before="0" w:after="0"/>
        <w:rPr/>
      </w:pPr>
      <w:r>
        <w:rPr>
          <w:rFonts w:cs="Arial" w:ascii="Verdana" w:hAnsi="Verdana"/>
          <w:bCs w:val="false"/>
          <w:color w:val="000000"/>
        </w:rPr>
        <w:t>Fédération nationale des salariés</w:t>
        <w:tab/>
        <w:t xml:space="preserve">                     Fédération des</w:t>
      </w:r>
    </w:p>
    <w:p>
      <w:pPr>
        <w:pStyle w:val="Heading6"/>
        <w:spacing w:before="0" w:after="0"/>
        <w:rPr>
          <w:rFonts w:ascii="Verdana" w:hAnsi="Verdana" w:cs="Arial"/>
          <w:bCs w:val="false"/>
          <w:color w:val="000000"/>
        </w:rPr>
      </w:pPr>
      <w:r>
        <w:rPr>
          <w:rFonts w:cs="Arial" w:ascii="Verdana" w:hAnsi="Verdana"/>
          <w:bCs w:val="false"/>
          <w:color w:val="000000"/>
        </w:rPr>
        <w:t xml:space="preserve">Syndicats PTT </w:t>
      </w:r>
      <w:r>
        <w:rPr>
          <w:rFonts w:cs="Arial" w:ascii="Verdana" w:hAnsi="Verdana"/>
          <w:color w:val="000000"/>
        </w:rPr>
        <w:t>du secteur des Activités              Solidaires Démocratiques</w:t>
      </w:r>
    </w:p>
    <w:p>
      <w:pPr>
        <w:pStyle w:val="Normal"/>
        <w:rPr>
          <w:rFonts w:ascii="Verdana" w:hAnsi="Verdana" w:cs="Arial"/>
          <w:b/>
          <w:b/>
          <w:color w:val="000000"/>
          <w:sz w:val="22"/>
          <w:szCs w:val="22"/>
        </w:rPr>
      </w:pPr>
      <w:r>
        <w:rPr>
          <w:rFonts w:cs="Arial" w:ascii="Verdana" w:hAnsi="Verdana"/>
          <w:b/>
          <w:color w:val="000000"/>
          <w:sz w:val="22"/>
          <w:szCs w:val="22"/>
        </w:rPr>
        <w:t>Postales et Télécommunications (CGT)</w:t>
        <w:tab/>
        <w:tab/>
        <w:t xml:space="preserve">  (SUD)</w:t>
      </w:r>
    </w:p>
    <w:p>
      <w:pPr>
        <w:pStyle w:val="Normal"/>
        <w:rPr>
          <w:rFonts w:ascii="Verdana" w:hAnsi="Verdana" w:cs="Arial"/>
          <w:b/>
          <w:b/>
          <w:color w:val="000000"/>
          <w:sz w:val="22"/>
          <w:szCs w:val="22"/>
        </w:rPr>
      </w:pPr>
      <w:r>
        <w:rPr>
          <w:rFonts w:cs="Arial" w:ascii="Verdana" w:hAnsi="Verdana"/>
          <w:b/>
          <w:color w:val="000000"/>
          <w:sz w:val="22"/>
          <w:szCs w:val="22"/>
        </w:rPr>
      </w:r>
    </w:p>
    <w:p>
      <w:pPr>
        <w:pStyle w:val="Normal"/>
        <w:rPr>
          <w:rFonts w:ascii="Verdana" w:hAnsi="Verdana" w:cs="Arial"/>
          <w:b/>
          <w:b/>
          <w:color w:val="000000"/>
          <w:sz w:val="22"/>
          <w:szCs w:val="22"/>
        </w:rPr>
      </w:pPr>
      <w:r>
        <w:rPr>
          <w:rFonts w:cs="Arial" w:ascii="Verdana" w:hAnsi="Verdana"/>
          <w:b/>
          <w:color w:val="000000"/>
          <w:sz w:val="22"/>
          <w:szCs w:val="22"/>
        </w:rPr>
        <w:tab/>
        <w:tab/>
        <w:tab/>
        <w:tab/>
      </w:r>
    </w:p>
    <w:p>
      <w:pPr>
        <w:pStyle w:val="Normal"/>
        <w:spacing w:before="0" w:after="0"/>
        <w:rPr>
          <w:rFonts w:ascii="Verdana" w:hAnsi="Verdana" w:cs="Arial"/>
          <w:b/>
          <w:b/>
          <w:color w:val="000000"/>
          <w:sz w:val="22"/>
          <w:szCs w:val="22"/>
        </w:rPr>
      </w:pPr>
      <w:r>
        <w:rPr>
          <w:rFonts w:cs="Arial" w:ascii="Verdana" w:hAnsi="Verdana"/>
          <w:b/>
          <w:color w:val="000000"/>
          <w:sz w:val="22"/>
          <w:szCs w:val="22"/>
        </w:rPr>
        <w:t>Syndicat CFDT Communication,</w:t>
        <w:tab/>
        <w:tab/>
        <w:tab/>
        <w:tab/>
        <w:t xml:space="preserve">Fédération syndicaliste Force Conseil, Culture  </w:t>
        <w:tab/>
        <w:tab/>
        <w:tab/>
        <w:tab/>
        <w:t xml:space="preserve">Ouvrière Postes et </w:t>
      </w:r>
    </w:p>
    <w:p>
      <w:pPr>
        <w:pStyle w:val="Normal"/>
        <w:spacing w:before="0" w:after="0"/>
        <w:rPr>
          <w:rFonts w:ascii="Verdana" w:hAnsi="Verdana" w:cs="Arial"/>
          <w:b/>
          <w:b/>
          <w:color w:val="000000"/>
          <w:sz w:val="22"/>
          <w:szCs w:val="22"/>
        </w:rPr>
      </w:pPr>
      <w:r>
        <w:rPr>
          <w:rFonts w:cs="Arial" w:ascii="Verdana" w:hAnsi="Verdana"/>
          <w:b/>
          <w:color w:val="000000"/>
          <w:sz w:val="22"/>
          <w:szCs w:val="22"/>
        </w:rPr>
        <w:t>(CFDT)</w:t>
        <w:tab/>
        <w:tab/>
        <w:tab/>
        <w:tab/>
        <w:t>Télécommunications (FO)</w:t>
      </w:r>
    </w:p>
    <w:p>
      <w:pPr>
        <w:pStyle w:val="Normal"/>
        <w:rPr>
          <w:rFonts w:ascii="Verdana" w:hAnsi="Verdana" w:cs="Arial"/>
          <w:b/>
          <w:b/>
          <w:color w:val="000000"/>
          <w:sz w:val="22"/>
          <w:szCs w:val="22"/>
        </w:rPr>
      </w:pPr>
      <w:r>
        <w:rPr>
          <w:rFonts w:cs="Arial" w:ascii="Verdana" w:hAnsi="Verdana"/>
          <w:b/>
          <w:color w:val="000000"/>
          <w:sz w:val="22"/>
          <w:szCs w:val="22"/>
        </w:rPr>
      </w:r>
    </w:p>
    <w:p>
      <w:pPr>
        <w:pStyle w:val="Normal"/>
        <w:rPr>
          <w:rFonts w:ascii="Verdana" w:hAnsi="Verdana" w:cs="Arial"/>
          <w:b/>
          <w:b/>
          <w:color w:val="000000"/>
          <w:sz w:val="22"/>
          <w:szCs w:val="22"/>
        </w:rPr>
      </w:pPr>
      <w:r>
        <w:rPr>
          <w:rFonts w:cs="Arial" w:ascii="Verdana" w:hAnsi="Verdana"/>
          <w:b/>
          <w:color w:val="000000"/>
          <w:sz w:val="22"/>
          <w:szCs w:val="22"/>
        </w:rPr>
      </w:r>
    </w:p>
    <w:p>
      <w:pPr>
        <w:pStyle w:val="Normal"/>
        <w:spacing w:before="0" w:after="290"/>
        <w:rPr>
          <w:rFonts w:ascii="Verdana" w:hAnsi="Verdana" w:cs="Verdana"/>
          <w:b/>
          <w:b/>
          <w:color w:val="000000"/>
          <w:sz w:val="22"/>
          <w:szCs w:val="22"/>
        </w:rPr>
      </w:pPr>
      <w:r>
        <w:rPr>
          <w:rFonts w:cs="Verdana" w:ascii="Verdana" w:hAnsi="Verdana"/>
          <w:b/>
          <w:color w:val="000000"/>
          <w:sz w:val="22"/>
          <w:szCs w:val="22"/>
        </w:rPr>
      </w:r>
    </w:p>
    <w:sectPr>
      <w:headerReference w:type="default" r:id="rId3"/>
      <w:footerReference w:type="default" r:id="rId4"/>
      <w:type w:val="nextPage"/>
      <w:pgSz w:w="11906" w:h="16838"/>
      <w:pgMar w:left="1417" w:right="1417"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Symbol">
    <w:charset w:val="01"/>
    <w:family w:val="roman"/>
    <w:pitch w:val="variable"/>
  </w:font>
  <w:font w:name="Segoe UI">
    <w:charset w:val="00"/>
    <w:family w:val="swiss"/>
    <w:pitch w:val="variable"/>
  </w:font>
  <w:font w:name="Liberation Sans">
    <w:altName w:val="Arial"/>
    <w:charset w:val="01"/>
    <w:family w:val="swiss"/>
    <w:pitch w:val="variable"/>
  </w:font>
  <w:font w:name="Arial Unicode MS">
    <w:charset w:val="80"/>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bottom w:val="single" w:sz="12" w:space="5" w:color="000000"/>
      </w:pBdr>
      <w:spacing w:before="0" w:after="0"/>
      <w:rPr>
        <w:sz w:val="16"/>
        <w:szCs w:val="16"/>
      </w:rPr>
    </w:pPr>
    <w:r>
      <w:rPr>
        <w:sz w:val="16"/>
        <w:szCs w:val="16"/>
      </w:rPr>
    </w:r>
  </w:p>
  <w:p>
    <w:pPr>
      <w:pStyle w:val="Footer"/>
      <w:spacing w:before="0" w:after="0"/>
      <w:rPr/>
    </w:pPr>
    <w:r>
      <w:rPr>
        <w:rFonts w:cs="Arial" w:ascii="Verdana" w:hAnsi="Verdana"/>
        <w:sz w:val="16"/>
        <w:szCs w:val="16"/>
      </w:rPr>
      <w:t>LA POSTE DSCC Midi Pyrénées Nord</w:t>
      <w:tab/>
      <w:tab/>
      <w:tab/>
      <w:tab/>
      <w:t xml:space="preserve">- </w:t>
    </w:r>
    <w:r>
      <w:rPr>
        <w:rFonts w:cs="Arial" w:ascii="Verdana" w:hAnsi="Verdana"/>
        <w:sz w:val="12"/>
        <w:szCs w:val="16"/>
      </w:rPr>
      <w:fldChar w:fldCharType="begin"/>
    </w:r>
    <w:r>
      <w:instrText> PAGE </w:instrText>
    </w:r>
    <w:r>
      <w:fldChar w:fldCharType="separate"/>
    </w:r>
    <w:r>
      <w:t>8</w:t>
    </w:r>
    <w:r>
      <w:fldChar w:fldCharType="end"/>
    </w:r>
    <w:r>
      <w:rPr>
        <w:rFonts w:cs="Arial" w:ascii="Verdana" w:hAnsi="Verdana"/>
        <w:sz w:val="16"/>
        <w:szCs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1" w:color="000000"/>
      </w:pBdr>
      <w:tabs>
        <w:tab w:val="left" w:pos="3544" w:leader="none"/>
      </w:tabs>
      <w:spacing w:before="0" w:after="360"/>
      <w:jc w:val="center"/>
      <w:rPr>
        <w:rFonts w:ascii="Verdana" w:hAnsi="Verdana" w:cs="Arial"/>
        <w:sz w:val="16"/>
        <w:szCs w:val="16"/>
      </w:rPr>
    </w:pPr>
    <w:r>
      <w:rPr>
        <w:rFonts w:cs="Arial" w:ascii="Verdana" w:hAnsi="Verdana"/>
        <w:sz w:val="16"/>
        <w:szCs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decimal"/>
      <w:lvlText w:val="%1."/>
      <w:lvlJc w:val="left"/>
      <w:pPr>
        <w:tabs>
          <w:tab w:val="num" w:pos="360"/>
        </w:tabs>
        <w:ind w:left="360" w:hanging="360"/>
      </w:pPr>
      <w:rPr/>
    </w:lvl>
    <w:lvl w:ilvl="1">
      <w:start w:val="1"/>
      <w:numFmt w:val="decimal"/>
      <w:lvlText w:val="%1.%2."/>
      <w:lvlJc w:val="left"/>
      <w:pPr>
        <w:tabs>
          <w:tab w:val="num" w:pos="1080"/>
        </w:tabs>
        <w:ind w:left="792" w:hanging="432"/>
      </w:pPr>
      <w:rPr/>
    </w:lvl>
    <w:lvl w:ilvl="2">
      <w:start w:val="1"/>
      <w:numFmt w:val="decimal"/>
      <w:lvlText w:val="%1.%2.%3."/>
      <w:lvlJc w:val="left"/>
      <w:pPr>
        <w:tabs>
          <w:tab w:val="num" w:pos="1800"/>
        </w:tabs>
        <w:ind w:left="1224" w:hanging="504"/>
      </w:pPr>
      <w:rPr/>
    </w:lvl>
    <w:lvl w:ilvl="3">
      <w:start w:val="1"/>
      <w:numFmt w:val="decimal"/>
      <w:lvlText w:val="%1.%2.%3.%4."/>
      <w:lvlJc w:val="left"/>
      <w:pPr>
        <w:tabs>
          <w:tab w:val="num" w:pos="2160"/>
        </w:tabs>
        <w:ind w:left="1728" w:hanging="648"/>
      </w:pPr>
      <w:rPr/>
    </w:lvl>
    <w:lvl w:ilvl="4">
      <w:start w:val="1"/>
      <w:numFmt w:val="decimal"/>
      <w:lvlText w:val="%1.%2.%3.%4.%5."/>
      <w:lvlJc w:val="left"/>
      <w:pPr>
        <w:tabs>
          <w:tab w:val="num" w:pos="2880"/>
        </w:tabs>
        <w:ind w:left="2232" w:hanging="792"/>
      </w:pPr>
      <w:rPr/>
    </w:lvl>
    <w:lvl w:ilvl="5">
      <w:start w:val="1"/>
      <w:numFmt w:val="decimal"/>
      <w:lvlText w:val="%1.%2.%3.%4.%5.%6."/>
      <w:lvlJc w:val="left"/>
      <w:pPr>
        <w:tabs>
          <w:tab w:val="num" w:pos="3600"/>
        </w:tabs>
        <w:ind w:left="2736" w:hanging="936"/>
      </w:pPr>
      <w:rPr/>
    </w:lvl>
    <w:lvl w:ilvl="6">
      <w:start w:val="1"/>
      <w:numFmt w:val="decimal"/>
      <w:lvlText w:val="%1.%2.%3.%4.%5.%6.%7."/>
      <w:lvlJc w:val="left"/>
      <w:pPr>
        <w:tabs>
          <w:tab w:val="num" w:pos="4320"/>
        </w:tabs>
        <w:ind w:left="3240" w:hanging="1080"/>
      </w:pPr>
      <w:rPr/>
    </w:lvl>
    <w:lvl w:ilvl="7">
      <w:start w:val="1"/>
      <w:numFmt w:val="decimal"/>
      <w:lvlText w:val="%1.%2.%3.%4.%5.%6.%7.%8."/>
      <w:lvlJc w:val="left"/>
      <w:pPr>
        <w:tabs>
          <w:tab w:val="num" w:pos="4680"/>
        </w:tabs>
        <w:ind w:left="3744" w:hanging="1224"/>
      </w:pPr>
      <w:rPr/>
    </w:lvl>
    <w:lvl w:ilvl="8">
      <w:start w:val="1"/>
      <w:numFmt w:val="decimal"/>
      <w:lvlText w:val="%1.%2.%3.%4.%5.%6.%7.%8.%9."/>
      <w:lvlJc w:val="left"/>
      <w:pPr>
        <w:tabs>
          <w:tab w:val="num" w:pos="5400"/>
        </w:tabs>
        <w:ind w:left="4320" w:hanging="1440"/>
      </w:pPr>
      <w:rPr/>
    </w:lvl>
  </w:abstractNum>
  <w:abstractNum w:abstractNumId="3">
    <w:lvl w:ilvl="0">
      <w:start w:val="1"/>
      <w:numFmt w:val="bullet"/>
      <w:lvlText w:val="-"/>
      <w:lvlJc w:val="left"/>
      <w:pPr>
        <w:tabs>
          <w:tab w:val="num" w:pos="57"/>
        </w:tabs>
        <w:ind w:left="1134" w:hanging="567"/>
      </w:pPr>
      <w:rPr>
        <w:rFonts w:ascii="Verdana" w:hAnsi="Verdana" w:cs="Verdana" w:hint="default"/>
        <w:rFonts w:cs="Verdana"/>
      </w:rPr>
    </w:lvl>
  </w:abstractNum>
  <w:abstractNum w:abstractNumId="4">
    <w:lvl w:ilvl="0">
      <w:start w:val="1"/>
      <w:numFmt w:val="bullet"/>
      <w:lvlText w:val=""/>
      <w:lvlJc w:val="left"/>
      <w:pPr>
        <w:tabs>
          <w:tab w:val="num" w:pos="284"/>
        </w:tabs>
        <w:ind w:left="284" w:hanging="227"/>
      </w:pPr>
      <w:rPr>
        <w:rFonts w:ascii="Wingdings" w:hAnsi="Wingdings" w:cs="Wingdings" w:hint="default"/>
        <w:rFonts w:cs="Wingdings"/>
      </w:rPr>
    </w:lvl>
  </w:abstractNum>
  <w:abstractNum w:abstractNumId="5">
    <w:lvl w:ilvl="0">
      <w:start w:val="1"/>
      <w:numFmt w:val="bullet"/>
      <w:lvlText w:val=""/>
      <w:lvlJc w:val="left"/>
      <w:pPr>
        <w:tabs>
          <w:tab w:val="num" w:pos="284"/>
        </w:tabs>
        <w:ind w:left="284" w:hanging="227"/>
      </w:pPr>
      <w:rPr>
        <w:rFonts w:ascii="Wingdings" w:hAnsi="Wingdings" w:cs="Wingdings" w:hint="default"/>
        <w:rFonts w:cs="Wingdings"/>
      </w:rPr>
    </w:lvl>
    <w:lvl w:ilvl="1">
      <w:start w:val="1"/>
      <w:numFmt w:val="bullet"/>
      <w:lvlText w:val="-"/>
      <w:lvlJc w:val="left"/>
      <w:pPr>
        <w:tabs>
          <w:tab w:val="num" w:pos="1247"/>
        </w:tabs>
        <w:ind w:left="1247" w:hanging="340"/>
      </w:pPr>
      <w:rPr>
        <w:rFonts w:ascii="Verdana" w:hAnsi="Verdana" w:cs="Verdana" w:hint="default"/>
        <w:rFonts w:cs="Verdana"/>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6">
    <w:lvl w:ilvl="0">
      <w:start w:val="1"/>
      <w:numFmt w:val="bullet"/>
      <w:lvlText w:val=""/>
      <w:lvlJc w:val="left"/>
      <w:pPr>
        <w:tabs>
          <w:tab w:val="num" w:pos="284"/>
        </w:tabs>
        <w:ind w:left="1021" w:hanging="964"/>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keepLines/>
      <w:widowControl/>
      <w:tabs>
        <w:tab w:val="left" w:pos="3969" w:leader="none"/>
      </w:tabs>
      <w:bidi w:val="0"/>
      <w:spacing w:lineRule="exact" w:line="290" w:before="0" w:after="290"/>
    </w:pPr>
    <w:rPr>
      <w:rFonts w:ascii="Times New Roman" w:hAnsi="Times New Roman" w:eastAsia="Times New Roman" w:cs="Times New Roman"/>
      <w:color w:val="000000"/>
      <w:sz w:val="24"/>
      <w:szCs w:val="20"/>
      <w:lang w:val="fr-FR" w:bidi="ar-SA" w:eastAsia="zh-CN"/>
    </w:rPr>
  </w:style>
  <w:style w:type="paragraph" w:styleId="Heading1">
    <w:name w:val="Heading 1"/>
    <w:basedOn w:val="Normal"/>
    <w:next w:val="Normal"/>
    <w:qFormat/>
    <w:pPr>
      <w:keepNext/>
      <w:spacing w:before="240" w:after="60"/>
      <w:outlineLvl w:val="0"/>
    </w:pPr>
    <w:rPr>
      <w:rFonts w:ascii="Arial" w:hAnsi="Arial" w:cs="Arial"/>
      <w:b/>
      <w:bCs/>
      <w:sz w:val="28"/>
      <w:szCs w:val="28"/>
    </w:rPr>
  </w:style>
  <w:style w:type="paragraph" w:styleId="Heading2">
    <w:name w:val="Heading 2"/>
    <w:basedOn w:val="Normal"/>
    <w:next w:val="Normal"/>
    <w:qFormat/>
    <w:pPr>
      <w:keepNext/>
      <w:numPr>
        <w:ilvl w:val="0"/>
        <w:numId w:val="2"/>
      </w:numPr>
      <w:spacing w:before="240" w:after="60"/>
      <w:outlineLvl w:val="1"/>
    </w:pPr>
    <w:rPr>
      <w:rFonts w:ascii="Arial" w:hAnsi="Arial" w:cs="Arial"/>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pBdr>
        <w:top w:val="single" w:sz="4" w:space="31" w:color="000000"/>
        <w:left w:val="single" w:sz="4" w:space="4" w:color="000000"/>
        <w:bottom w:val="single" w:sz="4" w:space="1" w:color="000000"/>
        <w:right w:val="single" w:sz="4" w:space="4" w:color="000000"/>
      </w:pBdr>
      <w:spacing w:before="960" w:after="280"/>
      <w:jc w:val="center"/>
      <w:outlineLvl w:val="3"/>
    </w:pPr>
    <w:rPr>
      <w:rFonts w:ascii="Verdana" w:hAnsi="Verdana" w:cs="Arial"/>
      <w:b/>
      <w:i/>
      <w:iCs/>
      <w:sz w:val="20"/>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keepNext/>
      <w:spacing w:before="0" w:after="0"/>
      <w:jc w:val="center"/>
      <w:outlineLvl w:val="6"/>
    </w:pPr>
    <w:rPr>
      <w:rFonts w:ascii="Verdana" w:hAnsi="Verdana" w:cs="Verdana"/>
      <w:b/>
      <w:bCs/>
      <w:sz w:val="32"/>
      <w:szCs w:val="32"/>
    </w:rPr>
  </w:style>
  <w:style w:type="paragraph" w:styleId="Heading8">
    <w:name w:val="Heading 8"/>
    <w:basedOn w:val="Normal"/>
    <w:next w:val="Normal"/>
    <w:qFormat/>
    <w:pPr>
      <w:keepNext/>
      <w:pBdr>
        <w:top w:val="single" w:sz="4" w:space="31" w:color="000000"/>
        <w:left w:val="single" w:sz="4" w:space="4" w:color="000000"/>
        <w:bottom w:val="single" w:sz="4" w:space="1" w:color="000000"/>
        <w:right w:val="single" w:sz="4" w:space="4" w:color="000000"/>
      </w:pBdr>
      <w:spacing w:before="360" w:after="280"/>
      <w:jc w:val="center"/>
      <w:outlineLvl w:val="7"/>
    </w:pPr>
    <w:rPr>
      <w:rFonts w:ascii="Verdana" w:hAnsi="Verdana" w:cs="Arial"/>
      <w:b/>
      <w:color w:val="000080"/>
      <w:sz w:val="32"/>
      <w:szCs w:val="32"/>
    </w:rPr>
  </w:style>
  <w:style w:type="paragraph" w:styleId="Heading9">
    <w:name w:val="Heading 9"/>
    <w:basedOn w:val="Normal"/>
    <w:next w:val="Normal"/>
    <w:qFormat/>
    <w:pPr>
      <w:keepNext/>
      <w:outlineLvl w:val="8"/>
    </w:pPr>
    <w:rPr>
      <w:rFonts w:ascii="Arial" w:hAnsi="Arial" w:cs="Arial"/>
      <w:b/>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3z0">
    <w:name w:val="WW8Num3z0"/>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4z5">
    <w:name w:val="WW8Num4z5"/>
    <w:qFormat/>
    <w:rPr>
      <w:rFonts w:ascii="Wingdings" w:hAnsi="Wingdings" w:cs="Wingdings"/>
    </w:rPr>
  </w:style>
  <w:style w:type="character" w:styleId="WW8Num5z0">
    <w:name w:val="WW8Num5z0"/>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8z0">
    <w:name w:val="WW8Num8z0"/>
    <w:qFormat/>
    <w:rPr>
      <w:rFonts w:ascii="Wingdings" w:hAnsi="Wingdings" w:cs="Wingdings"/>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WW8Num9z0">
    <w:name w:val="WW8Num9z0"/>
    <w:qFormat/>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Verdana" w:hAnsi="Verdana" w:cs="Verdana"/>
    </w:rPr>
  </w:style>
  <w:style w:type="character" w:styleId="WW8Num12z1">
    <w:name w:val="WW8Num12z1"/>
    <w:qFormat/>
    <w:rPr>
      <w:rFonts w:ascii="Wingdings" w:hAnsi="Wingdings" w:cs="Wingdings"/>
    </w:rPr>
  </w:style>
  <w:style w:type="character" w:styleId="WW8Num12z3">
    <w:name w:val="WW8Num12z3"/>
    <w:qFormat/>
    <w:rPr>
      <w:rFonts w:ascii="Symbol" w:hAnsi="Symbol" w:cs="Symbol"/>
    </w:rPr>
  </w:style>
  <w:style w:type="character" w:styleId="WW8Num12z4">
    <w:name w:val="WW8Num12z4"/>
    <w:qFormat/>
    <w:rPr>
      <w:rFonts w:ascii="Courier New" w:hAnsi="Courier New" w:cs="Courier New"/>
    </w:rPr>
  </w:style>
  <w:style w:type="character" w:styleId="WW8Num13z0">
    <w:name w:val="WW8Num13z0"/>
    <w:qFormat/>
    <w:rPr>
      <w:rFonts w:ascii="Times New Roman" w:hAnsi="Times New Roman" w:cs="Times New Roman"/>
    </w:rPr>
  </w:style>
  <w:style w:type="character" w:styleId="WW8Num14z0">
    <w:name w:val="WW8Num14z0"/>
    <w:qFormat/>
    <w:rPr>
      <w:rFonts w:ascii="Wingdings" w:hAnsi="Wingdings" w:cs="Wingdings"/>
    </w:rPr>
  </w:style>
  <w:style w:type="character" w:styleId="WW8Num14z3">
    <w:name w:val="WW8Num14z3"/>
    <w:qFormat/>
    <w:rPr>
      <w:rFonts w:ascii="Symbol" w:hAnsi="Symbol" w:cs="Symbol"/>
    </w:rPr>
  </w:style>
  <w:style w:type="character" w:styleId="WW8Num14z4">
    <w:name w:val="WW8Num14z4"/>
    <w:qFormat/>
    <w:rPr>
      <w:rFonts w:ascii="Courier New" w:hAnsi="Courier New" w:cs="Courier New"/>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Wingdings" w:hAnsi="Wingdings" w:cs="Wingdings"/>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1z0">
    <w:name w:val="WW8Num21z0"/>
    <w:qFormat/>
    <w:rPr>
      <w:rFonts w:ascii="Verdana" w:hAnsi="Verdana" w:cs="Verdana"/>
    </w:rPr>
  </w:style>
  <w:style w:type="character" w:styleId="WW8Num21z1">
    <w:name w:val="WW8Num21z1"/>
    <w:qFormat/>
    <w:rPr>
      <w:rFonts w:ascii="Wingdings" w:hAnsi="Wingdings" w:cs="Wingdings"/>
    </w:rPr>
  </w:style>
  <w:style w:type="character" w:styleId="WW8Num21z3">
    <w:name w:val="WW8Num21z3"/>
    <w:qFormat/>
    <w:rPr>
      <w:rFonts w:ascii="Symbol" w:hAnsi="Symbol" w:cs="Symbol"/>
    </w:rPr>
  </w:style>
  <w:style w:type="character" w:styleId="WW8Num21z4">
    <w:name w:val="WW8Num21z4"/>
    <w:qFormat/>
    <w:rPr>
      <w:rFonts w:ascii="Courier New" w:hAnsi="Courier New" w:cs="Courier New"/>
    </w:rPr>
  </w:style>
  <w:style w:type="character" w:styleId="WW8Num22z0">
    <w:name w:val="WW8Num22z0"/>
    <w:qFormat/>
    <w:rPr>
      <w:rFonts w:ascii="Wingdings" w:hAnsi="Wingdings" w:cs="Wingdings"/>
    </w:rPr>
  </w:style>
  <w:style w:type="character" w:styleId="WW8Num22z3">
    <w:name w:val="WW8Num22z3"/>
    <w:qFormat/>
    <w:rPr>
      <w:rFonts w:ascii="Symbol" w:hAnsi="Symbol" w:cs="Symbol"/>
    </w:rPr>
  </w:style>
  <w:style w:type="character" w:styleId="WW8Num22z4">
    <w:name w:val="WW8Num22z4"/>
    <w:qFormat/>
    <w:rPr>
      <w:rFonts w:ascii="Courier New" w:hAnsi="Courier New" w:cs="Courier New"/>
    </w:rPr>
  </w:style>
  <w:style w:type="character" w:styleId="WW8Num23z0">
    <w:name w:val="WW8Num23z0"/>
    <w:qFormat/>
    <w:rPr>
      <w:rFonts w:ascii="Wingdings" w:hAnsi="Wingdings" w:cs="Wingdings"/>
    </w:rPr>
  </w:style>
  <w:style w:type="character" w:styleId="WW8Num23z3">
    <w:name w:val="WW8Num23z3"/>
    <w:qFormat/>
    <w:rPr>
      <w:rFonts w:ascii="Symbol" w:hAnsi="Symbol" w:cs="Symbol"/>
    </w:rPr>
  </w:style>
  <w:style w:type="character" w:styleId="WW8Num23z4">
    <w:name w:val="WW8Num23z4"/>
    <w:qFormat/>
    <w:rPr>
      <w:rFonts w:ascii="Courier New" w:hAnsi="Courier New" w:cs="Courier New"/>
    </w:rPr>
  </w:style>
  <w:style w:type="character" w:styleId="WW8Num24z0">
    <w:name w:val="WW8Num24z0"/>
    <w:qFormat/>
    <w:rPr>
      <w:rFonts w:ascii="Wingdings" w:hAnsi="Wingdings" w:cs="Wingdings"/>
    </w:rPr>
  </w:style>
  <w:style w:type="character" w:styleId="WW8Num24z3">
    <w:name w:val="WW8Num24z3"/>
    <w:qFormat/>
    <w:rPr>
      <w:rFonts w:ascii="Symbol" w:hAnsi="Symbol" w:cs="Symbol"/>
    </w:rPr>
  </w:style>
  <w:style w:type="character" w:styleId="WW8Num24z4">
    <w:name w:val="WW8Num24z4"/>
    <w:qFormat/>
    <w:rPr>
      <w:rFonts w:ascii="Courier New" w:hAnsi="Courier New" w:cs="Courier New"/>
    </w:rPr>
  </w:style>
  <w:style w:type="character" w:styleId="WW8Num25z0">
    <w:name w:val="WW8Num25z0"/>
    <w:qFormat/>
    <w:rPr>
      <w:rFonts w:ascii="Wingdings" w:hAnsi="Wingdings" w:cs="Wingdings"/>
    </w:rPr>
  </w:style>
  <w:style w:type="character" w:styleId="WW8Num25z3">
    <w:name w:val="WW8Num25z3"/>
    <w:qFormat/>
    <w:rPr>
      <w:rFonts w:ascii="Symbol" w:hAnsi="Symbol" w:cs="Symbol"/>
    </w:rPr>
  </w:style>
  <w:style w:type="character" w:styleId="WW8Num25z4">
    <w:name w:val="WW8Num25z4"/>
    <w:qFormat/>
    <w:rPr>
      <w:rFonts w:ascii="Courier New" w:hAnsi="Courier New" w:cs="Courier New"/>
    </w:rPr>
  </w:style>
  <w:style w:type="character" w:styleId="WW8Num26z0">
    <w:name w:val="WW8Num26z0"/>
    <w:qFormat/>
    <w:rPr/>
  </w:style>
  <w:style w:type="character" w:styleId="WW8Num27z0">
    <w:name w:val="WW8Num27z0"/>
    <w:qFormat/>
    <w:rPr>
      <w:rFonts w:ascii="Wingdings" w:hAnsi="Wingdings" w:cs="Wingdings"/>
    </w:rPr>
  </w:style>
  <w:style w:type="character" w:styleId="WW8Num27z1">
    <w:name w:val="WW8Num27z1"/>
    <w:qFormat/>
    <w:rPr>
      <w:rFonts w:ascii="Verdana" w:hAnsi="Verdana" w:cs="Verdana"/>
    </w:rPr>
  </w:style>
  <w:style w:type="character" w:styleId="WW8Num27z3">
    <w:name w:val="WW8Num27z3"/>
    <w:qFormat/>
    <w:rPr>
      <w:rFonts w:ascii="Symbol" w:hAnsi="Symbol" w:cs="Symbol"/>
    </w:rPr>
  </w:style>
  <w:style w:type="character" w:styleId="WW8Num27z4">
    <w:name w:val="WW8Num27z4"/>
    <w:qFormat/>
    <w:rPr>
      <w:rFonts w:ascii="Courier New" w:hAnsi="Courier New" w:cs="Courier New"/>
    </w:rPr>
  </w:style>
  <w:style w:type="character" w:styleId="WW8Num28z0">
    <w:name w:val="WW8Num28z0"/>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rFonts w:ascii="Wingdings" w:hAnsi="Wingdings" w:cs="Wingdings"/>
    </w:rPr>
  </w:style>
  <w:style w:type="character" w:styleId="WW8Num30z3">
    <w:name w:val="WW8Num30z3"/>
    <w:qFormat/>
    <w:rPr>
      <w:rFonts w:ascii="Symbol" w:hAnsi="Symbol" w:cs="Symbol"/>
    </w:rPr>
  </w:style>
  <w:style w:type="character" w:styleId="WW8Num30z4">
    <w:name w:val="WW8Num30z4"/>
    <w:qFormat/>
    <w:rPr>
      <w:rFonts w:ascii="Courier New" w:hAnsi="Courier New" w:cs="Courier New"/>
    </w:rPr>
  </w:style>
  <w:style w:type="character" w:styleId="WW8Num31z0">
    <w:name w:val="WW8Num31z0"/>
    <w:qFormat/>
    <w:rPr>
      <w:rFonts w:ascii="Wingdings" w:hAnsi="Wingdings" w:cs="Wingdings"/>
    </w:rPr>
  </w:style>
  <w:style w:type="character" w:styleId="WW8Num31z3">
    <w:name w:val="WW8Num31z3"/>
    <w:qFormat/>
    <w:rPr>
      <w:rFonts w:ascii="Symbol" w:hAnsi="Symbol" w:cs="Symbol"/>
    </w:rPr>
  </w:style>
  <w:style w:type="character" w:styleId="WW8Num31z4">
    <w:name w:val="WW8Num31z4"/>
    <w:qFormat/>
    <w:rPr>
      <w:rFonts w:ascii="Courier New" w:hAnsi="Courier New" w:cs="Courier New"/>
    </w:rPr>
  </w:style>
  <w:style w:type="character" w:styleId="WW8Num32z0">
    <w:name w:val="WW8Num32z0"/>
    <w:qFormat/>
    <w:rPr>
      <w:rFonts w:ascii="Wingdings" w:hAnsi="Wingdings" w:cs="Wingdings"/>
    </w:rPr>
  </w:style>
  <w:style w:type="character" w:styleId="WW8Num32z3">
    <w:name w:val="WW8Num32z3"/>
    <w:qFormat/>
    <w:rPr>
      <w:rFonts w:ascii="Symbol" w:hAnsi="Symbol" w:cs="Symbol"/>
    </w:rPr>
  </w:style>
  <w:style w:type="character" w:styleId="WW8Num32z4">
    <w:name w:val="WW8Num32z4"/>
    <w:qFormat/>
    <w:rPr>
      <w:rFonts w:ascii="Courier New" w:hAnsi="Courier New" w:cs="Courier New"/>
    </w:rPr>
  </w:style>
  <w:style w:type="character" w:styleId="WW8Num33z0">
    <w:name w:val="WW8Num33z0"/>
    <w:qFormat/>
    <w:rPr>
      <w:rFonts w:ascii="Verdana" w:hAnsi="Verdana" w:cs="Verdana"/>
    </w:rPr>
  </w:style>
  <w:style w:type="character" w:styleId="WW8Num33z1">
    <w:name w:val="WW8Num33z1"/>
    <w:qFormat/>
    <w:rPr>
      <w:rFonts w:ascii="Wingdings" w:hAnsi="Wingdings" w:cs="Wingdings"/>
    </w:rPr>
  </w:style>
  <w:style w:type="character" w:styleId="WW8Num33z3">
    <w:name w:val="WW8Num33z3"/>
    <w:qFormat/>
    <w:rPr>
      <w:rFonts w:ascii="Symbol" w:hAnsi="Symbol" w:cs="Symbol"/>
    </w:rPr>
  </w:style>
  <w:style w:type="character" w:styleId="WW8Num33z4">
    <w:name w:val="WW8Num33z4"/>
    <w:qFormat/>
    <w:rPr>
      <w:rFonts w:ascii="Courier New" w:hAnsi="Courier New" w:cs="Courier New"/>
    </w:rPr>
  </w:style>
  <w:style w:type="character" w:styleId="WW8Num34z0">
    <w:name w:val="WW8Num34z0"/>
    <w:qFormat/>
    <w:rPr>
      <w:rFonts w:ascii="Verdana" w:hAnsi="Verdana" w:cs="Verdana"/>
    </w:rPr>
  </w:style>
  <w:style w:type="character" w:styleId="WW8Num34z1">
    <w:name w:val="WW8Num34z1"/>
    <w:qFormat/>
    <w:rPr>
      <w:rFonts w:ascii="Wingdings" w:hAnsi="Wingdings" w:cs="Wingdings"/>
    </w:rPr>
  </w:style>
  <w:style w:type="character" w:styleId="WW8Num34z3">
    <w:name w:val="WW8Num34z3"/>
    <w:qFormat/>
    <w:rPr>
      <w:rFonts w:ascii="Symbol" w:hAnsi="Symbol" w:cs="Symbol"/>
    </w:rPr>
  </w:style>
  <w:style w:type="character" w:styleId="WW8Num34z4">
    <w:name w:val="WW8Num34z4"/>
    <w:qFormat/>
    <w:rPr>
      <w:rFonts w:ascii="Courier New" w:hAnsi="Courier New" w:cs="Courier New"/>
    </w:rPr>
  </w:style>
  <w:style w:type="character" w:styleId="WW8Num35z0">
    <w:name w:val="WW8Num35z0"/>
    <w:qFormat/>
    <w:rPr>
      <w:rFonts w:ascii="Wingdings" w:hAnsi="Wingdings" w:cs="Wingdings"/>
    </w:rPr>
  </w:style>
  <w:style w:type="character" w:styleId="WW8Num35z3">
    <w:name w:val="WW8Num35z3"/>
    <w:qFormat/>
    <w:rPr>
      <w:rFonts w:ascii="Symbol" w:hAnsi="Symbol" w:cs="Symbol"/>
    </w:rPr>
  </w:style>
  <w:style w:type="character" w:styleId="WW8Num35z4">
    <w:name w:val="WW8Num35z4"/>
    <w:qFormat/>
    <w:rPr>
      <w:rFonts w:ascii="Courier New" w:hAnsi="Courier New" w:cs="Courier New"/>
    </w:rPr>
  </w:style>
  <w:style w:type="character" w:styleId="WW8Num36z0">
    <w:name w:val="WW8Num36z0"/>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rFonts w:ascii="Verdana" w:hAnsi="Verdana" w:cs="Verdana"/>
    </w:rPr>
  </w:style>
  <w:style w:type="character" w:styleId="WW8Num37z1">
    <w:name w:val="WW8Num37z1"/>
    <w:qFormat/>
    <w:rPr>
      <w:rFonts w:ascii="Wingdings" w:hAnsi="Wingdings" w:cs="Wingdings"/>
    </w:rPr>
  </w:style>
  <w:style w:type="character" w:styleId="WW8Num37z3">
    <w:name w:val="WW8Num37z3"/>
    <w:qFormat/>
    <w:rPr>
      <w:rFonts w:ascii="Symbol" w:hAnsi="Symbol" w:cs="Symbol"/>
    </w:rPr>
  </w:style>
  <w:style w:type="character" w:styleId="WW8Num37z4">
    <w:name w:val="WW8Num37z4"/>
    <w:qFormat/>
    <w:rPr>
      <w:rFonts w:ascii="Courier New" w:hAnsi="Courier New" w:cs="Courier New"/>
    </w:rPr>
  </w:style>
  <w:style w:type="character" w:styleId="WW8Num38z0">
    <w:name w:val="WW8Num38z0"/>
    <w:qFormat/>
    <w:rPr/>
  </w:style>
  <w:style w:type="character" w:styleId="WW8Num39z0">
    <w:name w:val="WW8Num39z0"/>
    <w:qFormat/>
    <w:rPr>
      <w:rFonts w:ascii="Verdana" w:hAnsi="Verdana" w:cs="Verdana"/>
    </w:rPr>
  </w:style>
  <w:style w:type="character" w:styleId="WW8Num39z1">
    <w:name w:val="WW8Num39z1"/>
    <w:qFormat/>
    <w:rPr>
      <w:rFonts w:ascii="Wingdings" w:hAnsi="Wingdings" w:cs="Wingdings"/>
    </w:rPr>
  </w:style>
  <w:style w:type="character" w:styleId="WW8Num39z3">
    <w:name w:val="WW8Num39z3"/>
    <w:qFormat/>
    <w:rPr>
      <w:rFonts w:ascii="Symbol" w:hAnsi="Symbol" w:cs="Symbol"/>
    </w:rPr>
  </w:style>
  <w:style w:type="character" w:styleId="WW8Num39z4">
    <w:name w:val="WW8Num39z4"/>
    <w:qFormat/>
    <w:rPr>
      <w:rFonts w:ascii="Courier New" w:hAnsi="Courier New" w:cs="Courier New"/>
    </w:rPr>
  </w:style>
  <w:style w:type="character" w:styleId="WW8Num40z0">
    <w:name w:val="WW8Num40z0"/>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WW8Num41z0">
    <w:name w:val="WW8Num41z0"/>
    <w:qFormat/>
    <w:rPr>
      <w:rFonts w:ascii="Verdana" w:hAnsi="Verdana" w:cs="Verdana"/>
    </w:rPr>
  </w:style>
  <w:style w:type="character" w:styleId="WW8Num41z1">
    <w:name w:val="WW8Num41z1"/>
    <w:qFormat/>
    <w:rPr>
      <w:rFonts w:ascii="Wingdings" w:hAnsi="Wingdings" w:cs="Wingdings"/>
    </w:rPr>
  </w:style>
  <w:style w:type="character" w:styleId="WW8Num41z3">
    <w:name w:val="WW8Num41z3"/>
    <w:qFormat/>
    <w:rPr>
      <w:rFonts w:ascii="Symbol" w:hAnsi="Symbol" w:cs="Symbol"/>
    </w:rPr>
  </w:style>
  <w:style w:type="character" w:styleId="WW8Num41z4">
    <w:name w:val="WW8Num41z4"/>
    <w:qFormat/>
    <w:rPr>
      <w:rFonts w:ascii="Courier New" w:hAnsi="Courier New" w:cs="Courier New"/>
    </w:rPr>
  </w:style>
  <w:style w:type="character" w:styleId="Policepardfaut">
    <w:name w:val="Police par défaut"/>
    <w:qFormat/>
    <w:rPr/>
  </w:style>
  <w:style w:type="character" w:styleId="TexteCar">
    <w:name w:val="Texte Car"/>
    <w:qFormat/>
    <w:rPr>
      <w:rFonts w:ascii="Arial" w:hAnsi="Arial" w:cs="Arial"/>
      <w:sz w:val="22"/>
      <w:szCs w:val="24"/>
      <w:lang w:val="fr-FR" w:bidi="ar-SA"/>
    </w:rPr>
  </w:style>
  <w:style w:type="character" w:styleId="Titre1Car">
    <w:name w:val="Titre 1 Car"/>
    <w:qFormat/>
    <w:rPr>
      <w:rFonts w:ascii="Arial" w:hAnsi="Arial" w:cs="Arial"/>
      <w:b/>
      <w:bCs/>
      <w:color w:val="000000"/>
      <w:sz w:val="28"/>
      <w:szCs w:val="28"/>
      <w:lang w:val="fr-FR" w:bidi="ar-SA"/>
    </w:rPr>
  </w:style>
  <w:style w:type="character" w:styleId="Texte1">
    <w:name w:val="texte1"/>
    <w:qFormat/>
    <w:rPr>
      <w:rFonts w:ascii="Arial" w:hAnsi="Arial" w:cs="Arial"/>
      <w:b w:val="false"/>
      <w:bCs w:val="false"/>
      <w:color w:val="000000"/>
      <w:sz w:val="19"/>
      <w:szCs w:val="19"/>
    </w:rPr>
  </w:style>
  <w:style w:type="character" w:styleId="FootnoteCharacters">
    <w:name w:val="Footnote Characters"/>
    <w:qFormat/>
    <w:rPr>
      <w:vertAlign w:val="superscript"/>
    </w:rPr>
  </w:style>
  <w:style w:type="character" w:styleId="Texte2Car">
    <w:name w:val="Texte 2 Car"/>
    <w:qFormat/>
    <w:rPr>
      <w:rFonts w:ascii="Arial" w:hAnsi="Arial" w:cs="Arial"/>
      <w:color w:val="000000"/>
      <w:sz w:val="22"/>
      <w:lang w:val="fr-FR" w:bidi="ar-SA"/>
    </w:rPr>
  </w:style>
  <w:style w:type="character" w:styleId="Titre2Car">
    <w:name w:val="Titre 2 Car"/>
    <w:qFormat/>
    <w:rPr>
      <w:rFonts w:ascii="Arial" w:hAnsi="Arial" w:cs="Arial"/>
      <w:b/>
      <w:bCs/>
      <w:sz w:val="24"/>
      <w:szCs w:val="24"/>
      <w:lang w:val="fr-FR" w:bidi="ar-SA"/>
    </w:rPr>
  </w:style>
  <w:style w:type="character" w:styleId="PageNumber">
    <w:name w:val="Page Number"/>
    <w:basedOn w:val="Policepardfaut"/>
    <w:rPr/>
  </w:style>
  <w:style w:type="character" w:styleId="Tiartf">
    <w:name w:val="tiartf"/>
    <w:basedOn w:val="Policepardfaut"/>
    <w:qFormat/>
    <w:rPr/>
  </w:style>
  <w:style w:type="character" w:styleId="VisitedInternetLink">
    <w:name w:val="Visited Internet Link"/>
    <w:rPr>
      <w:color w:val="800080"/>
      <w:u w:val="single"/>
    </w:rPr>
  </w:style>
  <w:style w:type="character" w:styleId="Tiartf2">
    <w:name w:val="tiartf2"/>
    <w:basedOn w:val="Policepardfaut"/>
    <w:qFormat/>
    <w:rPr/>
  </w:style>
  <w:style w:type="character" w:styleId="TextedebullesCar">
    <w:name w:val="Texte de bulles Car"/>
    <w:qFormat/>
    <w:rPr>
      <w:rFonts w:ascii="Segoe UI" w:hAnsi="Segoe UI" w:cs="Segoe UI"/>
      <w:color w:val="000000"/>
      <w:sz w:val="18"/>
      <w:szCs w:val="18"/>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keepLines w:val="false"/>
      <w:spacing w:lineRule="auto" w:line="240" w:before="0" w:after="240"/>
      <w:jc w:val="both"/>
    </w:pPr>
    <w:rPr>
      <w:rFonts w:ascii="Verdana" w:hAnsi="Verdana" w:eastAsia="Arial Unicode MS" w:cs="Verdana"/>
      <w:sz w:val="22"/>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e">
    <w:name w:val="Texte"/>
    <w:basedOn w:val="Normal"/>
    <w:qFormat/>
    <w:pPr>
      <w:spacing w:before="480" w:after="290"/>
      <w:jc w:val="both"/>
    </w:pPr>
    <w:rPr>
      <w:rFonts w:ascii="Arial" w:hAnsi="Arial" w:cs="Arial"/>
      <w:sz w:val="22"/>
    </w:rPr>
  </w:style>
  <w:style w:type="paragraph" w:styleId="Texte11">
    <w:name w:val="Texte 1"/>
    <w:basedOn w:val="Texte"/>
    <w:qFormat/>
    <w:pPr>
      <w:numPr>
        <w:ilvl w:val="0"/>
        <w:numId w:val="4"/>
      </w:numPr>
      <w:spacing w:before="120" w:after="0"/>
    </w:pPr>
    <w:rPr>
      <w:rFonts w:cs="Arial"/>
    </w:rPr>
  </w:style>
  <w:style w:type="paragraph" w:styleId="NormalWeb">
    <w:name w:val="Normal (Web)"/>
    <w:basedOn w:val="Normal"/>
    <w:qFormat/>
    <w:pPr>
      <w:keepLines w:val="false"/>
      <w:spacing w:lineRule="auto" w:line="240" w:before="280" w:after="280"/>
    </w:pPr>
    <w:rPr>
      <w:rFonts w:ascii="Arial Unicode MS" w:hAnsi="Arial Unicode MS" w:eastAsia="Arial Unicode MS" w:cs="Arial Unicode MS"/>
      <w:color w:val="000000"/>
      <w:szCs w:val="24"/>
    </w:rPr>
  </w:style>
  <w:style w:type="paragraph" w:styleId="Texte2">
    <w:name w:val="Texte 2"/>
    <w:basedOn w:val="Texte11"/>
    <w:qFormat/>
    <w:pPr>
      <w:numPr>
        <w:ilvl w:val="0"/>
        <w:numId w:val="5"/>
      </w:numPr>
    </w:pPr>
    <w:rPr/>
  </w:style>
  <w:style w:type="paragraph" w:styleId="Style11">
    <w:name w:val="Style1"/>
    <w:basedOn w:val="Texte11"/>
    <w:qFormat/>
    <w:pPr>
      <w:numPr>
        <w:ilvl w:val="0"/>
        <w:numId w:val="6"/>
      </w:numPr>
    </w:pPr>
    <w:rPr>
      <w:b/>
      <w:bCs/>
    </w:rPr>
  </w:style>
  <w:style w:type="paragraph" w:styleId="Footnote">
    <w:name w:val="Footnote"/>
    <w:basedOn w:val="Normal"/>
    <w:pPr>
      <w:keepLines/>
      <w:tabs>
        <w:tab w:val="left" w:pos="3969" w:leader="none"/>
      </w:tabs>
      <w:spacing w:lineRule="exact" w:line="290" w:before="0" w:after="290"/>
    </w:pPr>
    <w:rPr>
      <w:color w:val="000000"/>
      <w:sz w:val="20"/>
      <w:szCs w:val="20"/>
    </w:rPr>
  </w:style>
  <w:style w:type="paragraph" w:styleId="Header">
    <w:name w:val="Header"/>
    <w:basedOn w:val="Normal"/>
    <w:pPr>
      <w:tabs>
        <w:tab w:val="left" w:pos="3969" w:leader="none"/>
        <w:tab w:val="center" w:pos="4536" w:leader="none"/>
        <w:tab w:val="right" w:pos="9072" w:leader="none"/>
      </w:tabs>
    </w:pPr>
    <w:rPr/>
  </w:style>
  <w:style w:type="paragraph" w:styleId="Footer">
    <w:name w:val="Footer"/>
    <w:basedOn w:val="Normal"/>
    <w:pPr>
      <w:tabs>
        <w:tab w:val="left" w:pos="3969" w:leader="none"/>
        <w:tab w:val="center" w:pos="4536" w:leader="none"/>
        <w:tab w:val="right" w:pos="9072" w:leader="none"/>
      </w:tabs>
    </w:pPr>
    <w:rPr/>
  </w:style>
  <w:style w:type="paragraph" w:styleId="Paragraphe3">
    <w:name w:val="Paragraphe 3"/>
    <w:basedOn w:val="Normal"/>
    <w:qFormat/>
    <w:pPr>
      <w:numPr>
        <w:ilvl w:val="0"/>
        <w:numId w:val="3"/>
      </w:numPr>
    </w:pPr>
    <w:rPr/>
  </w:style>
  <w:style w:type="paragraph" w:styleId="Obstrait">
    <w:name w:val="obstrait"/>
    <w:basedOn w:val="Normal"/>
    <w:qFormat/>
    <w:pPr>
      <w:keepLines w:val="false"/>
      <w:spacing w:lineRule="auto" w:line="240" w:before="280" w:after="280"/>
    </w:pPr>
    <w:rPr>
      <w:rFonts w:ascii="Arial Unicode MS" w:hAnsi="Arial Unicode MS" w:eastAsia="Arial Unicode MS" w:cs="Arial Unicode MS"/>
      <w:color w:val="000000"/>
      <w:szCs w:val="24"/>
    </w:rPr>
  </w:style>
  <w:style w:type="paragraph" w:styleId="Textedebulles">
    <w:name w:val="Texte de bulles"/>
    <w:basedOn w:val="Normal"/>
    <w:qFormat/>
    <w:pPr>
      <w:spacing w:lineRule="auto" w:line="240" w:before="0" w:after="0"/>
    </w:pPr>
    <w:rPr>
      <w:rFonts w:ascii="Segoe UI" w:hAnsi="Segoe UI" w:cs="Segoe UI"/>
      <w:sz w:val="18"/>
      <w:szCs w:val="1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2018-09-07T08:51:00Z</dcterms:created>
  <dc:language>en-GB</dc:language>
  <cp:lastPrinted>2018-05-18T15:28:00Z</cp:lastPrinted>
  <dcterms:modified xsi:type="dcterms:W3CDTF">2018-09-07T08:56:00Z</dcterms:modified>
  <cp:revision>3</cp:revision>
  <dc:title>CAP QUALITE COURRIER</dc:title>
</cp:coreProperties>
</file>