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Calibri" w:hAnsi="Calibri" w:cs="Calibri"/>
          <w:b/>
          <w:b/>
          <w:sz w:val="24"/>
          <w:szCs w:val="24"/>
        </w:rPr>
      </w:pPr>
      <w:r>
        <w:rPr>
          <w:rFonts w:cs="Calibri" w:ascii="Calibri" w:hAnsi="Calibri"/>
          <w:b/>
          <w:sz w:val="24"/>
          <w:szCs w:val="24"/>
        </w:rPr>
      </w:r>
    </w:p>
    <w:p>
      <w:pPr>
        <w:pStyle w:val="Normal"/>
        <w:jc w:val="both"/>
        <w:rPr>
          <w:rFonts w:ascii="Calibri" w:hAnsi="Calibri" w:cs="Calibri"/>
          <w:b/>
          <w:b/>
          <w:sz w:val="24"/>
          <w:szCs w:val="24"/>
        </w:rPr>
      </w:pPr>
      <w:r>
        <w:rPr>
          <w:rFonts w:cs="Calibri" w:ascii="Calibri" w:hAnsi="Calibri"/>
          <w:b/>
          <w:sz w:val="24"/>
          <w:szCs w:val="24"/>
        </w:rPr>
        <w:t>ENTRE :</w:t>
      </w:r>
    </w:p>
    <w:p>
      <w:pPr>
        <w:pStyle w:val="Normal"/>
        <w:jc w:val="both"/>
        <w:rPr/>
      </w:pPr>
      <w:r>
        <w:rPr>
          <w:rFonts w:cs="Calibri" w:ascii="Calibri" w:hAnsi="Calibri"/>
          <w:sz w:val="24"/>
          <w:szCs w:val="24"/>
        </w:rPr>
        <w:t xml:space="preserve">Keolis Angers, domiciliée rue du Bois Rinier – 49124 ST BARTHELEMY D’ANJOU, représentée par </w:t>
      </w:r>
    </w:p>
    <w:p>
      <w:pPr>
        <w:pStyle w:val="Normal"/>
        <w:jc w:val="right"/>
        <w:rPr>
          <w:rFonts w:ascii="Calibri" w:hAnsi="Calibri" w:cs="Calibri"/>
          <w:b/>
          <w:b/>
          <w:sz w:val="24"/>
          <w:szCs w:val="24"/>
        </w:rPr>
      </w:pPr>
      <w:r>
        <w:rPr>
          <w:rFonts w:cs="Calibri" w:ascii="Calibri" w:hAnsi="Calibri"/>
          <w:b/>
          <w:sz w:val="24"/>
          <w:szCs w:val="24"/>
        </w:rPr>
        <w:t>d’une part,</w:t>
      </w:r>
    </w:p>
    <w:p>
      <w:pPr>
        <w:pStyle w:val="Normal"/>
        <w:jc w:val="both"/>
        <w:rPr/>
      </w:pPr>
      <w:r>
        <w:rPr>
          <w:rFonts w:cs="Calibri" w:ascii="Calibri" w:hAnsi="Calibri"/>
          <w:sz w:val="24"/>
          <w:szCs w:val="24"/>
        </w:rPr>
        <w:t>Les organisations syndicales représentatives dans l’entreprise :</w:t>
      </w:r>
    </w:p>
    <w:p>
      <w:pPr>
        <w:pStyle w:val="Normal"/>
        <w:numPr>
          <w:ilvl w:val="0"/>
          <w:numId w:val="2"/>
        </w:numPr>
        <w:jc w:val="both"/>
        <w:rPr/>
      </w:pPr>
      <w:r>
        <w:rPr>
          <w:rFonts w:cs="Calibri" w:ascii="Calibri" w:hAnsi="Calibri"/>
          <w:sz w:val="24"/>
          <w:szCs w:val="24"/>
        </w:rPr>
        <w:t>C.F.D.T. 1</w:t>
      </w:r>
      <w:r>
        <w:rPr>
          <w:rFonts w:cs="Calibri" w:ascii="Calibri" w:hAnsi="Calibri"/>
          <w:sz w:val="24"/>
          <w:szCs w:val="24"/>
          <w:vertAlign w:val="superscript"/>
        </w:rPr>
        <w:t>er</w:t>
      </w:r>
      <w:r>
        <w:rPr>
          <w:rFonts w:cs="Calibri" w:ascii="Calibri" w:hAnsi="Calibri"/>
          <w:sz w:val="24"/>
          <w:szCs w:val="24"/>
        </w:rPr>
        <w:t xml:space="preserve"> collège, représentée par, délégué syndical</w:t>
      </w:r>
    </w:p>
    <w:p>
      <w:pPr>
        <w:pStyle w:val="Normal"/>
        <w:numPr>
          <w:ilvl w:val="0"/>
          <w:numId w:val="2"/>
        </w:numPr>
        <w:jc w:val="both"/>
        <w:rPr>
          <w:rFonts w:ascii="Calibri" w:hAnsi="Calibri" w:cs="Calibri"/>
          <w:sz w:val="24"/>
          <w:szCs w:val="24"/>
        </w:rPr>
      </w:pPr>
      <w:r>
        <w:rPr>
          <w:rFonts w:cs="Calibri" w:ascii="Calibri" w:hAnsi="Calibri"/>
          <w:sz w:val="24"/>
          <w:szCs w:val="24"/>
        </w:rPr>
        <w:t>C.F.D.T. 2</w:t>
      </w:r>
      <w:r>
        <w:rPr>
          <w:rFonts w:cs="Calibri" w:ascii="Calibri" w:hAnsi="Calibri"/>
          <w:sz w:val="24"/>
          <w:szCs w:val="24"/>
          <w:vertAlign w:val="superscript"/>
        </w:rPr>
        <w:t>ème</w:t>
      </w:r>
      <w:r>
        <w:rPr>
          <w:rFonts w:cs="Calibri" w:ascii="Calibri" w:hAnsi="Calibri"/>
          <w:sz w:val="24"/>
          <w:szCs w:val="24"/>
        </w:rPr>
        <w:t xml:space="preserve"> collège, représentée par, délégué syndical,</w:t>
      </w:r>
    </w:p>
    <w:p>
      <w:pPr>
        <w:pStyle w:val="Normal"/>
        <w:numPr>
          <w:ilvl w:val="0"/>
          <w:numId w:val="2"/>
        </w:numPr>
        <w:jc w:val="both"/>
        <w:rPr>
          <w:rFonts w:ascii="Calibri" w:hAnsi="Calibri" w:cs="Calibri"/>
          <w:sz w:val="24"/>
          <w:szCs w:val="24"/>
        </w:rPr>
      </w:pPr>
      <w:r>
        <w:rPr>
          <w:rFonts w:cs="Calibri" w:ascii="Calibri" w:hAnsi="Calibri"/>
          <w:sz w:val="24"/>
          <w:szCs w:val="24"/>
        </w:rPr>
        <w:t>C.F.E-C.G.C. représentée par, délégué syndical,</w:t>
      </w:r>
    </w:p>
    <w:p>
      <w:pPr>
        <w:pStyle w:val="Normal"/>
        <w:numPr>
          <w:ilvl w:val="0"/>
          <w:numId w:val="2"/>
        </w:numPr>
        <w:jc w:val="both"/>
        <w:rPr>
          <w:rFonts w:ascii="Calibri" w:hAnsi="Calibri" w:cs="Calibri"/>
          <w:sz w:val="24"/>
          <w:szCs w:val="24"/>
        </w:rPr>
      </w:pPr>
      <w:r>
        <w:rPr>
          <w:rFonts w:cs="Calibri" w:ascii="Calibri" w:hAnsi="Calibri"/>
          <w:sz w:val="24"/>
          <w:szCs w:val="24"/>
        </w:rPr>
        <w:t>C.F.T.C., représentée par, délégué syndical,</w:t>
      </w:r>
    </w:p>
    <w:p>
      <w:pPr>
        <w:pStyle w:val="Normal"/>
        <w:numPr>
          <w:ilvl w:val="0"/>
          <w:numId w:val="2"/>
        </w:numPr>
        <w:jc w:val="both"/>
        <w:rPr>
          <w:rFonts w:ascii="Calibri" w:hAnsi="Calibri" w:cs="Calibri"/>
          <w:sz w:val="24"/>
          <w:szCs w:val="24"/>
        </w:rPr>
      </w:pPr>
      <w:r>
        <w:rPr>
          <w:rFonts w:cs="Calibri" w:ascii="Calibri" w:hAnsi="Calibri"/>
          <w:sz w:val="24"/>
          <w:szCs w:val="24"/>
        </w:rPr>
        <w:t>U.N.S.A., représentée par, délégué syndical,</w:t>
      </w:r>
    </w:p>
    <w:p>
      <w:pPr>
        <w:pStyle w:val="Normal"/>
        <w:jc w:val="right"/>
        <w:rPr>
          <w:rFonts w:ascii="Calibri" w:hAnsi="Calibri" w:cs="Calibri"/>
          <w:b/>
          <w:b/>
          <w:sz w:val="24"/>
          <w:szCs w:val="24"/>
        </w:rPr>
      </w:pPr>
      <w:r>
        <w:rPr>
          <w:rFonts w:cs="Calibri" w:ascii="Calibri" w:hAnsi="Calibri"/>
          <w:b/>
          <w:sz w:val="24"/>
          <w:szCs w:val="24"/>
        </w:rPr>
        <w:t>d’autre part,</w:t>
      </w:r>
    </w:p>
    <w:p>
      <w:pPr>
        <w:pStyle w:val="Normal"/>
        <w:jc w:val="both"/>
        <w:rPr>
          <w:rFonts w:ascii="Calibri" w:hAnsi="Calibri" w:cs="Calibri"/>
          <w:sz w:val="24"/>
          <w:szCs w:val="24"/>
        </w:rPr>
      </w:pPr>
      <w:r>
        <w:rPr>
          <w:rFonts w:cs="Calibri" w:ascii="Calibri" w:hAnsi="Calibri"/>
          <w:sz w:val="24"/>
          <w:szCs w:val="24"/>
        </w:rPr>
        <w:t>Il a été convenu ce qui suit :</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b/>
          <w:sz w:val="24"/>
          <w:szCs w:val="24"/>
          <w:u w:val="single"/>
        </w:rPr>
        <w:t>PREAMBULE</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t>La loi n°2016-1088 du 8 août 2016 relative au travail, à la modernisation du dialogue social et à la sécurisation des parcours professionnels (dit Loi El-Khomri) permet de déroger par accord collectif d’entreprise aux dispositions relatives aux heures supplémentaires et au contingent annuel définies par un accord de branche conclu antérieurement.</w:t>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sz w:val="24"/>
          <w:szCs w:val="24"/>
        </w:rPr>
        <w:t>Par un accord du 10 avril 2017, les organisations syndicales ont souhaité modifier le plafond du contingent annuel d’heures supplémentaires. L’avenant n°1 au protocole d’accord concernant l’organisation, l’aménagement et la réduction du temps de travail du 20 juin 2000, signé pour une durée déterminée, déroge donc à l’accord-cadre de branche sur l’emploi par l’organisation, l’aménagement, la réduction du temps de travail du 22 décembre 1998.</w:t>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sz w:val="24"/>
          <w:szCs w:val="24"/>
        </w:rPr>
        <w:t>L’objet de cet avenant n°2 est de proroger les dispositions de l’avenant n°1 pour l’annualisation en cours.</w:t>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sz w:val="24"/>
          <w:szCs w:val="24"/>
        </w:rPr>
        <w:t>Les dispositions de l’article 6 du protocole d’accord d’entreprise concernant l’organisation, l’aménagement et la réduction du temps de travail signé le 20/06/2000 sont ainsi abrogées :</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b/>
          <w:b/>
          <w:sz w:val="24"/>
          <w:szCs w:val="24"/>
          <w:u w:val="single"/>
        </w:rPr>
      </w:pPr>
      <w:r>
        <w:rPr>
          <w:rFonts w:cs="Calibri" w:ascii="Calibri" w:hAnsi="Calibri"/>
          <w:b/>
          <w:sz w:val="24"/>
          <w:szCs w:val="24"/>
          <w:u w:val="single"/>
        </w:rPr>
        <w:t>ARTICLE 1 – Champ d’application</w:t>
      </w:r>
    </w:p>
    <w:p>
      <w:pPr>
        <w:pStyle w:val="Normal"/>
        <w:jc w:val="both"/>
        <w:rPr>
          <w:rFonts w:ascii="Calibri" w:hAnsi="Calibri" w:cs="Calibri"/>
          <w:b/>
          <w:b/>
          <w:sz w:val="24"/>
          <w:szCs w:val="24"/>
          <w:u w:val="single"/>
        </w:rPr>
      </w:pPr>
      <w:r>
        <w:rPr>
          <w:rFonts w:cs="Calibri" w:ascii="Calibri" w:hAnsi="Calibri"/>
          <w:b/>
          <w:sz w:val="24"/>
          <w:szCs w:val="24"/>
          <w:u w:val="single"/>
        </w:rPr>
      </w:r>
    </w:p>
    <w:p>
      <w:pPr>
        <w:pStyle w:val="Normal"/>
        <w:jc w:val="both"/>
        <w:rPr>
          <w:rFonts w:ascii="Calibri" w:hAnsi="Calibri" w:cs="Calibri"/>
          <w:sz w:val="24"/>
          <w:szCs w:val="24"/>
        </w:rPr>
      </w:pPr>
      <w:r>
        <w:rPr>
          <w:rFonts w:cs="Calibri" w:ascii="Calibri" w:hAnsi="Calibri"/>
          <w:sz w:val="24"/>
          <w:szCs w:val="24"/>
        </w:rPr>
        <w:t xml:space="preserve">Cet avenant vise à définir le contingent annuel d’heures supplémentaires prévu à l’article L. 3121-30 du code du travail et fixer le taux de majoration des heures supplémentaires pour l’ensemble du personnel de Keolis Angers. </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b/>
          <w:sz w:val="24"/>
          <w:szCs w:val="24"/>
          <w:u w:val="single"/>
        </w:rPr>
        <w:t>ARTICLE 2 – Contingent annuel d’heures supplémentaires</w:t>
      </w:r>
    </w:p>
    <w:p>
      <w:pPr>
        <w:pStyle w:val="Normal"/>
        <w:jc w:val="both"/>
        <w:rPr>
          <w:rFonts w:ascii="Calibri" w:hAnsi="Calibri" w:cs="Calibri"/>
          <w:b/>
          <w:b/>
          <w:sz w:val="24"/>
          <w:szCs w:val="24"/>
          <w:u w:val="single"/>
        </w:rPr>
      </w:pPr>
      <w:r>
        <w:rPr>
          <w:rFonts w:cs="Calibri" w:ascii="Calibri" w:hAnsi="Calibri"/>
          <w:b/>
          <w:sz w:val="24"/>
          <w:szCs w:val="24"/>
          <w:u w:val="single"/>
        </w:rPr>
      </w:r>
    </w:p>
    <w:p>
      <w:pPr>
        <w:pStyle w:val="Normal"/>
        <w:jc w:val="both"/>
        <w:rPr>
          <w:rFonts w:ascii="Calibri" w:hAnsi="Calibri" w:cs="Calibri"/>
          <w:sz w:val="24"/>
          <w:szCs w:val="24"/>
        </w:rPr>
      </w:pPr>
      <w:r>
        <w:rPr>
          <w:rFonts w:cs="Calibri" w:ascii="Calibri" w:hAnsi="Calibri"/>
          <w:sz w:val="24"/>
          <w:szCs w:val="24"/>
        </w:rPr>
        <w:t xml:space="preserve">Les heures prises en compte pour le calcul du contingent annuel d’heures supplémentaires sont celles accomplies au-delà de la durée collective du temps de travail, à savoir 34,20 heures. Compte tenu de l’organisation du temps de travail annualisé dans l’entreprise, la période de référence prise en compte pour le calcul des heures supplémentaire est la période d’annualisation. </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sz w:val="24"/>
          <w:szCs w:val="24"/>
        </w:rPr>
        <w:t>Ainsi, constituent des heures supplémentaires les heures de travail calculées conformément à l’annexe technique de l’accord sur la réduction du temps de travail du 17 juin 1999.</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t>A défaut d’accord, le décret n°2016-1553 du 18 novembre 2016 fixe à 220 heures le contingent annuel d’heures supplémentaires.</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t>Les partenaires sociaux s’entendent pour fixer le contingent annuel d’heures supplémentaires à 220 heures.</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b/>
          <w:sz w:val="24"/>
          <w:szCs w:val="24"/>
          <w:u w:val="single"/>
        </w:rPr>
        <w:t>ARTICLE 3 – Majoration des heures supplémentaires</w:t>
      </w:r>
    </w:p>
    <w:p>
      <w:pPr>
        <w:pStyle w:val="Normal"/>
        <w:jc w:val="both"/>
        <w:rPr>
          <w:rFonts w:ascii="Calibri" w:hAnsi="Calibri" w:cs="Calibri"/>
          <w:b/>
          <w:b/>
          <w:sz w:val="24"/>
          <w:szCs w:val="24"/>
          <w:u w:val="single"/>
        </w:rPr>
      </w:pPr>
      <w:r>
        <w:rPr>
          <w:rFonts w:cs="Calibri" w:ascii="Calibri" w:hAnsi="Calibri"/>
          <w:b/>
          <w:sz w:val="24"/>
          <w:szCs w:val="24"/>
          <w:u w:val="single"/>
        </w:rPr>
      </w:r>
    </w:p>
    <w:p>
      <w:pPr>
        <w:pStyle w:val="Normal"/>
        <w:jc w:val="both"/>
        <w:rPr>
          <w:rFonts w:ascii="Calibri" w:hAnsi="Calibri" w:cs="Calibri"/>
          <w:sz w:val="24"/>
          <w:szCs w:val="24"/>
        </w:rPr>
      </w:pPr>
      <w:r>
        <w:rPr>
          <w:rFonts w:cs="Calibri" w:ascii="Calibri" w:hAnsi="Calibri"/>
          <w:sz w:val="24"/>
          <w:szCs w:val="24"/>
        </w:rPr>
        <w:t>A la fin de chaque période d’annualisation, les heures supplémentaires imputées sur le contingent annuel sont majorées au taux de 25%. Celles-ci sont récupérées ou payées avant le 30 septembre suivant la clôture d’annualisation.</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b/>
          <w:sz w:val="24"/>
          <w:szCs w:val="24"/>
          <w:u w:val="single"/>
        </w:rPr>
        <w:t>ARTICLE 4 – Dépassement du contingent annuel</w:t>
      </w:r>
    </w:p>
    <w:p>
      <w:pPr>
        <w:pStyle w:val="Normal"/>
        <w:jc w:val="both"/>
        <w:rPr>
          <w:rFonts w:ascii="Calibri" w:hAnsi="Calibri" w:cs="Calibri"/>
          <w:b/>
          <w:b/>
          <w:sz w:val="24"/>
          <w:szCs w:val="24"/>
          <w:u w:val="single"/>
        </w:rPr>
      </w:pPr>
      <w:r>
        <w:rPr>
          <w:rFonts w:cs="Calibri" w:ascii="Calibri" w:hAnsi="Calibri"/>
          <w:b/>
          <w:sz w:val="24"/>
          <w:szCs w:val="24"/>
          <w:u w:val="single"/>
        </w:rPr>
      </w:r>
    </w:p>
    <w:p>
      <w:pPr>
        <w:pStyle w:val="Normal"/>
        <w:jc w:val="both"/>
        <w:rPr>
          <w:rFonts w:ascii="Calibri" w:hAnsi="Calibri" w:cs="Calibri"/>
          <w:sz w:val="24"/>
          <w:szCs w:val="24"/>
        </w:rPr>
      </w:pPr>
      <w:r>
        <w:rPr>
          <w:rFonts w:cs="Calibri" w:ascii="Calibri" w:hAnsi="Calibri"/>
          <w:sz w:val="24"/>
          <w:szCs w:val="24"/>
        </w:rPr>
        <w:t>La mise en œuvre des heures supplémentaires relève du pouvoir de direction de l’employeur.</w:t>
      </w:r>
    </w:p>
    <w:p>
      <w:pPr>
        <w:pStyle w:val="Normal"/>
        <w:jc w:val="both"/>
        <w:rPr/>
      </w:pPr>
      <w:r>
        <w:rPr>
          <w:rFonts w:cs="Calibri" w:ascii="Calibri" w:hAnsi="Calibri"/>
          <w:sz w:val="24"/>
          <w:szCs w:val="24"/>
        </w:rPr>
        <w:t>Les heures supplémentaires accomplies au-delà du contingent annuel ne sont pas autorisées.</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b/>
          <w:b/>
          <w:sz w:val="24"/>
          <w:szCs w:val="24"/>
          <w:u w:val="single"/>
        </w:rPr>
      </w:pPr>
      <w:r>
        <w:rPr>
          <w:rFonts w:cs="Calibri" w:ascii="Calibri" w:hAnsi="Calibri"/>
          <w:b/>
          <w:sz w:val="24"/>
          <w:szCs w:val="24"/>
          <w:u w:val="single"/>
        </w:rPr>
        <w:t>ARTICLE 5 – Durée et suivi de l’accord</w:t>
      </w:r>
    </w:p>
    <w:p>
      <w:pPr>
        <w:pStyle w:val="Normal"/>
        <w:jc w:val="both"/>
        <w:rPr>
          <w:rFonts w:ascii="Calibri" w:hAnsi="Calibri" w:cs="Calibri"/>
          <w:b/>
          <w:b/>
          <w:sz w:val="24"/>
          <w:szCs w:val="24"/>
          <w:u w:val="single"/>
        </w:rPr>
      </w:pPr>
      <w:r>
        <w:rPr>
          <w:rFonts w:cs="Calibri" w:ascii="Calibri" w:hAnsi="Calibri"/>
          <w:b/>
          <w:sz w:val="24"/>
          <w:szCs w:val="24"/>
          <w:u w:val="single"/>
        </w:rPr>
      </w:r>
    </w:p>
    <w:p>
      <w:pPr>
        <w:pStyle w:val="Normal"/>
        <w:jc w:val="both"/>
        <w:rPr>
          <w:rFonts w:ascii="Calibri" w:hAnsi="Calibri" w:cs="Calibri"/>
          <w:sz w:val="24"/>
          <w:szCs w:val="24"/>
        </w:rPr>
      </w:pPr>
      <w:r>
        <w:rPr>
          <w:rFonts w:cs="Calibri" w:ascii="Calibri" w:hAnsi="Calibri"/>
          <w:sz w:val="24"/>
          <w:szCs w:val="24"/>
        </w:rPr>
        <w:t>Cet accord est conclu pour une durée déterminée. Les parties prenantes conviennent de se rencontrer à la fin de l’annualisation 2018-2019 pour faire le bilan de cet accord.</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t>Cet accord est applicable dès l’annualisation en cours (fin de l’annualisation au 30/06/2019).</w:t>
      </w:r>
    </w:p>
    <w:p>
      <w:pPr>
        <w:pStyle w:val="Normal"/>
        <w:jc w:val="both"/>
        <w:rPr>
          <w:rFonts w:ascii="Calibri" w:hAnsi="Calibri" w:cs="Calibri"/>
          <w:sz w:val="24"/>
          <w:szCs w:val="24"/>
        </w:rPr>
      </w:pPr>
      <w:r>
        <w:rPr>
          <w:rFonts w:cs="Calibri" w:ascii="Calibri" w:hAnsi="Calibri"/>
          <w:sz w:val="24"/>
          <w:szCs w:val="24"/>
        </w:rPr>
      </w:r>
      <w:r>
        <w:br w:type="page"/>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b/>
          <w:sz w:val="24"/>
          <w:szCs w:val="24"/>
          <w:u w:val="single"/>
        </w:rPr>
        <w:t>ARTICLE 7 – Entrée en vigueur et publicité</w:t>
      </w:r>
    </w:p>
    <w:p>
      <w:pPr>
        <w:pStyle w:val="Normal"/>
        <w:jc w:val="both"/>
        <w:rPr>
          <w:rFonts w:ascii="Calibri" w:hAnsi="Calibri" w:cs="Calibri"/>
          <w:b/>
          <w:b/>
          <w:sz w:val="24"/>
          <w:szCs w:val="24"/>
          <w:u w:val="single"/>
        </w:rPr>
      </w:pPr>
      <w:r>
        <w:rPr>
          <w:rFonts w:cs="Calibri" w:ascii="Calibri" w:hAnsi="Calibri"/>
          <w:b/>
          <w:sz w:val="24"/>
          <w:szCs w:val="24"/>
          <w:u w:val="single"/>
        </w:rPr>
      </w:r>
    </w:p>
    <w:p>
      <w:pPr>
        <w:pStyle w:val="Normal"/>
        <w:jc w:val="both"/>
        <w:rPr>
          <w:rFonts w:ascii="Calibri" w:hAnsi="Calibri" w:cs="Calibri"/>
          <w:sz w:val="24"/>
          <w:szCs w:val="24"/>
        </w:rPr>
      </w:pPr>
      <w:r>
        <w:rPr>
          <w:rFonts w:cs="Calibri" w:ascii="Calibri" w:hAnsi="Calibri"/>
          <w:sz w:val="24"/>
          <w:szCs w:val="24"/>
        </w:rPr>
        <w:t>Cet accord est applicable dès l’annualisation en cours 2018-2019.</w:t>
      </w:r>
    </w:p>
    <w:p>
      <w:pPr>
        <w:pStyle w:val="Normal"/>
        <w:jc w:val="both"/>
        <w:rPr>
          <w:rFonts w:ascii="Calibri" w:hAnsi="Calibri" w:cs="Calibri"/>
          <w:sz w:val="24"/>
          <w:szCs w:val="24"/>
        </w:rPr>
      </w:pPr>
      <w:r>
        <w:rPr>
          <w:rFonts w:cs="Calibri" w:ascii="Calibri" w:hAnsi="Calibri"/>
          <w:sz w:val="24"/>
          <w:szCs w:val="24"/>
        </w:rPr>
      </w:r>
    </w:p>
    <w:p>
      <w:pPr>
        <w:pStyle w:val="Normal"/>
        <w:jc w:val="both"/>
        <w:rPr/>
      </w:pPr>
      <w:r>
        <w:rPr>
          <w:rFonts w:cs="Calibri" w:ascii="Calibri" w:hAnsi="Calibri"/>
          <w:sz w:val="24"/>
          <w:szCs w:val="24"/>
        </w:rPr>
        <w:t>Conformément à l'article </w:t>
      </w:r>
      <w:hyperlink r:id="rId2">
        <w:r>
          <w:rPr>
            <w:rStyle w:val="InternetLink"/>
            <w:rFonts w:cs="Calibri" w:ascii="Calibri" w:hAnsi="Calibri"/>
            <w:sz w:val="24"/>
            <w:szCs w:val="24"/>
          </w:rPr>
          <w:t xml:space="preserve"> L. 2231-5</w:t>
        </w:r>
      </w:hyperlink>
      <w:r>
        <w:rPr>
          <w:rFonts w:cs="Calibri" w:ascii="Calibri" w:hAnsi="Calibri"/>
          <w:sz w:val="24"/>
          <w:szCs w:val="24"/>
        </w:rPr>
        <w:t xml:space="preserve"> du code du travail, le texte du présent accord est notifié à l'ensemble des organisations syndicales représentatives dans l’entreprise.</w:t>
      </w:r>
    </w:p>
    <w:p>
      <w:pPr>
        <w:pStyle w:val="Normal"/>
        <w:jc w:val="both"/>
        <w:rPr/>
      </w:pPr>
      <w:r>
        <w:rPr>
          <w:rFonts w:cs="Calibri" w:ascii="Calibri" w:hAnsi="Calibri"/>
          <w:sz w:val="24"/>
          <w:szCs w:val="24"/>
        </w:rPr>
        <w:t>Le présent accord fera l’objet d’un dépôt à la DIRECCTE et au Secrétariat-greffe du Conseil des Prud’hommes d’Angers.</w:t>
      </w:r>
    </w:p>
    <w:p>
      <w:pPr>
        <w:pStyle w:val="Normal"/>
        <w:jc w:val="both"/>
        <w:rPr>
          <w:rFonts w:ascii="Calibri" w:hAnsi="Calibri" w:cs="Calibri"/>
          <w:sz w:val="24"/>
          <w:szCs w:val="24"/>
        </w:rPr>
      </w:pPr>
      <w:r>
        <w:rPr>
          <w:rFonts w:cs="Calibri" w:ascii="Calibri" w:hAnsi="Calibri"/>
          <w:sz w:val="24"/>
          <w:szCs w:val="24"/>
        </w:rPr>
      </w:r>
    </w:p>
    <w:p>
      <w:pPr>
        <w:pStyle w:val="Normal"/>
        <w:jc w:val="both"/>
        <w:rPr>
          <w:rFonts w:ascii="Calibri" w:hAnsi="Calibri" w:cs="Calibri"/>
          <w:sz w:val="24"/>
          <w:szCs w:val="24"/>
        </w:rPr>
      </w:pPr>
      <w:r>
        <w:rPr>
          <w:rFonts w:cs="Calibri" w:ascii="Calibri" w:hAnsi="Calibri"/>
          <w:sz w:val="24"/>
          <w:szCs w:val="24"/>
        </w:rPr>
      </w:r>
    </w:p>
    <w:p>
      <w:pPr>
        <w:pStyle w:val="Normal"/>
        <w:spacing w:lineRule="auto" w:line="360"/>
        <w:jc w:val="right"/>
        <w:rPr>
          <w:rFonts w:ascii="Calibri" w:hAnsi="Calibri" w:cs="Calibri"/>
          <w:sz w:val="24"/>
          <w:szCs w:val="24"/>
        </w:rPr>
      </w:pPr>
      <w:r>
        <w:rPr>
          <w:rFonts w:cs="Calibri" w:ascii="Calibri" w:hAnsi="Calibri"/>
          <w:sz w:val="24"/>
          <w:szCs w:val="24"/>
        </w:rPr>
        <w:t>Fait en 8 exemplaires originaux à St Barthélémy, le 22 février 2019</w:t>
      </w:r>
    </w:p>
    <w:p>
      <w:pPr>
        <w:pStyle w:val="Normal"/>
        <w:ind w:left="5664" w:firstLine="708"/>
        <w:jc w:val="center"/>
        <w:rPr>
          <w:rFonts w:ascii="Calibri" w:hAnsi="Calibri" w:cs="Calibri"/>
          <w:b/>
          <w:b/>
          <w:sz w:val="24"/>
          <w:szCs w:val="24"/>
        </w:rPr>
      </w:pPr>
      <w:r>
        <w:rPr>
          <w:rFonts w:cs="Calibri" w:ascii="Calibri" w:hAnsi="Calibri"/>
          <w:b/>
          <w:sz w:val="24"/>
          <w:szCs w:val="24"/>
        </w:rPr>
      </w:r>
    </w:p>
    <w:p>
      <w:pPr>
        <w:pStyle w:val="Normal"/>
        <w:ind w:left="5664" w:firstLine="708"/>
        <w:jc w:val="center"/>
        <w:rPr>
          <w:rFonts w:ascii="Calibri" w:hAnsi="Calibri" w:cs="Calibri"/>
          <w:b/>
          <w:b/>
          <w:sz w:val="24"/>
          <w:szCs w:val="24"/>
        </w:rPr>
      </w:pPr>
      <w:r>
        <w:rPr>
          <w:rFonts w:cs="Calibri" w:ascii="Calibri" w:hAnsi="Calibri"/>
          <w:b/>
          <w:sz w:val="24"/>
          <w:szCs w:val="24"/>
        </w:rPr>
        <w:t>LE DIRECTEUR</w:t>
      </w:r>
    </w:p>
    <w:p>
      <w:pPr>
        <w:pStyle w:val="Normal"/>
        <w:spacing w:lineRule="auto" w:line="360"/>
        <w:ind w:left="4956" w:firstLine="708"/>
        <w:jc w:val="center"/>
        <w:rPr>
          <w:rFonts w:ascii="Calibri" w:hAnsi="Calibri" w:cs="Calibri"/>
          <w:b/>
          <w:b/>
          <w:sz w:val="24"/>
          <w:szCs w:val="24"/>
        </w:rPr>
      </w:pPr>
      <w:r>
        <w:rPr>
          <w:rFonts w:cs="Calibri" w:ascii="Calibri" w:hAnsi="Calibri"/>
          <w:b/>
          <w:sz w:val="24"/>
          <w:szCs w:val="24"/>
        </w:rPr>
      </w:r>
    </w:p>
    <w:p>
      <w:pPr>
        <w:pStyle w:val="Normal"/>
        <w:spacing w:lineRule="auto" w:line="360"/>
        <w:ind w:left="4956" w:firstLine="708"/>
        <w:jc w:val="center"/>
        <w:rPr>
          <w:rFonts w:ascii="Calibri" w:hAnsi="Calibri" w:cs="Calibri"/>
          <w:b/>
          <w:b/>
          <w:sz w:val="24"/>
          <w:szCs w:val="24"/>
        </w:rPr>
      </w:pPr>
      <w:r>
        <w:rPr>
          <w:rFonts w:cs="Calibri" w:ascii="Calibri" w:hAnsi="Calibri"/>
          <w:b/>
          <w:sz w:val="24"/>
          <w:szCs w:val="24"/>
        </w:rPr>
      </w:r>
    </w:p>
    <w:p>
      <w:pPr>
        <w:pStyle w:val="Normal"/>
        <w:spacing w:lineRule="auto" w:line="360"/>
        <w:ind w:left="4956" w:firstLine="708"/>
        <w:jc w:val="center"/>
        <w:rPr>
          <w:rFonts w:ascii="Calibri" w:hAnsi="Calibri" w:cs="Calibri"/>
          <w:b/>
          <w:b/>
          <w:sz w:val="24"/>
          <w:szCs w:val="24"/>
        </w:rPr>
      </w:pPr>
      <w:r>
        <w:rPr>
          <w:rFonts w:cs="Calibri" w:ascii="Calibri" w:hAnsi="Calibri"/>
          <w:b/>
          <w:sz w:val="24"/>
          <w:szCs w:val="24"/>
        </w:rPr>
      </w:r>
    </w:p>
    <w:p>
      <w:pPr>
        <w:pStyle w:val="Normal"/>
        <w:spacing w:lineRule="auto" w:line="360"/>
        <w:ind w:left="4956" w:firstLine="708"/>
        <w:jc w:val="center"/>
        <w:rPr>
          <w:rFonts w:ascii="Calibri" w:hAnsi="Calibri" w:cs="Calibri"/>
          <w:b/>
          <w:b/>
          <w:sz w:val="24"/>
          <w:szCs w:val="24"/>
        </w:rPr>
      </w:pPr>
      <w:r>
        <w:rPr>
          <w:rFonts w:cs="Calibri" w:ascii="Calibri" w:hAnsi="Calibri"/>
          <w:b/>
          <w:sz w:val="24"/>
          <w:szCs w:val="24"/>
        </w:rPr>
      </w:r>
    </w:p>
    <w:p>
      <w:pPr>
        <w:pStyle w:val="Normal"/>
        <w:spacing w:lineRule="auto" w:line="360"/>
        <w:ind w:left="4956" w:firstLine="708"/>
        <w:jc w:val="center"/>
        <w:rPr>
          <w:rFonts w:ascii="Calibri" w:hAnsi="Calibri" w:cs="Calibri"/>
          <w:b/>
          <w:b/>
          <w:sz w:val="24"/>
          <w:szCs w:val="24"/>
        </w:rPr>
      </w:pPr>
      <w:r>
        <w:rPr>
          <w:rFonts w:cs="Calibri" w:ascii="Calibri" w:hAnsi="Calibri"/>
          <w:b/>
          <w:sz w:val="24"/>
          <w:szCs w:val="24"/>
        </w:rPr>
      </w:r>
    </w:p>
    <w:p>
      <w:pPr>
        <w:pStyle w:val="Normal"/>
        <w:spacing w:lineRule="auto" w:line="360"/>
        <w:ind w:left="4956" w:firstLine="708"/>
        <w:jc w:val="center"/>
        <w:rPr>
          <w:rFonts w:ascii="Calibri" w:hAnsi="Calibri" w:cs="Calibri"/>
          <w:b/>
          <w:b/>
          <w:sz w:val="24"/>
          <w:szCs w:val="24"/>
        </w:rPr>
      </w:pPr>
      <w:r>
        <w:rPr>
          <w:rFonts w:cs="Calibri" w:ascii="Calibri" w:hAnsi="Calibri"/>
          <w:b/>
          <w:sz w:val="24"/>
          <w:szCs w:val="24"/>
        </w:rPr>
      </w:r>
    </w:p>
    <w:p>
      <w:pPr>
        <w:pStyle w:val="Normal"/>
        <w:ind w:left="709" w:hanging="0"/>
        <w:rPr/>
      </w:pPr>
      <w:r>
        <w:rPr>
          <w:rFonts w:cs="Calibri" w:ascii="Calibri" w:hAnsi="Calibri"/>
          <w:b/>
          <w:sz w:val="24"/>
          <w:szCs w:val="24"/>
        </w:rPr>
        <w:t xml:space="preserve">LE DÉLÉGUÉ SYNDICAL </w:t>
        <w:tab/>
        <w:tab/>
        <w:t>LE DÉLÉGUÉ SYNDICAL</w:t>
        <w:tab/>
        <w:tab/>
        <w:t xml:space="preserve"> LE DÉLÉGUÉ SYNDICAL</w:t>
      </w:r>
    </w:p>
    <w:p>
      <w:pPr>
        <w:pStyle w:val="Normal"/>
        <w:ind w:left="709" w:hanging="0"/>
        <w:rPr>
          <w:rFonts w:ascii="Calibri" w:hAnsi="Calibri" w:cs="Calibri"/>
          <w:b/>
          <w:b/>
          <w:sz w:val="24"/>
          <w:szCs w:val="24"/>
        </w:rPr>
      </w:pPr>
      <w:r>
        <w:rPr>
          <w:rFonts w:cs="Calibri" w:ascii="Calibri" w:hAnsi="Calibri"/>
          <w:b/>
          <w:sz w:val="24"/>
          <w:szCs w:val="24"/>
        </w:rPr>
        <w:t>C.F.D.T. 1</w:t>
      </w:r>
      <w:r>
        <w:rPr>
          <w:rFonts w:cs="Calibri" w:ascii="Calibri" w:hAnsi="Calibri"/>
          <w:b/>
          <w:sz w:val="24"/>
          <w:szCs w:val="24"/>
          <w:vertAlign w:val="superscript"/>
        </w:rPr>
        <w:t>er</w:t>
      </w:r>
      <w:r>
        <w:rPr>
          <w:rFonts w:cs="Calibri" w:ascii="Calibri" w:hAnsi="Calibri"/>
          <w:b/>
          <w:sz w:val="24"/>
          <w:szCs w:val="24"/>
        </w:rPr>
        <w:t xml:space="preserve"> Collège</w:t>
        <w:tab/>
        <w:tab/>
        <w:tab/>
        <w:tab/>
        <w:t xml:space="preserve">C.F.T.C. </w:t>
        <w:tab/>
        <w:tab/>
        <w:tab/>
        <w:tab/>
        <w:t>U.N.S.A.</w:t>
      </w:r>
    </w:p>
    <w:p>
      <w:pPr>
        <w:pStyle w:val="Normal"/>
        <w:ind w:left="709" w:firstLine="707"/>
        <w:rPr>
          <w:rFonts w:ascii="Calibri" w:hAnsi="Calibri" w:cs="Calibri"/>
          <w:b/>
          <w:b/>
          <w:sz w:val="24"/>
          <w:szCs w:val="24"/>
        </w:rPr>
      </w:pPr>
      <w:r>
        <w:rPr>
          <w:rFonts w:cs="Calibri" w:ascii="Calibri" w:hAnsi="Calibri"/>
          <w:b/>
          <w:sz w:val="24"/>
          <w:szCs w:val="24"/>
        </w:rPr>
        <w:tab/>
        <w:tab/>
        <w:tab/>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709" w:hanging="0"/>
        <w:rPr>
          <w:rFonts w:ascii="Calibri" w:hAnsi="Calibri" w:cs="Calibri"/>
          <w:b/>
          <w:b/>
          <w:sz w:val="24"/>
          <w:szCs w:val="24"/>
        </w:rPr>
      </w:pPr>
      <w:r>
        <w:rPr>
          <w:rFonts w:cs="Calibri" w:ascii="Calibri" w:hAnsi="Calibri"/>
          <w:b/>
          <w:sz w:val="24"/>
          <w:szCs w:val="24"/>
        </w:rPr>
      </w:r>
    </w:p>
    <w:p>
      <w:pPr>
        <w:pStyle w:val="Normal"/>
        <w:ind w:left="1417" w:firstLine="707"/>
        <w:rPr>
          <w:rFonts w:ascii="Calibri" w:hAnsi="Calibri" w:cs="Calibri"/>
          <w:b/>
          <w:b/>
          <w:sz w:val="24"/>
          <w:szCs w:val="24"/>
        </w:rPr>
      </w:pPr>
      <w:r>
        <w:rPr>
          <w:rFonts w:cs="Calibri" w:ascii="Calibri" w:hAnsi="Calibri"/>
          <w:b/>
          <w:sz w:val="24"/>
          <w:szCs w:val="24"/>
        </w:rPr>
        <w:t xml:space="preserve">LE DÉLÉGUÉ SYNDICAL </w:t>
        <w:tab/>
        <w:tab/>
        <w:tab/>
        <w:t xml:space="preserve">LE DÉLÉGUÉ SYNDICAL </w:t>
      </w:r>
    </w:p>
    <w:p>
      <w:pPr>
        <w:pStyle w:val="Normal"/>
        <w:ind w:left="1417" w:firstLine="707"/>
        <w:rPr>
          <w:rFonts w:ascii="Calibri" w:hAnsi="Calibri" w:cs="Calibri"/>
          <w:b/>
          <w:b/>
          <w:sz w:val="24"/>
          <w:szCs w:val="24"/>
        </w:rPr>
      </w:pPr>
      <w:r>
        <w:rPr>
          <w:rFonts w:cs="Calibri" w:ascii="Calibri" w:hAnsi="Calibri"/>
          <w:b/>
          <w:sz w:val="24"/>
          <w:szCs w:val="24"/>
        </w:rPr>
        <w:t>C.F.D.T. 2</w:t>
      </w:r>
      <w:r>
        <w:rPr>
          <w:rFonts w:cs="Calibri" w:ascii="Calibri" w:hAnsi="Calibri"/>
          <w:b/>
          <w:sz w:val="24"/>
          <w:szCs w:val="24"/>
          <w:vertAlign w:val="superscript"/>
        </w:rPr>
        <w:t>ème</w:t>
      </w:r>
      <w:r>
        <w:rPr>
          <w:rFonts w:cs="Calibri" w:ascii="Calibri" w:hAnsi="Calibri"/>
          <w:b/>
          <w:sz w:val="24"/>
          <w:szCs w:val="24"/>
        </w:rPr>
        <w:t xml:space="preserve"> Collège</w:t>
        <w:tab/>
        <w:tab/>
        <w:tab/>
        <w:tab/>
        <w:t xml:space="preserve">        C.F.E. – C.G.C.</w:t>
      </w:r>
    </w:p>
    <w:sectPr>
      <w:headerReference w:type="default" r:id="rId3"/>
      <w:footerReference w:type="default" r:id="rId4"/>
      <w:type w:val="nextPage"/>
      <w:pgSz w:w="11906" w:h="16838"/>
      <w:pgMar w:left="900" w:right="746" w:header="708" w:top="1417" w:footer="421" w:bottom="899"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ymbol">
    <w:charset w:val="01"/>
    <w:family w:val="roman"/>
    <w:pitch w:val="variable"/>
  </w:font>
  <w:font w:name="Wingdings 3">
    <w:charset w:val="02"/>
    <w:family w:val="roman"/>
    <w:pitch w:val="variable"/>
  </w:font>
  <w:font w:name="Monotype Sorts">
    <w:altName w:val="ZapfDingbats"/>
    <w:charset w:val="00"/>
    <w:family w:val="auto"/>
    <w:pitch w:val="default"/>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5220" w:leader="none"/>
        <w:tab w:val="right" w:pos="10620" w:leader="none"/>
      </w:tabs>
      <w:rPr>
        <w:rStyle w:val="PageNumber"/>
        <w:rFonts w:ascii="Calibri" w:hAnsi="Calibri" w:cs="Calibri"/>
        <w:sz w:val="16"/>
        <w:szCs w:val="16"/>
      </w:rPr>
    </w:pPr>
    <w:r>
      <mc:AlternateContent>
        <mc:Choice Requires="wps">
          <w:drawing>
            <wp:anchor behindDoc="1" distT="0" distB="0" distL="114935" distR="114935" simplePos="0" locked="0" layoutInCell="1" allowOverlap="1" relativeHeight="7">
              <wp:simplePos x="0" y="0"/>
              <wp:positionH relativeFrom="column">
                <wp:posOffset>0</wp:posOffset>
              </wp:positionH>
              <wp:positionV relativeFrom="paragraph">
                <wp:posOffset>-92710</wp:posOffset>
              </wp:positionV>
              <wp:extent cx="6783070" cy="1905"/>
              <wp:effectExtent l="0" t="0" r="0" b="0"/>
              <wp:wrapNone/>
              <wp:docPr id="2" name=""/>
              <a:graphic xmlns:a="http://schemas.openxmlformats.org/drawingml/2006/main">
                <a:graphicData uri="http://schemas.microsoft.com/office/word/2010/wordprocessingShape">
                  <wps:cxnSp>
                    <wps:nvCxnSpPr>
                      <wps:cNvPr id="0" name="Line 1"/>
                      <wps:cNvCxnSpPr/>
                      <wps:nvPr/>
                    </wps:nvCxnSpPr>
                    <wps:spPr>
                      <a:xfrm>
                        <a:off x="0" y="0"/>
                        <a:ext cx="6782760" cy="1800"/>
                      </a:xfrm>
                      <a:prstGeom prst="straightConnector1">
                        <a:avLst/>
                      </a:prstGeom>
                      <a:ln w="38160">
                        <a:solidFill>
                          <a:srgbClr val="00aac3"/>
                        </a:solidFill>
                        <a:miter/>
                      </a:ln>
                    </wps:spPr>
                    <wps:bodyPr/>
                  </wps:cxnSp>
                </a:graphicData>
              </a:graphic>
            </wp:anchor>
          </w:drawing>
        </mc:Choice>
        <mc:Fallback>
          <w:pict>
            <v:shapetype id="shapetype_32" coordsize="21600,21600" o:spt="32" path="m,l21600,21600nfe">
              <v:stroke joinstyle="miter"/>
              <v:path gradientshapeok="t" o:connecttype="rect" textboxrect="0,0,21600,21600"/>
            </v:shapetype>
            <v:shape id="shape_0" stroked="t" style="position:absolute;margin-left:0pt;margin-top:-7.3pt;width:534.05pt;height:0.1pt" type="shapetype_32">
              <v:stroke color="#00aac3" weight="38160" joinstyle="miter" endcap="square"/>
              <v:fill o:detectmouseclick="t" on="false"/>
            </v:shape>
          </w:pict>
        </mc:Fallback>
      </mc:AlternateContent>
    </w:r>
    <w:r>
      <w:rPr>
        <w:rFonts w:cs="Calibri" w:ascii="Calibri" w:hAnsi="Calibri"/>
        <w:sz w:val="16"/>
        <w:szCs w:val="16"/>
      </w:rPr>
      <w:t>D</w:t>
    </w:r>
    <w:r>
      <w:rPr>
        <w:rFonts w:cs="Calibri" w:ascii="Calibri" w:hAnsi="Calibri"/>
        <w:sz w:val="16"/>
        <w:szCs w:val="16"/>
      </w:rPr>
      <w:t>IR-ADT-190222-Avenant n°2 accord RTT du 20 juin 2000</w:t>
      <w:tab/>
      <w:tab/>
      <w:t xml:space="preserve">page : </w:t>
    </w:r>
    <w:r>
      <w:rPr>
        <w:rStyle w:val="PageNumber"/>
        <w:rFonts w:cs="Calibri" w:ascii="Calibri" w:hAnsi="Calibri"/>
        <w:sz w:val="16"/>
        <w:szCs w:val="16"/>
      </w:rPr>
      <w:fldChar w:fldCharType="begin"/>
    </w:r>
    <w:r>
      <w:instrText> PAGE </w:instrText>
    </w:r>
    <w:r>
      <w:fldChar w:fldCharType="separate"/>
    </w:r>
    <w:r>
      <w:t>3</w:t>
    </w:r>
    <w:r>
      <w:fldChar w:fldCharType="end"/>
    </w:r>
    <w:r>
      <w:rPr>
        <w:rStyle w:val="PageNumber"/>
        <w:rFonts w:cs="Calibri" w:ascii="Calibri" w:hAnsi="Calibri"/>
        <w:sz w:val="16"/>
        <w:szCs w:val="16"/>
      </w:rPr>
      <w:t>/</w:t>
    </w:r>
    <w:r>
      <w:rPr>
        <w:rStyle w:val="PageNumber"/>
        <w:rFonts w:cs="Calibri" w:ascii="Calibri" w:hAnsi="Calibri"/>
        <w:sz w:val="16"/>
        <w:szCs w:val="16"/>
      </w:rPr>
      <w:fldChar w:fldCharType="begin"/>
    </w:r>
    <w:r>
      <w:instrText> NUMPAGES \* ARABIC </w:instrText>
    </w:r>
    <w:r>
      <w:fldChar w:fldCharType="separate"/>
    </w:r>
    <w:r>
      <w:t>3</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528" w:type="dxa"/>
      <w:jc w:val="left"/>
      <w:tblInd w:w="-72" w:type="dxa"/>
      <w:tblBorders/>
      <w:tblCellMar>
        <w:top w:w="0" w:type="dxa"/>
        <w:left w:w="108" w:type="dxa"/>
        <w:bottom w:w="0" w:type="dxa"/>
        <w:right w:w="108" w:type="dxa"/>
      </w:tblCellMar>
    </w:tblPr>
    <w:tblGrid>
      <w:gridCol w:w="3157"/>
      <w:gridCol w:w="7371"/>
    </w:tblGrid>
    <w:tr>
      <w:trPr>
        <w:trHeight w:val="623" w:hRule="atLeast"/>
        <w:cantSplit w:val="true"/>
      </w:trPr>
      <w:tc>
        <w:tcPr>
          <w:tcW w:w="3157" w:type="dxa"/>
          <w:vMerge w:val="restart"/>
          <w:tcBorders/>
          <w:shd w:fill="auto" w:val="clear"/>
        </w:tcPr>
        <w:p>
          <w:pPr>
            <w:pStyle w:val="Header"/>
            <w:snapToGrid w:val="false"/>
            <w:rPr>
              <w:lang w:val="en-GB" w:eastAsia="en-GB"/>
            </w:rPr>
          </w:pPr>
          <w:r>
            <w:rPr>
              <w:lang w:val="en-GB" w:eastAsia="en-GB"/>
            </w:rPr>
            <w:drawing>
              <wp:anchor behindDoc="1" distT="0" distB="0" distL="114935" distR="114935" simplePos="0" locked="0" layoutInCell="1" allowOverlap="1" relativeHeight="4">
                <wp:simplePos x="0" y="0"/>
                <wp:positionH relativeFrom="column">
                  <wp:posOffset>-9525</wp:posOffset>
                </wp:positionH>
                <wp:positionV relativeFrom="paragraph">
                  <wp:posOffset>154305</wp:posOffset>
                </wp:positionV>
                <wp:extent cx="1895475" cy="58102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895475" cy="581025"/>
                        </a:xfrm>
                        <a:prstGeom prst="rect">
                          <a:avLst/>
                        </a:prstGeom>
                      </pic:spPr>
                    </pic:pic>
                  </a:graphicData>
                </a:graphic>
              </wp:anchor>
            </w:drawing>
          </w:r>
        </w:p>
      </w:tc>
      <w:tc>
        <w:tcPr>
          <w:tcW w:w="7371" w:type="dxa"/>
          <w:vMerge w:val="restart"/>
          <w:tcBorders/>
          <w:shd w:fill="auto" w:val="clear"/>
          <w:vAlign w:val="center"/>
        </w:tcPr>
        <w:p>
          <w:pPr>
            <w:pStyle w:val="Header"/>
            <w:jc w:val="center"/>
            <w:rPr>
              <w:rFonts w:ascii="Arial" w:hAnsi="Arial" w:cs="Arial"/>
              <w:b/>
              <w:b/>
              <w:sz w:val="24"/>
              <w:szCs w:val="24"/>
            </w:rPr>
          </w:pPr>
          <w:r>
            <w:rPr>
              <w:rFonts w:cs="Arial" w:ascii="Arial" w:hAnsi="Arial"/>
              <w:b/>
              <w:sz w:val="24"/>
              <w:szCs w:val="24"/>
            </w:rPr>
            <w:t>AVENANT N°2 AU PROTOCOLE D’ACCORD CONCERNANT L’ORGANISATION, L’AMENAGEMENT ET LA REDUCTION DU TEMPS DE TRAVAIL DU 20 JUIN 2000</w:t>
          </w:r>
        </w:p>
      </w:tc>
    </w:tr>
    <w:tr>
      <w:trPr>
        <w:trHeight w:val="773" w:hRule="atLeast"/>
        <w:cantSplit w:val="true"/>
      </w:trPr>
      <w:tc>
        <w:tcPr>
          <w:tcW w:w="3157" w:type="dxa"/>
          <w:vMerge w:val="continue"/>
          <w:tcBorders/>
          <w:shd w:fill="auto" w:val="clear"/>
        </w:tcPr>
        <w:p>
          <w:pPr>
            <w:pStyle w:val="Header"/>
            <w:snapToGrid w:val="false"/>
            <w:rPr>
              <w:rFonts w:ascii="Arial" w:hAnsi="Arial" w:cs="Arial"/>
              <w:b/>
              <w:b/>
              <w:sz w:val="24"/>
              <w:szCs w:val="24"/>
              <w:lang w:val="en-GB" w:eastAsia="en-GB"/>
            </w:rPr>
          </w:pPr>
          <w:r>
            <w:rPr>
              <w:rFonts w:cs="Arial" w:ascii="Arial" w:hAnsi="Arial"/>
              <w:b/>
              <w:sz w:val="24"/>
              <w:szCs w:val="24"/>
              <w:lang w:val="en-GB" w:eastAsia="en-GB"/>
            </w:rPr>
          </w:r>
        </w:p>
      </w:tc>
      <w:tc>
        <w:tcPr>
          <w:tcW w:w="7371" w:type="dxa"/>
          <w:vMerge w:val="continue"/>
          <w:tcBorders/>
          <w:shd w:fill="auto" w:val="clear"/>
          <w:vAlign w:val="center"/>
        </w:tcPr>
        <w:p>
          <w:pPr>
            <w:pStyle w:val="Header"/>
            <w:snapToGrid w:val="false"/>
            <w:jc w:val="center"/>
            <w:rPr>
              <w:rFonts w:ascii="Arial" w:hAnsi="Arial" w:cs="Arial"/>
              <w:b/>
              <w:b/>
              <w:sz w:val="28"/>
              <w:szCs w:val="28"/>
              <w:lang w:val="en-GB" w:eastAsia="en-GB"/>
            </w:rPr>
          </w:pPr>
          <w:r>
            <w:rPr>
              <w:rFonts w:cs="Arial" w:ascii="Arial" w:hAnsi="Arial"/>
              <w:b/>
              <w:sz w:val="28"/>
              <w:szCs w:val="28"/>
              <w:lang w:val="en-GB" w:eastAsia="en-GB"/>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357"/>
        </w:tabs>
        <w:ind w:left="357" w:hanging="0"/>
      </w:pPr>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1440"/>
        </w:tabs>
        <w:ind w:left="1440" w:hanging="360"/>
      </w:pPr>
      <w:rPr>
        <w:rFonts w:ascii="Wingdings 3" w:hAnsi="Wingdings 3" w:cs="Wingdings 3" w:hint="default"/>
        <w:sz w:val="24"/>
        <w:szCs w:val="24"/>
        <w:rFonts w:cs="Wingdings 3"/>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numPr>
        <w:ilvl w:val="0"/>
        <w:numId w:val="1"/>
      </w:numPr>
      <w:spacing w:before="240" w:after="0"/>
      <w:outlineLvl w:val="0"/>
      <w:outlineLvl w:val="0"/>
    </w:pPr>
    <w:rPr>
      <w:rFonts w:ascii="Arial" w:hAnsi="Arial" w:eastAsia="Times" w:cs="Arial"/>
      <w:b/>
      <w:color w:val="0000FF"/>
      <w:sz w:val="24"/>
      <w:szCs w:val="24"/>
    </w:rPr>
  </w:style>
  <w:style w:type="paragraph" w:styleId="Heading2">
    <w:name w:val="Heading 2"/>
    <w:basedOn w:val="Normal"/>
    <w:next w:val="Normal"/>
    <w:qFormat/>
    <w:pPr>
      <w:keepNext/>
      <w:spacing w:before="120" w:after="120"/>
      <w:jc w:val="both"/>
      <w:outlineLvl w:val="1"/>
    </w:pPr>
    <w:rPr>
      <w:rFonts w:ascii="Arial" w:hAnsi="Arial" w:eastAsia="Times" w:cs="Arial"/>
      <w:b/>
      <w:sz w:val="24"/>
      <w:u w:val="single"/>
    </w:rPr>
  </w:style>
  <w:style w:type="paragraph" w:styleId="Heading3">
    <w:name w:val="Heading 3"/>
    <w:basedOn w:val="Normal"/>
    <w:next w:val="Normal"/>
    <w:qFormat/>
    <w:pPr>
      <w:keepNext/>
      <w:spacing w:before="120" w:after="120"/>
      <w:jc w:val="both"/>
      <w:outlineLvl w:val="2"/>
    </w:pPr>
    <w:rPr>
      <w:rFonts w:ascii="Arial" w:hAnsi="Arial" w:eastAsia="Times" w:cs="Arial"/>
      <w:b/>
      <w:spacing w:val="20"/>
      <w:szCs w:val="20"/>
    </w:rPr>
  </w:style>
  <w:style w:type="paragraph" w:styleId="Heading5">
    <w:name w:val="Heading 5"/>
    <w:basedOn w:val="Normal"/>
    <w:next w:val="Normal"/>
    <w:qFormat/>
    <w:pPr>
      <w:spacing w:before="240" w:after="60"/>
      <w:outlineLvl w:val="4"/>
    </w:pPr>
    <w:rPr>
      <w:rFonts w:ascii="Calibri" w:hAnsi="Calibri" w:eastAsia="Times New Roman" w:cs="Times New Roman"/>
      <w:b/>
      <w:bCs/>
      <w:i/>
      <w:iCs/>
      <w:sz w:val="26"/>
      <w:szCs w:val="26"/>
    </w:rPr>
  </w:style>
  <w:style w:type="character" w:styleId="WW8Num1z0">
    <w:name w:val="WW8Num1z0"/>
    <w:qFormat/>
    <w:rPr/>
  </w:style>
  <w:style w:type="character" w:styleId="WW8Num2z0">
    <w:name w:val="WW8Num2z0"/>
    <w:qFormat/>
    <w:rPr>
      <w:rFonts w:ascii="Calibri" w:hAnsi="Calibri"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Calibri" w:hAnsi="Calibri"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3" w:hAnsi="Wingdings 3" w:cs="Wingdings 3"/>
      <w:sz w:val="24"/>
      <w:szCs w:val="24"/>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Calibri" w:hAnsi="Calibri"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Calibri" w:hAnsi="Calibri"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Arial" w:hAnsi="Arial" w:eastAsia="Times New Roman"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St5z0">
    <w:name w:val="WW8NumSt5z0"/>
    <w:qFormat/>
    <w:rPr>
      <w:rFonts w:ascii="Symbol" w:hAnsi="Symbol" w:cs="Symbol"/>
      <w:sz w:val="14"/>
    </w:rPr>
  </w:style>
  <w:style w:type="character" w:styleId="WW8NumSt5z1">
    <w:name w:val="WW8NumSt5z1"/>
    <w:qFormat/>
    <w:rPr>
      <w:rFonts w:ascii="Courier New" w:hAnsi="Courier New" w:cs="Courier New"/>
    </w:rPr>
  </w:style>
  <w:style w:type="character" w:styleId="WW8NumSt5z2">
    <w:name w:val="WW8NumSt5z2"/>
    <w:qFormat/>
    <w:rPr>
      <w:rFonts w:ascii="Wingdings" w:hAnsi="Wingdings" w:cs="Wingdings"/>
    </w:rPr>
  </w:style>
  <w:style w:type="character" w:styleId="WW8NumSt5z3">
    <w:name w:val="WW8NumSt5z3"/>
    <w:qFormat/>
    <w:rPr>
      <w:rFonts w:ascii="Symbol" w:hAnsi="Symbol" w:cs="Symbol"/>
    </w:rPr>
  </w:style>
  <w:style w:type="character" w:styleId="WW8NumSt8z0">
    <w:name w:val="WW8NumSt8z0"/>
    <w:qFormat/>
    <w:rPr>
      <w:rFonts w:ascii="Monotype Sorts;ZapfDingbats" w:hAnsi="Monotype Sorts;ZapfDingbats" w:cs="Monotype Sorts;ZapfDingbats"/>
    </w:rPr>
  </w:style>
  <w:style w:type="character" w:styleId="WW8NumSt9z0">
    <w:name w:val="WW8NumSt9z0"/>
    <w:qFormat/>
    <w:rPr>
      <w:rFonts w:ascii="Wingdings" w:hAnsi="Wingdings" w:cs="Wingdings"/>
    </w:rPr>
  </w:style>
  <w:style w:type="character" w:styleId="Policepardfaut">
    <w:name w:val="Police par défaut"/>
    <w:qFormat/>
    <w:rPr/>
  </w:style>
  <w:style w:type="character" w:styleId="PageNumber">
    <w:name w:val="Page Number"/>
    <w:basedOn w:val="Policepardfaut"/>
    <w:rPr/>
  </w:style>
  <w:style w:type="character" w:styleId="Titre2Car">
    <w:name w:val="Titre 2 Car"/>
    <w:qFormat/>
    <w:rPr>
      <w:rFonts w:ascii="Arial" w:hAnsi="Arial" w:eastAsia="Times" w:cs="Arial"/>
      <w:b/>
      <w:sz w:val="24"/>
      <w:u w:val="single"/>
      <w:lang w:val="fr-FR" w:bidi="ar-SA"/>
    </w:rPr>
  </w:style>
  <w:style w:type="character" w:styleId="Titre5Car">
    <w:name w:val="Titre 5 Car"/>
    <w:qFormat/>
    <w:rPr>
      <w:rFonts w:ascii="Calibri" w:hAnsi="Calibri" w:eastAsia="Times New Roman" w:cs="Times New Roman"/>
      <w:b/>
      <w:bCs/>
      <w:i/>
      <w:iCs/>
      <w:sz w:val="26"/>
      <w:szCs w:val="26"/>
    </w:rPr>
  </w:style>
  <w:style w:type="character" w:styleId="StrongEmphasis">
    <w:name w:val="Strong Emphasis"/>
    <w:rPr>
      <w:b/>
      <w:bCs/>
    </w:rPr>
  </w:style>
  <w:style w:type="character" w:styleId="Hl3">
    <w:name w:val="hl3"/>
    <w:qFormat/>
    <w:rPr>
      <w:b/>
      <w:bCs/>
      <w:color w:val="FFFFFF"/>
      <w:shd w:fill="898FA6" w:val="clear"/>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TextBodyIndent">
    <w:name w:val="Text Body Indent"/>
    <w:basedOn w:val="Normal"/>
    <w:pPr>
      <w:ind w:left="1276" w:hanging="0"/>
      <w:jc w:val="both"/>
    </w:pPr>
    <w:rPr/>
  </w:style>
  <w:style w:type="paragraph" w:styleId="Paragraphedeliste">
    <w:name w:val="Paragraphe de liste"/>
    <w:basedOn w:val="Normal"/>
    <w:qFormat/>
    <w:pPr>
      <w:spacing w:lineRule="auto" w:line="276" w:before="200" w:after="200"/>
      <w:ind w:left="720" w:hanging="0"/>
      <w:contextualSpacing/>
    </w:pPr>
    <w:rPr>
      <w:rFonts w:ascii="Calibri" w:hAnsi="Calibri" w:cs="Calibri"/>
      <w:lang w:val="en-US" w:bidi="en-U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lnet.fr/documentation/Document?id=CODE_CTRA_ARTI_L2231-5&amp;nrf=0_ZHNfRUwvQ0QwMi9BQ0MvQWNjdWVpbE1hdGllcmVfd2lkZS5odG1sfExpc3RlfGRfWjJNOTYx&amp;FromId=Z2M961"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2019-03-26T17:37:00Z</dcterms:created>
  <dc:language>en-GB</dc:language>
  <cp:lastPrinted>2019-02-22T13:38:00Z</cp:lastPrinted>
  <dcterms:modified xsi:type="dcterms:W3CDTF">2019-03-28T16:37:00Z</dcterms:modified>
  <cp:revision>3</cp:revision>
  <dc:title>Titre</dc:title>
</cp:coreProperties>
</file>