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6" w:color="000000"/>
        </w:pBdr>
        <w:jc w:val="center"/>
        <w:rPr>
          <w:rFonts w:ascii="Book Antiqua" w:hAnsi="Book Antiqua" w:cs="Book Antiqua"/>
          <w:b/>
          <w:b/>
          <w:bCs/>
          <w:sz w:val="22"/>
        </w:rPr>
      </w:pPr>
      <w:r>
        <w:rPr>
          <w:rFonts w:cs="Book Antiqua" w:ascii="Book Antiqua" w:hAnsi="Book Antiqua"/>
          <w:b/>
          <w:bCs/>
          <w:sz w:val="22"/>
        </w:rPr>
        <w:t>ACCORD COLLECTIF DU 18 JUIN 2021 PORTANT SUR LA NÉGOCIATION ANNUELLE SUR LA RÉMUNÉRATION, LE TEMPS DE TRAVAIL ET LE PARTAGE DE LA VALEUR AJOUTÉE DANS L'ENTREPRISE DE LA SOCIETE THIRIET SAINT MEMMIE</w:t>
      </w:r>
    </w:p>
    <w:p>
      <w:pPr>
        <w:pStyle w:val="Normal"/>
        <w:jc w:val="both"/>
        <w:rPr>
          <w:rFonts w:ascii="Book Antiqua" w:hAnsi="Book Antiqua" w:cs="Book Antiqua"/>
          <w:b/>
          <w:b/>
          <w:bCs/>
          <w:color w:val="FF00FF"/>
          <w:sz w:val="22"/>
          <w:u w:val="single"/>
        </w:rPr>
      </w:pPr>
      <w:r>
        <w:rPr>
          <w:rFonts w:cs="Book Antiqua" w:ascii="Book Antiqua" w:hAnsi="Book Antiqua"/>
          <w:b/>
          <w:bCs/>
          <w:color w:val="FF00FF"/>
          <w:sz w:val="22"/>
          <w:u w:val="single"/>
        </w:rPr>
      </w:r>
    </w:p>
    <w:p>
      <w:pPr>
        <w:pStyle w:val="Normal"/>
        <w:jc w:val="both"/>
        <w:rPr>
          <w:rFonts w:ascii="Book Antiqua" w:hAnsi="Book Antiqua" w:cs="Book Antiqua"/>
          <w:color w:val="FF00FF"/>
          <w:sz w:val="22"/>
          <w:u w:val="single"/>
        </w:rPr>
      </w:pPr>
      <w:r>
        <w:rPr>
          <w:rFonts w:cs="Book Antiqua" w:ascii="Book Antiqua" w:hAnsi="Book Antiqua"/>
          <w:color w:val="FF00FF"/>
          <w:sz w:val="22"/>
          <w:u w:val="single"/>
        </w:rPr>
      </w:r>
    </w:p>
    <w:p>
      <w:pPr>
        <w:pStyle w:val="Normal"/>
        <w:ind w:right="-51" w:hanging="0"/>
        <w:jc w:val="both"/>
        <w:rPr/>
      </w:pPr>
      <w:r>
        <w:rPr>
          <w:rFonts w:cs="Times New Roman" w:ascii="Book Antiqua" w:hAnsi="Book Antiqua"/>
          <w:b/>
          <w:bCs/>
          <w:sz w:val="22"/>
          <w:szCs w:val="22"/>
          <w:u w:val="single"/>
        </w:rPr>
        <w:t>Entre</w:t>
      </w:r>
      <w:r>
        <w:rPr>
          <w:rFonts w:cs="Times New Roman" w:ascii="Book Antiqua" w:hAnsi="Book Antiqua"/>
          <w:b/>
          <w:bCs/>
          <w:sz w:val="22"/>
          <w:szCs w:val="22"/>
        </w:rPr>
        <w:t>,</w:t>
      </w:r>
    </w:p>
    <w:p>
      <w:pPr>
        <w:pStyle w:val="Normal"/>
        <w:ind w:right="-51" w:hanging="0"/>
        <w:jc w:val="both"/>
        <w:rPr>
          <w:rFonts w:ascii="Book Antiqua" w:hAnsi="Book Antiqua" w:cs="Times New Roman"/>
          <w:b/>
          <w:b/>
          <w:bCs/>
          <w:sz w:val="22"/>
          <w:szCs w:val="22"/>
        </w:rPr>
      </w:pPr>
      <w:r>
        <w:rPr>
          <w:rFonts w:cs="Times New Roman" w:ascii="Book Antiqua" w:hAnsi="Book Antiqua"/>
          <w:b/>
          <w:bCs/>
          <w:sz w:val="22"/>
          <w:szCs w:val="22"/>
        </w:rPr>
      </w:r>
    </w:p>
    <w:p>
      <w:pPr>
        <w:pStyle w:val="Normal"/>
        <w:jc w:val="both"/>
        <w:rPr>
          <w:rFonts w:ascii="Book Antiqua" w:hAnsi="Book Antiqua" w:cs="Times New Roman"/>
          <w:sz w:val="22"/>
          <w:szCs w:val="22"/>
        </w:rPr>
      </w:pPr>
      <w:r>
        <w:rPr>
          <w:rFonts w:cs="Times New Roman" w:ascii="Book Antiqua" w:hAnsi="Book Antiqua"/>
          <w:b/>
          <w:bCs/>
          <w:sz w:val="22"/>
          <w:szCs w:val="22"/>
        </w:rPr>
        <w:t xml:space="preserve">La Société </w:t>
      </w:r>
      <w:r>
        <w:rPr>
          <w:rFonts w:cs="Book Antiqua" w:ascii="Book Antiqua" w:hAnsi="Book Antiqua"/>
          <w:b/>
          <w:sz w:val="22"/>
          <w:szCs w:val="22"/>
        </w:rPr>
        <w:t>THIRIET SAINT MEMMIE</w:t>
      </w:r>
      <w:r>
        <w:rPr>
          <w:rFonts w:cs="Book Antiqua" w:ascii="Book Antiqua" w:hAnsi="Book Antiqua"/>
          <w:sz w:val="22"/>
          <w:szCs w:val="22"/>
        </w:rPr>
        <w:t xml:space="preserve">, </w:t>
      </w:r>
      <w:r>
        <w:rPr>
          <w:rFonts w:cs="Book Antiqua" w:ascii="Book Antiqua" w:hAnsi="Book Antiqua"/>
          <w:bCs/>
          <w:sz w:val="22"/>
          <w:szCs w:val="22"/>
        </w:rPr>
        <w:t xml:space="preserve">SAS (Société à associé unique) au capital de </w:t>
      </w:r>
      <w:r>
        <w:rPr>
          <w:rFonts w:cs="Times New Roman" w:ascii="Book Antiqua" w:hAnsi="Book Antiqua"/>
          <w:sz w:val="22"/>
          <w:szCs w:val="22"/>
        </w:rPr>
        <w:t xml:space="preserve">4 000 €, </w:t>
      </w:r>
      <w:r>
        <w:rPr>
          <w:rFonts w:cs="Book Antiqua" w:ascii="Book Antiqua" w:hAnsi="Book Antiqua"/>
          <w:sz w:val="22"/>
          <w:szCs w:val="22"/>
        </w:rPr>
        <w:t xml:space="preserve">ayant son siège social à SAINT MEMMIE (51470), ZAC de Voitrelle, 06 avenue Marc Hamet, inscrite au Registre du Commerce et des Sociétés de CHALONS-EN-CHAMPAGNE sous le n° </w:t>
      </w:r>
      <w:r>
        <w:rPr>
          <w:rFonts w:cs="Times New Roman" w:ascii="Book Antiqua" w:hAnsi="Book Antiqua"/>
          <w:sz w:val="22"/>
          <w:szCs w:val="22"/>
        </w:rPr>
        <w:t>882 314 396</w:t>
      </w:r>
      <w:r>
        <w:rPr>
          <w:rFonts w:cs="Book Antiqua" w:ascii="Book Antiqua" w:hAnsi="Book Antiqua"/>
          <w:sz w:val="22"/>
          <w:szCs w:val="22"/>
        </w:rPr>
        <w:t>, représentée par XXX, Président,</w:t>
      </w:r>
    </w:p>
    <w:p>
      <w:pPr>
        <w:pStyle w:val="Normal"/>
        <w:jc w:val="both"/>
        <w:rPr>
          <w:rFonts w:ascii="Book Antiqua" w:hAnsi="Book Antiqua" w:cs="Times New Roman"/>
          <w:sz w:val="22"/>
          <w:szCs w:val="22"/>
          <w:u w:val="single"/>
        </w:rPr>
      </w:pPr>
      <w:r>
        <w:rPr>
          <w:rFonts w:cs="Times New Roman" w:ascii="Book Antiqua" w:hAnsi="Book Antiqua"/>
          <w:sz w:val="22"/>
          <w:szCs w:val="22"/>
          <w:u w:val="single"/>
        </w:rPr>
      </w:r>
    </w:p>
    <w:p>
      <w:pPr>
        <w:pStyle w:val="Normal"/>
        <w:ind w:right="69" w:hanging="0"/>
        <w:jc w:val="both"/>
        <w:rPr/>
      </w:pPr>
      <w:r>
        <w:rPr>
          <w:rFonts w:cs="Times New Roman" w:ascii="Book Antiqua" w:hAnsi="Book Antiqua"/>
          <w:sz w:val="22"/>
          <w:szCs w:val="22"/>
        </w:rPr>
        <w:t>Ci-après désignée « la société »</w:t>
      </w:r>
    </w:p>
    <w:p>
      <w:pPr>
        <w:pStyle w:val="Normal"/>
        <w:jc w:val="both"/>
        <w:rPr>
          <w:rFonts w:ascii="Book Antiqua" w:hAnsi="Book Antiqua" w:cs="Times New Roman"/>
          <w:sz w:val="22"/>
          <w:szCs w:val="22"/>
          <w:u w:val="single"/>
        </w:rPr>
      </w:pPr>
      <w:r>
        <w:rPr>
          <w:rFonts w:cs="Times New Roman" w:ascii="Book Antiqua" w:hAnsi="Book Antiqua"/>
          <w:sz w:val="22"/>
          <w:szCs w:val="22"/>
          <w:u w:val="single"/>
        </w:rPr>
      </w:r>
    </w:p>
    <w:p>
      <w:pPr>
        <w:pStyle w:val="Normal"/>
        <w:jc w:val="both"/>
        <w:rPr/>
      </w:pPr>
      <w:r>
        <w:rPr>
          <w:rFonts w:cs="Times New Roman" w:ascii="Book Antiqua" w:hAnsi="Book Antiqua"/>
          <w:b/>
          <w:bCs/>
          <w:sz w:val="22"/>
          <w:szCs w:val="22"/>
          <w:u w:val="single"/>
        </w:rPr>
        <w:t>D'une part</w:t>
      </w:r>
      <w:r>
        <w:rPr>
          <w:rFonts w:cs="Times New Roman" w:ascii="Book Antiqua" w:hAnsi="Book Antiqua"/>
          <w:b/>
          <w:bCs/>
          <w:sz w:val="22"/>
          <w:szCs w:val="22"/>
        </w:rPr>
        <w:t>,</w:t>
      </w:r>
    </w:p>
    <w:p>
      <w:pPr>
        <w:pStyle w:val="Normal"/>
        <w:jc w:val="both"/>
        <w:rPr>
          <w:rFonts w:ascii="Book Antiqua" w:hAnsi="Book Antiqua" w:cs="Times New Roman"/>
          <w:b/>
          <w:b/>
          <w:bCs/>
          <w:sz w:val="22"/>
          <w:szCs w:val="22"/>
        </w:rPr>
      </w:pPr>
      <w:r>
        <w:rPr>
          <w:rFonts w:cs="Times New Roman" w:ascii="Book Antiqua" w:hAnsi="Book Antiqua"/>
          <w:b/>
          <w:bCs/>
          <w:sz w:val="22"/>
          <w:szCs w:val="22"/>
        </w:rPr>
      </w:r>
    </w:p>
    <w:p>
      <w:pPr>
        <w:pStyle w:val="Normal"/>
        <w:jc w:val="both"/>
        <w:rPr/>
      </w:pPr>
      <w:r>
        <w:rPr>
          <w:rFonts w:cs="Times New Roman" w:ascii="Book Antiqua" w:hAnsi="Book Antiqua"/>
          <w:b/>
          <w:bCs/>
          <w:sz w:val="22"/>
          <w:szCs w:val="22"/>
          <w:u w:val="single"/>
        </w:rPr>
        <w:t>Et</w:t>
      </w:r>
      <w:r>
        <w:rPr>
          <w:rFonts w:cs="Times New Roman" w:ascii="Book Antiqua" w:hAnsi="Book Antiqua"/>
          <w:b/>
          <w:bCs/>
          <w:sz w:val="22"/>
          <w:szCs w:val="22"/>
        </w:rPr>
        <w:t>,</w:t>
      </w:r>
    </w:p>
    <w:p>
      <w:pPr>
        <w:pStyle w:val="Normal"/>
        <w:jc w:val="both"/>
        <w:rPr>
          <w:rFonts w:ascii="Book Antiqua" w:hAnsi="Book Antiqua" w:cs="Times New Roman"/>
          <w:b/>
          <w:b/>
          <w:bCs/>
          <w:sz w:val="22"/>
          <w:szCs w:val="22"/>
        </w:rPr>
      </w:pPr>
      <w:r>
        <w:rPr>
          <w:rFonts w:cs="Times New Roman" w:ascii="Book Antiqua" w:hAnsi="Book Antiqua"/>
          <w:b/>
          <w:bCs/>
          <w:sz w:val="22"/>
          <w:szCs w:val="22"/>
        </w:rPr>
      </w:r>
    </w:p>
    <w:p>
      <w:pPr>
        <w:pStyle w:val="Normal"/>
        <w:tabs>
          <w:tab w:val="left" w:pos="-1099" w:leader="none"/>
          <w:tab w:val="left" w:pos="-720" w:leader="none"/>
          <w:tab w:val="left" w:pos="0" w:leader="none"/>
          <w:tab w:val="left" w:pos="31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pPr>
      <w:r>
        <w:rPr>
          <w:rFonts w:cs="Times New Roman" w:ascii="Book Antiqua" w:hAnsi="Book Antiqua"/>
          <w:sz w:val="22"/>
          <w:szCs w:val="22"/>
        </w:rPr>
        <w:t>XXX, membre titulaire unique de la délégation du personnel du Comité Social et Economique, non mandaté,</w:t>
      </w:r>
    </w:p>
    <w:p>
      <w:pPr>
        <w:pStyle w:val="Normal"/>
        <w:tabs>
          <w:tab w:val="left" w:pos="-1099" w:leader="none"/>
          <w:tab w:val="left" w:pos="-720" w:leader="none"/>
          <w:tab w:val="left" w:pos="0" w:leader="none"/>
          <w:tab w:val="left" w:pos="31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Book Antiqua" w:hAnsi="Book Antiqua" w:cs="Times New Roman"/>
          <w:sz w:val="22"/>
          <w:szCs w:val="22"/>
        </w:rPr>
      </w:pPr>
      <w:r>
        <w:rPr>
          <w:rFonts w:cs="Times New Roman" w:ascii="Book Antiqua" w:hAnsi="Book Antiqua"/>
          <w:sz w:val="22"/>
          <w:szCs w:val="22"/>
        </w:rPr>
      </w:r>
    </w:p>
    <w:p>
      <w:pPr>
        <w:pStyle w:val="Normal"/>
        <w:jc w:val="both"/>
        <w:rPr>
          <w:rFonts w:ascii="Book Antiqua" w:hAnsi="Book Antiqua" w:cs="Times New Roman"/>
          <w:sz w:val="22"/>
          <w:szCs w:val="22"/>
        </w:rPr>
      </w:pPr>
      <w:r>
        <w:rPr>
          <w:rFonts w:cs="Times New Roman" w:ascii="Book Antiqua" w:hAnsi="Book Antiqua"/>
          <w:sz w:val="22"/>
          <w:szCs w:val="22"/>
        </w:rPr>
        <w:t>Ci-après désigné « élu du personnel »</w:t>
      </w:r>
    </w:p>
    <w:p>
      <w:pPr>
        <w:pStyle w:val="Normal"/>
        <w:tabs>
          <w:tab w:val="left" w:pos="-1099" w:leader="none"/>
          <w:tab w:val="left" w:pos="-720" w:leader="none"/>
          <w:tab w:val="left" w:pos="0" w:leader="none"/>
          <w:tab w:val="left" w:pos="31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right="-51" w:hanging="0"/>
        <w:jc w:val="both"/>
        <w:rPr>
          <w:rFonts w:ascii="Book Antiqua" w:hAnsi="Book Antiqua" w:cs="Times New Roman"/>
          <w:sz w:val="22"/>
          <w:szCs w:val="22"/>
          <w:highlight w:val="cyan"/>
        </w:rPr>
      </w:pPr>
      <w:r>
        <w:rPr>
          <w:rFonts w:cs="Times New Roman" w:ascii="Book Antiqua" w:hAnsi="Book Antiqua"/>
          <w:sz w:val="22"/>
          <w:szCs w:val="22"/>
          <w:highlight w:val="cyan"/>
        </w:rPr>
      </w:r>
    </w:p>
    <w:p>
      <w:pPr>
        <w:pStyle w:val="Normal"/>
        <w:ind w:right="-51" w:hanging="0"/>
        <w:jc w:val="both"/>
        <w:rPr>
          <w:rFonts w:ascii="Book Antiqua" w:hAnsi="Book Antiqua" w:cs="Times New Roman"/>
          <w:b/>
          <w:b/>
          <w:bCs/>
          <w:sz w:val="22"/>
          <w:szCs w:val="22"/>
          <w:highlight w:val="cyan"/>
          <w:u w:val="single"/>
        </w:rPr>
      </w:pPr>
      <w:r>
        <w:rPr>
          <w:rFonts w:cs="Times New Roman" w:ascii="Book Antiqua" w:hAnsi="Book Antiqua"/>
          <w:b/>
          <w:bCs/>
          <w:sz w:val="22"/>
          <w:szCs w:val="22"/>
          <w:highlight w:val="cyan"/>
          <w:u w:val="single"/>
        </w:rPr>
      </w:r>
    </w:p>
    <w:p>
      <w:pPr>
        <w:pStyle w:val="Normal"/>
        <w:ind w:right="-51" w:hanging="0"/>
        <w:jc w:val="both"/>
        <w:rPr>
          <w:rFonts w:ascii="Book Antiqua" w:hAnsi="Book Antiqua" w:cs="Times New Roman"/>
          <w:b/>
          <w:b/>
          <w:bCs/>
          <w:sz w:val="22"/>
          <w:szCs w:val="22"/>
          <w:u w:val="single"/>
        </w:rPr>
      </w:pPr>
      <w:r>
        <w:rPr>
          <w:rFonts w:cs="Times New Roman" w:ascii="Book Antiqua" w:hAnsi="Book Antiqua"/>
          <w:b/>
          <w:bCs/>
          <w:sz w:val="22"/>
          <w:szCs w:val="22"/>
          <w:u w:val="single"/>
        </w:rPr>
        <w:t>D'autre part,</w:t>
      </w:r>
    </w:p>
    <w:p>
      <w:pPr>
        <w:pStyle w:val="Normal"/>
        <w:jc w:val="both"/>
        <w:rPr>
          <w:rFonts w:ascii="Book Antiqua" w:hAnsi="Book Antiqua" w:cs="Book Antiqua"/>
          <w:b/>
          <w:b/>
          <w:bCs/>
          <w:sz w:val="22"/>
          <w:szCs w:val="22"/>
          <w:u w:val="single"/>
        </w:rPr>
      </w:pPr>
      <w:r>
        <w:rPr>
          <w:rFonts w:cs="Book Antiqua" w:ascii="Book Antiqua" w:hAnsi="Book Antiqua"/>
          <w:b/>
          <w:bCs/>
          <w:sz w:val="22"/>
          <w:szCs w:val="22"/>
          <w:u w:val="single"/>
        </w:rPr>
      </w:r>
    </w:p>
    <w:p>
      <w:pPr>
        <w:pStyle w:val="Normal"/>
        <w:jc w:val="both"/>
        <w:rPr>
          <w:rFonts w:ascii="Book Antiqua" w:hAnsi="Book Antiqua" w:cs="Book Antiqua"/>
          <w:sz w:val="22"/>
        </w:rPr>
      </w:pPr>
      <w:r>
        <w:rPr>
          <w:rFonts w:cs="Book Antiqua" w:ascii="Book Antiqua" w:hAnsi="Book Antiqua"/>
          <w:sz w:val="22"/>
        </w:rPr>
      </w:r>
    </w:p>
    <w:p>
      <w:pPr>
        <w:pStyle w:val="Normal"/>
        <w:jc w:val="both"/>
        <w:rPr>
          <w:rFonts w:ascii="Book Antiqua" w:hAnsi="Book Antiqua" w:cs="Tahoma"/>
          <w:b/>
          <w:b/>
          <w:bCs/>
          <w:sz w:val="22"/>
          <w:u w:val="single"/>
        </w:rPr>
      </w:pPr>
      <w:r>
        <w:rPr>
          <w:rFonts w:cs="Tahoma" w:ascii="Book Antiqua" w:hAnsi="Book Antiqua"/>
          <w:b/>
          <w:bCs/>
          <w:sz w:val="22"/>
          <w:u w:val="single"/>
        </w:rPr>
        <w:t xml:space="preserve">PREAMBULE </w:t>
      </w:r>
    </w:p>
    <w:p>
      <w:pPr>
        <w:pStyle w:val="Normal"/>
        <w:jc w:val="both"/>
        <w:rPr>
          <w:rFonts w:ascii="Book Antiqua" w:hAnsi="Book Antiqua" w:cs="Tahoma"/>
          <w:b/>
          <w:b/>
          <w:bCs/>
          <w:sz w:val="22"/>
          <w:u w:val="single"/>
        </w:rPr>
      </w:pPr>
      <w:r>
        <w:rPr>
          <w:rFonts w:cs="Tahoma" w:ascii="Book Antiqua" w:hAnsi="Book Antiqua"/>
          <w:b/>
          <w:bCs/>
          <w:sz w:val="22"/>
          <w:u w:val="single"/>
        </w:rPr>
      </w:r>
    </w:p>
    <w:p>
      <w:pPr>
        <w:pStyle w:val="Normal"/>
        <w:jc w:val="both"/>
        <w:rPr/>
      </w:pPr>
      <w:r>
        <w:rPr>
          <w:rFonts w:cs="Book Antiqua" w:ascii="Book Antiqua" w:hAnsi="Book Antiqua"/>
          <w:sz w:val="22"/>
          <w:szCs w:val="22"/>
        </w:rPr>
        <w:t>Les parties se sont rencontrées les 11 mai et 18 juin 2021 dans le cadre de la négociation annuelle obligatoire sur la rémunération, le temps de travail et le partage de la valeur ajoutée dans l'entreprise.</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rPr>
      </w:pPr>
      <w:r>
        <w:rPr>
          <w:rFonts w:cs="Book Antiqua" w:ascii="Book Antiqua" w:hAnsi="Book Antiqua"/>
          <w:sz w:val="22"/>
          <w:szCs w:val="22"/>
        </w:rPr>
        <w:t>A l’issue de ces négociations, il a été conclu le présent accord d’entreprise.</w:t>
      </w:r>
    </w:p>
    <w:p>
      <w:pPr>
        <w:pStyle w:val="Normal"/>
        <w:jc w:val="both"/>
        <w:rPr>
          <w:rFonts w:ascii="Book Antiqua" w:hAnsi="Book Antiqua" w:cs="Tahoma"/>
          <w:b/>
          <w:b/>
          <w:bCs/>
          <w:sz w:val="22"/>
          <w:u w:val="single"/>
        </w:rPr>
      </w:pPr>
      <w:r>
        <w:rPr>
          <w:rFonts w:cs="Tahoma" w:ascii="Book Antiqua" w:hAnsi="Book Antiqua"/>
          <w:b/>
          <w:bCs/>
          <w:sz w:val="22"/>
          <w:u w:val="single"/>
        </w:rPr>
      </w:r>
    </w:p>
    <w:p>
      <w:pPr>
        <w:pStyle w:val="Normal"/>
        <w:jc w:val="both"/>
        <w:rPr>
          <w:rFonts w:ascii="Book Antiqua" w:hAnsi="Book Antiqua" w:cs="Book Antiqua"/>
          <w:b/>
          <w:b/>
          <w:sz w:val="22"/>
          <w:u w:val="single"/>
        </w:rPr>
      </w:pPr>
      <w:r>
        <w:rPr>
          <w:rFonts w:cs="Book Antiqua" w:ascii="Book Antiqua" w:hAnsi="Book Antiqua"/>
          <w:b/>
          <w:sz w:val="22"/>
          <w:u w:val="single"/>
        </w:rPr>
        <w:t xml:space="preserve">Article 1 - Champ d'application </w:t>
      </w:r>
    </w:p>
    <w:p>
      <w:pPr>
        <w:pStyle w:val="Normal"/>
        <w:jc w:val="both"/>
        <w:rPr>
          <w:rFonts w:ascii="Book Antiqua" w:hAnsi="Book Antiqua" w:cs="Book Antiqua"/>
          <w:b/>
          <w:b/>
          <w:sz w:val="22"/>
          <w:u w:val="single"/>
        </w:rPr>
      </w:pPr>
      <w:r>
        <w:rPr>
          <w:rFonts w:cs="Book Antiqua" w:ascii="Book Antiqua" w:hAnsi="Book Antiqua"/>
          <w:b/>
          <w:sz w:val="22"/>
          <w:u w:val="single"/>
        </w:rPr>
      </w:r>
    </w:p>
    <w:p>
      <w:pPr>
        <w:pStyle w:val="Texte"/>
        <w:rPr/>
      </w:pPr>
      <w:r>
        <w:rPr>
          <w:rFonts w:eastAsia="Times New Roman" w:cs="Book Antiqua" w:ascii="Book Antiqua" w:hAnsi="Book Antiqua"/>
        </w:rPr>
        <w:t xml:space="preserve">Le présent accord s’applique à l’ensemble des personnels de la société THIRIET SAINT MEMMIE, sous réserve des spécificités prévues par métier. </w:t>
      </w:r>
    </w:p>
    <w:p>
      <w:pPr>
        <w:pStyle w:val="Texte"/>
        <w:rPr>
          <w:rFonts w:ascii="Book Antiqua" w:hAnsi="Book Antiqua" w:eastAsia="Times New Roman" w:cs="Book Antiqua"/>
        </w:rPr>
      </w:pPr>
      <w:r>
        <w:rPr>
          <w:rFonts w:eastAsia="Times New Roman" w:cs="Book Antiqua" w:ascii="Book Antiqua" w:hAnsi="Book Antiqua"/>
        </w:rPr>
      </w:r>
    </w:p>
    <w:p>
      <w:pPr>
        <w:pStyle w:val="Normal"/>
        <w:jc w:val="both"/>
        <w:rPr>
          <w:rFonts w:ascii="Book Antiqua" w:hAnsi="Book Antiqua" w:cs="Book Antiqua"/>
          <w:sz w:val="22"/>
        </w:rPr>
      </w:pPr>
      <w:r>
        <w:rPr>
          <w:rFonts w:cs="Book Antiqua" w:ascii="Book Antiqua" w:hAnsi="Book Antiqua"/>
          <w:sz w:val="22"/>
          <w:szCs w:val="22"/>
        </w:rPr>
        <w:t>Cet accord succède à toutes autres dispositions notamment conventionnelles d’entreprise applicables en la matière, ayant le même objet, qu’il remplace.</w:t>
      </w:r>
    </w:p>
    <w:p>
      <w:pPr>
        <w:pStyle w:val="Normal"/>
        <w:jc w:val="both"/>
        <w:rPr>
          <w:rFonts w:ascii="Book Antiqua" w:hAnsi="Book Antiqua" w:cs="Book Antiqua"/>
          <w:color w:val="FF00FF"/>
          <w:sz w:val="22"/>
        </w:rPr>
      </w:pPr>
      <w:r>
        <w:rPr>
          <w:rFonts w:cs="Book Antiqua" w:ascii="Book Antiqua" w:hAnsi="Book Antiqua"/>
          <w:color w:val="FF00FF"/>
          <w:sz w:val="22"/>
        </w:rPr>
      </w:r>
    </w:p>
    <w:p>
      <w:pPr>
        <w:pStyle w:val="Normal"/>
        <w:jc w:val="both"/>
        <w:rPr>
          <w:rFonts w:ascii="Book Antiqua" w:hAnsi="Book Antiqua" w:cs="Book Antiqua"/>
          <w:color w:val="FF00FF"/>
          <w:sz w:val="22"/>
        </w:rPr>
      </w:pPr>
      <w:r>
        <w:rPr>
          <w:rFonts w:cs="Book Antiqua" w:ascii="Book Antiqua" w:hAnsi="Book Antiqua"/>
          <w:color w:val="FF00FF"/>
          <w:sz w:val="22"/>
        </w:rPr>
      </w:r>
    </w:p>
    <w:p>
      <w:pPr>
        <w:pStyle w:val="Normal"/>
        <w:jc w:val="both"/>
        <w:rPr>
          <w:rFonts w:ascii="Book Antiqua" w:hAnsi="Book Antiqua" w:cs="Book Antiqua"/>
          <w:b/>
          <w:b/>
          <w:sz w:val="22"/>
          <w:u w:val="single"/>
        </w:rPr>
      </w:pPr>
      <w:r>
        <w:rPr>
          <w:rFonts w:cs="Book Antiqua" w:ascii="Book Antiqua" w:hAnsi="Book Antiqua"/>
          <w:b/>
          <w:sz w:val="22"/>
          <w:u w:val="single"/>
        </w:rPr>
        <w:t>Article 2 – Glossaire</w:t>
      </w:r>
    </w:p>
    <w:p>
      <w:pPr>
        <w:pStyle w:val="Normal"/>
        <w:jc w:val="both"/>
        <w:rPr>
          <w:rFonts w:ascii="Book Antiqua" w:hAnsi="Book Antiqua" w:cs="Book Antiqua"/>
          <w:b/>
          <w:b/>
          <w:bCs/>
          <w:sz w:val="22"/>
          <w:u w:val="single"/>
        </w:rPr>
      </w:pPr>
      <w:r>
        <w:rPr>
          <w:rFonts w:cs="Book Antiqua" w:ascii="Book Antiqua" w:hAnsi="Book Antiqua"/>
          <w:b/>
          <w:bCs/>
          <w:sz w:val="22"/>
          <w:u w:val="single"/>
        </w:rPr>
      </w:r>
    </w:p>
    <w:p>
      <w:pPr>
        <w:pStyle w:val="Normal"/>
        <w:jc w:val="both"/>
        <w:rPr/>
      </w:pPr>
      <w:r>
        <w:rPr>
          <w:rFonts w:cs="Book Antiqua" w:ascii="Book Antiqua" w:hAnsi="Book Antiqua"/>
          <w:b/>
          <w:bCs/>
          <w:i/>
          <w:iCs/>
          <w:sz w:val="22"/>
          <w:u w:val="single"/>
        </w:rPr>
        <w:t>CA VENTE</w:t>
      </w:r>
      <w:r>
        <w:rPr>
          <w:rFonts w:cs="Book Antiqua" w:ascii="Book Antiqua" w:hAnsi="Book Antiqua"/>
          <w:b/>
          <w:bCs/>
          <w:i/>
          <w:iCs/>
          <w:sz w:val="22"/>
        </w:rPr>
        <w:t xml:space="preserve"> : </w:t>
      </w:r>
      <w:r>
        <w:rPr>
          <w:rFonts w:cs="Book Antiqua" w:ascii="Book Antiqua" w:hAnsi="Book Antiqua"/>
          <w:sz w:val="22"/>
        </w:rPr>
        <w:t>Le chiffre d’affaires vente du mois M est le chiffre d’affaires des produits vendus au cours du mois M et réellement livrés au cours du mois M ou suivants.</w:t>
      </w:r>
    </w:p>
    <w:p>
      <w:pPr>
        <w:pStyle w:val="Normal"/>
        <w:jc w:val="both"/>
        <w:rPr>
          <w:rFonts w:ascii="Book Antiqua" w:hAnsi="Book Antiqua" w:cs="Book Antiqua"/>
          <w:sz w:val="22"/>
        </w:rPr>
      </w:pPr>
      <w:r>
        <w:rPr>
          <w:rFonts w:cs="Book Antiqua" w:ascii="Book Antiqua" w:hAnsi="Book Antiqua"/>
          <w:sz w:val="22"/>
        </w:rPr>
      </w:r>
    </w:p>
    <w:p>
      <w:pPr>
        <w:pStyle w:val="Normal"/>
        <w:jc w:val="both"/>
        <w:rPr/>
      </w:pPr>
      <w:r>
        <w:rPr>
          <w:rFonts w:cs="Book Antiqua" w:ascii="Book Antiqua" w:hAnsi="Book Antiqua"/>
          <w:b/>
          <w:bCs/>
          <w:i/>
          <w:iCs/>
          <w:sz w:val="22"/>
          <w:u w:val="single"/>
        </w:rPr>
        <w:t>CA LIVRAISON</w:t>
      </w:r>
      <w:r>
        <w:rPr>
          <w:rFonts w:cs="Book Antiqua" w:ascii="Book Antiqua" w:hAnsi="Book Antiqua"/>
          <w:b/>
          <w:bCs/>
          <w:i/>
          <w:iCs/>
          <w:sz w:val="22"/>
        </w:rPr>
        <w:t xml:space="preserve"> : </w:t>
      </w:r>
      <w:r>
        <w:rPr>
          <w:rFonts w:cs="Book Antiqua" w:ascii="Book Antiqua" w:hAnsi="Book Antiqua"/>
          <w:sz w:val="22"/>
        </w:rPr>
        <w:t>Le chiffre d’affaires livraison du mois M est le chiffre d’affaires des produits vendus au cours du mois M ou précédents et réellement livrés au cours du mois M.</w:t>
      </w:r>
    </w:p>
    <w:p>
      <w:pPr>
        <w:pStyle w:val="Normal"/>
        <w:jc w:val="both"/>
        <w:rPr>
          <w:rFonts w:ascii="Book Antiqua" w:hAnsi="Book Antiqua" w:cs="Book Antiqua"/>
          <w:color w:val="FF00FF"/>
          <w:sz w:val="22"/>
        </w:rPr>
      </w:pPr>
      <w:r>
        <w:rPr>
          <w:rFonts w:cs="Book Antiqua" w:ascii="Book Antiqua" w:hAnsi="Book Antiqua"/>
          <w:color w:val="FF00FF"/>
          <w:sz w:val="22"/>
        </w:rPr>
      </w:r>
    </w:p>
    <w:p>
      <w:pPr>
        <w:pStyle w:val="Normal"/>
        <w:jc w:val="both"/>
        <w:rPr>
          <w:rFonts w:ascii="Book Antiqua" w:hAnsi="Book Antiqua" w:cs="Book Antiqua"/>
          <w:sz w:val="22"/>
        </w:rPr>
      </w:pPr>
      <w:r>
        <w:rPr>
          <w:rFonts w:cs="Book Antiqua" w:ascii="Book Antiqua" w:hAnsi="Book Antiqua"/>
          <w:b/>
          <w:i/>
          <w:sz w:val="22"/>
          <w:u w:val="single"/>
        </w:rPr>
        <w:t>Particularité concernant le taux de TVA :</w:t>
      </w:r>
      <w:r>
        <w:rPr>
          <w:rFonts w:cs="Book Antiqua" w:ascii="Book Antiqua" w:hAnsi="Book Antiqua"/>
          <w:sz w:val="22"/>
        </w:rPr>
        <w:t xml:space="preserve"> Il est précisé que les équilibres budgétaires et systèmes de calcul ont été établis à partir d’un taux de TVA à 5,50 % à la date de signature du présent accord et que toute revalorisation à la hausse de ce taux sera de nature à modifier les grilles de calcul en garantissant le même niveau de commissionnement.</w:t>
      </w:r>
    </w:p>
    <w:p>
      <w:pPr>
        <w:pStyle w:val="Normal"/>
        <w:jc w:val="both"/>
        <w:rPr>
          <w:rFonts w:ascii="Book Antiqua" w:hAnsi="Book Antiqua" w:cs="Book Antiqua"/>
          <w:color w:val="FF00FF"/>
          <w:sz w:val="22"/>
        </w:rPr>
      </w:pPr>
      <w:r>
        <w:rPr>
          <w:rFonts w:cs="Book Antiqua" w:ascii="Book Antiqua" w:hAnsi="Book Antiqua"/>
          <w:color w:val="FF00FF"/>
          <w:sz w:val="22"/>
        </w:rPr>
      </w:r>
    </w:p>
    <w:p>
      <w:pPr>
        <w:pStyle w:val="Normal"/>
        <w:jc w:val="both"/>
        <w:rPr/>
      </w:pPr>
      <w:r>
        <w:rPr>
          <w:rFonts w:cs="Book Antiqua" w:ascii="Book Antiqua" w:hAnsi="Book Antiqua"/>
          <w:b/>
          <w:bCs/>
          <w:i/>
          <w:iCs/>
          <w:sz w:val="22"/>
          <w:u w:val="single"/>
        </w:rPr>
        <w:t>CLIENTS NETS</w:t>
      </w:r>
      <w:r>
        <w:rPr>
          <w:rFonts w:cs="Book Antiqua" w:ascii="Book Antiqua" w:hAnsi="Book Antiqua"/>
          <w:b/>
          <w:bCs/>
          <w:i/>
          <w:iCs/>
          <w:sz w:val="22"/>
        </w:rPr>
        <w:t xml:space="preserve"> : </w:t>
      </w:r>
      <w:r>
        <w:rPr>
          <w:rFonts w:cs="Book Antiqua" w:ascii="Book Antiqua" w:hAnsi="Book Antiqua"/>
          <w:sz w:val="22"/>
        </w:rPr>
        <w:t>Ce sont les clients du fichier, déduction faite :</w:t>
      </w:r>
    </w:p>
    <w:p>
      <w:pPr>
        <w:pStyle w:val="Normal"/>
        <w:numPr>
          <w:ilvl w:val="0"/>
          <w:numId w:val="3"/>
        </w:numPr>
        <w:jc w:val="both"/>
        <w:rPr>
          <w:rFonts w:ascii="Book Antiqua" w:hAnsi="Book Antiqua" w:cs="Book Antiqua"/>
          <w:sz w:val="22"/>
        </w:rPr>
      </w:pPr>
      <w:r>
        <w:rPr>
          <w:rFonts w:cs="Book Antiqua" w:ascii="Book Antiqua" w:hAnsi="Book Antiqua"/>
          <w:sz w:val="22"/>
        </w:rPr>
        <w:t>des clients à supprimer,</w:t>
      </w:r>
    </w:p>
    <w:p>
      <w:pPr>
        <w:pStyle w:val="Normal"/>
        <w:numPr>
          <w:ilvl w:val="0"/>
          <w:numId w:val="3"/>
        </w:numPr>
        <w:jc w:val="both"/>
        <w:rPr>
          <w:rFonts w:ascii="Book Antiqua" w:hAnsi="Book Antiqua" w:cs="Book Antiqua"/>
          <w:sz w:val="22"/>
        </w:rPr>
      </w:pPr>
      <w:r>
        <w:rPr>
          <w:rFonts w:cs="Book Antiqua" w:ascii="Book Antiqua" w:hAnsi="Book Antiqua"/>
          <w:sz w:val="22"/>
        </w:rPr>
        <w:t>des clients saisonniers (les mois d’absence),</w:t>
      </w:r>
    </w:p>
    <w:p>
      <w:pPr>
        <w:pStyle w:val="Normal"/>
        <w:numPr>
          <w:ilvl w:val="0"/>
          <w:numId w:val="3"/>
        </w:numPr>
        <w:jc w:val="both"/>
        <w:rPr/>
      </w:pPr>
      <w:r>
        <w:rPr>
          <w:rFonts w:cs="Book Antiqua" w:ascii="Book Antiqua" w:hAnsi="Book Antiqua"/>
          <w:sz w:val="22"/>
        </w:rPr>
        <w:t xml:space="preserve">des clients n’ayant pas réalisé d’achat depuis plus de 6 mois (correspondant à 180 jours calendaires). </w:t>
      </w:r>
    </w:p>
    <w:p>
      <w:pPr>
        <w:pStyle w:val="Normal"/>
        <w:jc w:val="both"/>
        <w:rPr>
          <w:rFonts w:ascii="Book Antiqua" w:hAnsi="Book Antiqua" w:cs="Book Antiqua"/>
          <w:color w:val="FF00FF"/>
          <w:sz w:val="22"/>
        </w:rPr>
      </w:pPr>
      <w:r>
        <w:rPr>
          <w:rFonts w:cs="Book Antiqua" w:ascii="Book Antiqua" w:hAnsi="Book Antiqua"/>
          <w:color w:val="FF00FF"/>
          <w:sz w:val="22"/>
        </w:rPr>
      </w:r>
    </w:p>
    <w:p>
      <w:pPr>
        <w:pStyle w:val="Normal"/>
        <w:jc w:val="both"/>
        <w:rPr/>
      </w:pPr>
      <w:r>
        <w:rPr>
          <w:rFonts w:cs="Book Antiqua" w:ascii="Book Antiqua" w:hAnsi="Book Antiqua"/>
          <w:b/>
          <w:bCs/>
          <w:i/>
          <w:iCs/>
          <w:sz w:val="22"/>
          <w:u w:val="single"/>
        </w:rPr>
        <w:t>CLIENT SAISONNIER</w:t>
      </w:r>
      <w:r>
        <w:rPr>
          <w:rFonts w:cs="Book Antiqua" w:ascii="Book Antiqua" w:hAnsi="Book Antiqua"/>
          <w:b/>
          <w:bCs/>
          <w:i/>
          <w:iCs/>
          <w:sz w:val="22"/>
        </w:rPr>
        <w:t> </w:t>
      </w:r>
      <w:r>
        <w:rPr>
          <w:rFonts w:cs="Book Antiqua" w:ascii="Book Antiqua" w:hAnsi="Book Antiqua"/>
          <w:sz w:val="22"/>
        </w:rPr>
        <w:t>: Un client saisonnier est un client qui n’est présent à son adresse (résidence secondaire) qu’une partie de l’année et dont nous connaissons la prochaine période d’absence.</w:t>
      </w:r>
    </w:p>
    <w:p>
      <w:pPr>
        <w:pStyle w:val="Paragraphedeliste"/>
        <w:spacing w:before="0" w:after="0"/>
        <w:ind w:left="0" w:hanging="0"/>
        <w:contextualSpacing/>
        <w:jc w:val="both"/>
        <w:rPr>
          <w:rFonts w:ascii="Book Antiqua" w:hAnsi="Book Antiqua" w:cs="Arial"/>
          <w:sz w:val="22"/>
          <w:szCs w:val="20"/>
        </w:rPr>
      </w:pPr>
      <w:r>
        <w:rPr>
          <w:rFonts w:cs="Arial" w:ascii="Book Antiqua" w:hAnsi="Book Antiqua"/>
          <w:sz w:val="22"/>
          <w:szCs w:val="20"/>
        </w:rPr>
      </w:r>
    </w:p>
    <w:p>
      <w:pPr>
        <w:pStyle w:val="Paragraphedeliste"/>
        <w:spacing w:before="0" w:after="0"/>
        <w:ind w:left="0" w:hanging="0"/>
        <w:contextualSpacing/>
        <w:jc w:val="both"/>
        <w:rPr>
          <w:rFonts w:ascii="Book Antiqua" w:hAnsi="Book Antiqua" w:cs="Arial"/>
          <w:bCs/>
          <w:sz w:val="22"/>
          <w:szCs w:val="22"/>
        </w:rPr>
      </w:pPr>
      <w:r>
        <w:rPr>
          <w:rFonts w:cs="Book Antiqua" w:ascii="Book Antiqua" w:hAnsi="Book Antiqua"/>
          <w:b/>
          <w:i/>
          <w:sz w:val="22"/>
          <w:u w:val="single"/>
        </w:rPr>
        <w:t>CLIENT ISSU D’UN RAID ETUDIANTS</w:t>
      </w:r>
      <w:r>
        <w:rPr>
          <w:rFonts w:cs="Arial" w:ascii="Book Antiqua" w:hAnsi="Book Antiqua"/>
          <w:bCs/>
          <w:sz w:val="22"/>
          <w:szCs w:val="22"/>
        </w:rPr>
        <w:t xml:space="preserve"> : Afin de</w:t>
      </w:r>
      <w:r>
        <w:rPr>
          <w:rFonts w:cs="Book Antiqua" w:ascii="Book Antiqua" w:hAnsi="Book Antiqua"/>
          <w:b/>
          <w:sz w:val="22"/>
        </w:rPr>
        <w:t xml:space="preserve"> </w:t>
      </w:r>
      <w:r>
        <w:rPr>
          <w:rFonts w:cs="Arial" w:ascii="Book Antiqua" w:hAnsi="Book Antiqua"/>
          <w:bCs/>
          <w:sz w:val="22"/>
          <w:szCs w:val="22"/>
        </w:rPr>
        <w:t>poursuivre le développement des relations et partenariats avec les écoles et universités, notamment par des journées de collaboration, d’échanges et de mises en situation sur le terrain entre des étudiants et des collaborateurs de la société THIRIET SAINT MEMMIE, des raids étudiants sont régulièrement organisés. Les clients ainsi créés lors de ces journées sont considérés comme des clients saisonniers. Ils intègrent le portefeuille clients net du centre dès lors que leur 2</w:t>
      </w:r>
      <w:r>
        <w:rPr>
          <w:rFonts w:cs="Arial" w:ascii="Book Antiqua" w:hAnsi="Book Antiqua"/>
          <w:bCs/>
          <w:sz w:val="22"/>
          <w:szCs w:val="22"/>
          <w:vertAlign w:val="superscript"/>
        </w:rPr>
        <w:t>ème</w:t>
      </w:r>
      <w:r>
        <w:rPr>
          <w:rFonts w:cs="Arial" w:ascii="Book Antiqua" w:hAnsi="Book Antiqua"/>
          <w:bCs/>
          <w:sz w:val="22"/>
          <w:szCs w:val="22"/>
        </w:rPr>
        <w:t xml:space="preserve"> commande est livrée. </w:t>
      </w:r>
    </w:p>
    <w:p>
      <w:pPr>
        <w:pStyle w:val="Normal"/>
        <w:jc w:val="both"/>
        <w:rPr>
          <w:rFonts w:ascii="Book Antiqua" w:hAnsi="Book Antiqua" w:cs="Book Antiqua"/>
          <w:bCs/>
          <w:color w:val="FF00FF"/>
          <w:sz w:val="22"/>
          <w:szCs w:val="22"/>
        </w:rPr>
      </w:pPr>
      <w:r>
        <w:rPr>
          <w:rFonts w:cs="Book Antiqua" w:ascii="Book Antiqua" w:hAnsi="Book Antiqua"/>
          <w:bCs/>
          <w:color w:val="FF00FF"/>
          <w:sz w:val="22"/>
          <w:szCs w:val="22"/>
        </w:rPr>
      </w:r>
    </w:p>
    <w:p>
      <w:pPr>
        <w:pStyle w:val="Normal"/>
        <w:jc w:val="both"/>
        <w:rPr/>
      </w:pPr>
      <w:r>
        <w:rPr>
          <w:rFonts w:cs="Book Antiqua" w:ascii="Book Antiqua" w:hAnsi="Book Antiqua"/>
          <w:b/>
          <w:bCs/>
          <w:i/>
          <w:iCs/>
          <w:sz w:val="22"/>
          <w:u w:val="single"/>
        </w:rPr>
        <w:t>NOUVEAU CLIENT</w:t>
      </w:r>
      <w:r>
        <w:rPr>
          <w:rFonts w:cs="Book Antiqua" w:ascii="Book Antiqua" w:hAnsi="Book Antiqua"/>
          <w:b/>
          <w:bCs/>
          <w:i/>
          <w:iCs/>
          <w:sz w:val="22"/>
        </w:rPr>
        <w:t xml:space="preserve"> : </w:t>
      </w:r>
      <w:r>
        <w:rPr>
          <w:rFonts w:cs="Book Antiqua" w:ascii="Book Antiqua" w:hAnsi="Book Antiqua"/>
          <w:sz w:val="22"/>
        </w:rPr>
        <w:t>Un nouveau client est un client répertorié dans le fichier clients suite à l’action personnelle du salarié, et ceci moyennant le respect de 3 conditions cumulatives :</w:t>
      </w:r>
    </w:p>
    <w:p>
      <w:pPr>
        <w:pStyle w:val="Normal"/>
        <w:numPr>
          <w:ilvl w:val="0"/>
          <w:numId w:val="2"/>
        </w:numPr>
        <w:jc w:val="both"/>
        <w:rPr>
          <w:rFonts w:ascii="Book Antiqua" w:hAnsi="Book Antiqua" w:cs="Book Antiqua"/>
          <w:bCs/>
          <w:sz w:val="22"/>
        </w:rPr>
      </w:pPr>
      <w:r>
        <w:rPr>
          <w:rFonts w:cs="Book Antiqua" w:ascii="Book Antiqua" w:hAnsi="Book Antiqua"/>
          <w:bCs/>
          <w:sz w:val="22"/>
        </w:rPr>
        <w:t>1ère commande livrée facturée d’un montant minimum de 25 €, frais de livraison inclus (montant revalorisable par la Direction).</w:t>
      </w:r>
    </w:p>
    <w:p>
      <w:pPr>
        <w:pStyle w:val="Normal"/>
        <w:numPr>
          <w:ilvl w:val="0"/>
          <w:numId w:val="2"/>
        </w:numPr>
        <w:jc w:val="both"/>
        <w:rPr>
          <w:rFonts w:ascii="Book Antiqua" w:hAnsi="Book Antiqua" w:cs="Book Antiqua"/>
          <w:bCs/>
          <w:sz w:val="22"/>
        </w:rPr>
      </w:pPr>
      <w:r>
        <w:rPr>
          <w:rFonts w:cs="Book Antiqua" w:ascii="Book Antiqua" w:hAnsi="Book Antiqua"/>
          <w:bCs/>
          <w:sz w:val="22"/>
        </w:rPr>
        <w:t>Ce client n’a jamais été livré par THIRIET ou sa dernière livraison date de plus de 2 ans, qu’il ait fait ou non l’objet d’une suppression effective.</w:t>
      </w:r>
    </w:p>
    <w:p>
      <w:pPr>
        <w:pStyle w:val="Normal"/>
        <w:numPr>
          <w:ilvl w:val="0"/>
          <w:numId w:val="2"/>
        </w:numPr>
        <w:jc w:val="both"/>
        <w:rPr/>
      </w:pPr>
      <w:r>
        <w:rPr>
          <w:rFonts w:cs="Book Antiqua" w:ascii="Book Antiqua" w:hAnsi="Book Antiqua"/>
          <w:bCs/>
          <w:sz w:val="22"/>
        </w:rPr>
        <w:t>Fourniture de l’ensemble des renseignements administratifs exacts nécessaires pour répertorier le client.</w:t>
      </w:r>
    </w:p>
    <w:p>
      <w:pPr>
        <w:pStyle w:val="Normal"/>
        <w:jc w:val="both"/>
        <w:rPr>
          <w:rFonts w:ascii="Book Antiqua" w:hAnsi="Book Antiqua" w:cs="Book Antiqua"/>
          <w:bCs/>
          <w:color w:val="FF00FF"/>
          <w:sz w:val="22"/>
        </w:rPr>
      </w:pPr>
      <w:r>
        <w:rPr>
          <w:rFonts w:cs="Book Antiqua" w:ascii="Book Antiqua" w:hAnsi="Book Antiqua"/>
          <w:bCs/>
          <w:color w:val="FF00FF"/>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Les personnes passant commande pour la 1ère fois par le biais d’internet ou suite à une réunion organisée par un Vendeur à Domicile Indépendant (VDI) ne sont pas considérées comme des nouveaux clients pour le calcul de la prime nouveaux clients ; leur création ne déclenchera donc pas l’octroi de cette prime.</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Du fait du contexte économique fortement défavorable de nos principaux concurrents dans le domaine de la livraison à domicile de produits surgelés, les clients créés à partir des fichiers de ces concurrents ne sont pas considérés comme des nouveaux clients pour le calcul de la prime nouveaux clients ; leur création ne déclenchera donc pas l’octroi de cette prime.</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sz w:val="22"/>
        </w:rPr>
      </w:pPr>
      <w:r>
        <w:rPr>
          <w:rFonts w:cs="Book Antiqua" w:ascii="Book Antiqua" w:hAnsi="Book Antiqua"/>
          <w:b/>
          <w:bCs/>
          <w:i/>
          <w:iCs/>
          <w:sz w:val="22"/>
          <w:u w:val="single"/>
        </w:rPr>
        <w:t>CLIENT EN SOMMEIL</w:t>
      </w:r>
      <w:r>
        <w:rPr>
          <w:rFonts w:cs="Book Antiqua" w:ascii="Book Antiqua" w:hAnsi="Book Antiqua"/>
          <w:b/>
          <w:bCs/>
          <w:i/>
          <w:iCs/>
          <w:sz w:val="22"/>
        </w:rPr>
        <w:t> </w:t>
      </w:r>
      <w:r>
        <w:rPr>
          <w:rFonts w:cs="Book Antiqua" w:ascii="Book Antiqua" w:hAnsi="Book Antiqua"/>
          <w:sz w:val="22"/>
        </w:rPr>
        <w:t>: Un client en sommeil est un client qui n’a pas passé commande depuis plus de 6 mois (correspondant à 180 jours calendaires). Pour être réactivé et ainsi réintégrer le portefeuille net du centre, celui-ci doit passer une nouvelle commande livrée sans minimum d’achat.</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jc w:val="both"/>
        <w:rPr/>
      </w:pPr>
      <w:r>
        <w:rPr>
          <w:rFonts w:cs="Book Antiqua" w:ascii="Book Antiqua" w:hAnsi="Book Antiqua"/>
          <w:b/>
          <w:i/>
          <w:sz w:val="22"/>
          <w:u w:val="single"/>
        </w:rPr>
        <w:t>Précision concernant le personnel VRP :</w:t>
      </w:r>
      <w:r>
        <w:rPr>
          <w:rFonts w:cs="Book Antiqua" w:ascii="Book Antiqua" w:hAnsi="Book Antiqua"/>
          <w:color w:val="FF00FF"/>
          <w:sz w:val="22"/>
        </w:rPr>
        <w:t xml:space="preserve"> </w:t>
      </w:r>
      <w:r>
        <w:rPr>
          <w:rFonts w:cs="Tahoma" w:ascii="Book Antiqua" w:hAnsi="Book Antiqua"/>
          <w:sz w:val="22"/>
        </w:rPr>
        <w:t>Les expressions utilisées " à plein temps ", " à temps complet", "à temps partiel" n’ont pas pour objet d'introduire une notion d'horaire de travail inadaptée à la profession de VRP, mais d’expliquer la différence de rémunération appliquée ainsi que les calculs au prorata qui en découlent.</w:t>
      </w:r>
    </w:p>
    <w:p>
      <w:pPr>
        <w:pStyle w:val="Texte"/>
        <w:rPr>
          <w:rFonts w:ascii="Book Antiqua" w:hAnsi="Book Antiqua" w:eastAsia="Times New Roman" w:cs="Book Antiqua"/>
          <w:sz w:val="22"/>
        </w:rPr>
      </w:pPr>
      <w:r>
        <w:rPr>
          <w:rFonts w:eastAsia="Times New Roman" w:cs="Book Antiqua" w:ascii="Book Antiqua" w:hAnsi="Book Antiqua"/>
          <w:sz w:val="22"/>
        </w:rPr>
      </w:r>
    </w:p>
    <w:p>
      <w:pPr>
        <w:pStyle w:val="Texte"/>
        <w:rPr>
          <w:rFonts w:ascii="Book Antiqua" w:hAnsi="Book Antiqua" w:eastAsia="Times New Roman" w:cs="Book Antiqua"/>
        </w:rPr>
      </w:pPr>
      <w:r>
        <w:rPr>
          <w:rFonts w:eastAsia="Times New Roman" w:cs="Book Antiqua" w:ascii="Book Antiqua" w:hAnsi="Book Antiqua"/>
        </w:rPr>
        <w:t>Après échanges lors des journées de négociation, les parties ont prévu d’adopter en concertation les dispositions suivantes.</w:t>
      </w:r>
    </w:p>
    <w:p>
      <w:pPr>
        <w:pStyle w:val="Normal"/>
        <w:jc w:val="both"/>
        <w:rPr>
          <w:rFonts w:ascii="Book Antiqua" w:hAnsi="Book Antiqua" w:eastAsia="Times New Roman" w:cs="Book Antiqua"/>
          <w:b/>
          <w:b/>
          <w:sz w:val="22"/>
          <w:u w:val="single"/>
        </w:rPr>
      </w:pPr>
      <w:r>
        <w:rPr>
          <w:rFonts w:eastAsia="Times New Roman" w:cs="Book Antiqua" w:ascii="Book Antiqua" w:hAnsi="Book Antiqua"/>
          <w:b/>
          <w:sz w:val="22"/>
          <w:u w:val="single"/>
        </w:rPr>
      </w:r>
    </w:p>
    <w:p>
      <w:pPr>
        <w:pStyle w:val="Texte"/>
        <w:rPr>
          <w:rFonts w:ascii="Book Antiqua" w:hAnsi="Book Antiqua" w:eastAsia="Times New Roman" w:cs="Book Antiqua"/>
          <w:b/>
          <w:b/>
          <w:sz w:val="22"/>
          <w:u w:val="single"/>
        </w:rPr>
      </w:pPr>
      <w:r>
        <w:rPr>
          <w:rFonts w:eastAsia="Times New Roman" w:cs="Book Antiqua" w:ascii="Book Antiqua" w:hAnsi="Book Antiqua"/>
          <w:b/>
          <w:sz w:val="22"/>
          <w:u w:val="single"/>
        </w:rPr>
      </w:r>
    </w:p>
    <w:p>
      <w:pPr>
        <w:pStyle w:val="Texte"/>
        <w:rPr>
          <w:rFonts w:ascii="Book Antiqua" w:hAnsi="Book Antiqua" w:eastAsia="Times New Roman" w:cs="Book Antiqua"/>
          <w:b/>
          <w:b/>
        </w:rPr>
      </w:pPr>
      <w:r>
        <w:rPr>
          <w:rFonts w:eastAsia="Times New Roman" w:cs="Book Antiqua" w:ascii="Book Antiqua" w:hAnsi="Book Antiqua"/>
          <w:b/>
        </w:rPr>
        <w:t>Article 3 : Dispositions concernant les rémunérations</w:t>
      </w:r>
    </w:p>
    <w:p>
      <w:pPr>
        <w:pStyle w:val="Texte"/>
        <w:rPr>
          <w:rFonts w:ascii="Book Antiqua" w:hAnsi="Book Antiqua" w:eastAsia="Times New Roman" w:cs="Book Antiqua"/>
          <w:b/>
          <w:b/>
        </w:rPr>
      </w:pPr>
      <w:r>
        <w:rPr>
          <w:rFonts w:eastAsia="Times New Roman" w:cs="Book Antiqua" w:ascii="Book Antiqua" w:hAnsi="Book Antiqua"/>
          <w:b/>
        </w:rPr>
      </w:r>
    </w:p>
    <w:p>
      <w:pPr>
        <w:pStyle w:val="Texte"/>
        <w:rPr>
          <w:rFonts w:ascii="Book Antiqua" w:hAnsi="Book Antiqua" w:eastAsia="Times New Roman" w:cs="Book Antiqua"/>
        </w:rPr>
      </w:pPr>
      <w:r>
        <w:rPr>
          <w:rFonts w:eastAsia="Times New Roman" w:cs="Book Antiqua" w:ascii="Book Antiqua" w:hAnsi="Book Antiqua"/>
        </w:rPr>
      </w:r>
    </w:p>
    <w:p>
      <w:pPr>
        <w:pStyle w:val="Texte"/>
        <w:rPr>
          <w:rFonts w:ascii="Book Antiqua" w:hAnsi="Book Antiqua" w:eastAsia="Times New Roman" w:cs="Book Antiqua"/>
        </w:rPr>
      </w:pPr>
      <w:r>
        <w:rPr>
          <w:rFonts w:eastAsia="Times New Roman" w:cs="Book Antiqua" w:ascii="Book Antiqua" w:hAnsi="Book Antiqua"/>
        </w:rPr>
      </w:r>
    </w:p>
    <w:tbl>
      <w:tblPr>
        <w:tblW w:w="24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477"/>
      </w:tblGrid>
      <w:tr>
        <w:trPr/>
        <w:tc>
          <w:tcPr>
            <w:tcW w:w="247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numPr>
                <w:ilvl w:val="0"/>
                <w:numId w:val="0"/>
              </w:numPr>
              <w:spacing w:before="60" w:after="60"/>
              <w:ind w:left="74" w:right="-1" w:hanging="0"/>
              <w:jc w:val="center"/>
              <w:outlineLvl w:val="0"/>
              <w:rPr>
                <w:rFonts w:ascii="Book Antiqua" w:hAnsi="Book Antiqua" w:cs="Book Antiqua"/>
                <w:b/>
                <w:b/>
                <w:sz w:val="22"/>
                <w:vertAlign w:val="superscript"/>
              </w:rPr>
            </w:pPr>
            <w:r>
              <w:rPr>
                <w:rFonts w:cs="Book Antiqua" w:ascii="Book Antiqua" w:hAnsi="Book Antiqua"/>
                <w:b/>
                <w:sz w:val="22"/>
              </w:rPr>
              <w:t>ARTICLE 3-1</w:t>
            </w:r>
          </w:p>
          <w:p>
            <w:pPr>
              <w:pStyle w:val="Normal"/>
              <w:spacing w:before="60" w:after="60"/>
              <w:ind w:left="74" w:hanging="0"/>
              <w:jc w:val="center"/>
              <w:rPr>
                <w:rFonts w:ascii="Book Antiqua" w:hAnsi="Book Antiqua" w:cs="Book Antiqua"/>
                <w:sz w:val="22"/>
              </w:rPr>
            </w:pPr>
            <w:r>
              <w:rPr>
                <w:rFonts w:cs="Book Antiqua" w:ascii="Book Antiqua" w:hAnsi="Book Antiqua"/>
                <w:b/>
                <w:sz w:val="22"/>
              </w:rPr>
              <w:t>VRP TITULAIRES</w:t>
            </w:r>
          </w:p>
        </w:tc>
      </w:tr>
    </w:tbl>
    <w:p>
      <w:pPr>
        <w:pStyle w:val="Normal"/>
        <w:autoSpaceDE w:val="false"/>
        <w:spacing w:lineRule="atLeast" w:line="240"/>
        <w:jc w:val="both"/>
        <w:rPr>
          <w:rFonts w:ascii="Book Antiqua" w:hAnsi="Book Antiqua" w:cs="Book Antiqua"/>
          <w:color w:val="000000"/>
          <w:sz w:val="22"/>
        </w:rPr>
      </w:pPr>
      <w:r>
        <w:rPr>
          <w:rFonts w:cs="Book Antiqua" w:ascii="Book Antiqua" w:hAnsi="Book Antiqua"/>
          <w:color w:val="000000"/>
          <w:sz w:val="22"/>
        </w:rPr>
      </w:r>
    </w:p>
    <w:p>
      <w:pPr>
        <w:pStyle w:val="Normal"/>
        <w:autoSpaceDE w:val="false"/>
        <w:spacing w:lineRule="atLeast" w:line="240"/>
        <w:jc w:val="both"/>
        <w:rPr>
          <w:rFonts w:ascii="Book Antiqua" w:hAnsi="Book Antiqua" w:cs="Book Antiqua"/>
          <w:color w:val="000000"/>
          <w:sz w:val="22"/>
        </w:rPr>
      </w:pPr>
      <w:r>
        <w:rPr>
          <w:rFonts w:cs="Book Antiqua" w:ascii="Book Antiqua" w:hAnsi="Book Antiqua"/>
          <w:color w:val="000000"/>
          <w:sz w:val="22"/>
        </w:rPr>
        <w:t>XXX</w:t>
      </w:r>
    </w:p>
    <w:p>
      <w:pPr>
        <w:pStyle w:val="Normal"/>
        <w:autoSpaceDE w:val="false"/>
        <w:spacing w:lineRule="atLeast" w:line="240"/>
        <w:jc w:val="both"/>
        <w:rPr>
          <w:rFonts w:ascii="Book Antiqua" w:hAnsi="Book Antiqua" w:cs="Book Antiqua"/>
          <w:color w:val="000000"/>
          <w:sz w:val="22"/>
        </w:rPr>
      </w:pPr>
      <w:r>
        <w:rPr>
          <w:rFonts w:cs="Book Antiqua" w:ascii="Book Antiqua" w:hAnsi="Book Antiqua"/>
          <w:color w:val="000000"/>
          <w:sz w:val="22"/>
        </w:rPr>
      </w:r>
    </w:p>
    <w:p>
      <w:pPr>
        <w:pStyle w:val="Normal"/>
        <w:autoSpaceDE w:val="false"/>
        <w:spacing w:lineRule="atLeast" w:line="240"/>
        <w:jc w:val="both"/>
        <w:rPr>
          <w:rFonts w:ascii="Book Antiqua" w:hAnsi="Book Antiqua" w:cs="Book Antiqua"/>
          <w:color w:val="000000"/>
          <w:sz w:val="22"/>
        </w:rPr>
      </w:pPr>
      <w:r>
        <w:rPr>
          <w:rFonts w:cs="Book Antiqua" w:ascii="Book Antiqua" w:hAnsi="Book Antiqua"/>
          <w:color w:val="000000"/>
          <w:sz w:val="22"/>
        </w:rPr>
      </w:r>
    </w:p>
    <w:tbl>
      <w:tblPr>
        <w:tblW w:w="24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477"/>
      </w:tblGrid>
      <w:tr>
        <w:trPr/>
        <w:tc>
          <w:tcPr>
            <w:tcW w:w="247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numPr>
                <w:ilvl w:val="0"/>
                <w:numId w:val="0"/>
              </w:numPr>
              <w:spacing w:before="60" w:after="60"/>
              <w:ind w:left="74" w:right="-1" w:hanging="0"/>
              <w:jc w:val="center"/>
              <w:outlineLvl w:val="0"/>
              <w:rPr>
                <w:rFonts w:ascii="Book Antiqua" w:hAnsi="Book Antiqua" w:cs="Book Antiqua"/>
                <w:b/>
                <w:b/>
                <w:sz w:val="22"/>
                <w:vertAlign w:val="superscript"/>
              </w:rPr>
            </w:pPr>
            <w:r>
              <w:rPr>
                <w:rFonts w:cs="Book Antiqua" w:ascii="Book Antiqua" w:hAnsi="Book Antiqua"/>
                <w:b/>
                <w:sz w:val="22"/>
              </w:rPr>
              <w:t>ARTICLE 3-2</w:t>
            </w:r>
          </w:p>
          <w:p>
            <w:pPr>
              <w:pStyle w:val="Normal"/>
              <w:spacing w:before="60" w:after="60"/>
              <w:ind w:left="74" w:hanging="0"/>
              <w:jc w:val="center"/>
              <w:rPr>
                <w:rFonts w:ascii="Book Antiqua" w:hAnsi="Book Antiqua" w:cs="Book Antiqua"/>
                <w:sz w:val="22"/>
              </w:rPr>
            </w:pPr>
            <w:r>
              <w:rPr>
                <w:rFonts w:cs="Book Antiqua" w:ascii="Book Antiqua" w:hAnsi="Book Antiqua"/>
                <w:b/>
                <w:sz w:val="22"/>
              </w:rPr>
              <w:t>VRP POLYVALENTS</w:t>
            </w:r>
          </w:p>
        </w:tc>
      </w:tr>
    </w:tbl>
    <w:p>
      <w:pPr>
        <w:pStyle w:val="Normal"/>
        <w:autoSpaceDE w:val="false"/>
        <w:spacing w:lineRule="atLeast" w:line="240"/>
        <w:ind w:left="67" w:hanging="0"/>
        <w:jc w:val="both"/>
        <w:rPr>
          <w:rFonts w:ascii="Book Antiqua" w:hAnsi="Book Antiqua" w:cs="Book Antiqua"/>
          <w:color w:val="000000"/>
          <w:sz w:val="22"/>
        </w:rPr>
      </w:pPr>
      <w:r>
        <w:rPr>
          <w:rFonts w:cs="Book Antiqua" w:ascii="Book Antiqua" w:hAnsi="Book Antiqua"/>
          <w:color w:val="000000"/>
          <w:sz w:val="22"/>
        </w:rPr>
      </w:r>
    </w:p>
    <w:p>
      <w:pPr>
        <w:pStyle w:val="TextBody"/>
        <w:ind w:left="0" w:hanging="0"/>
        <w:rPr>
          <w:rFonts w:ascii="Book Antiqua" w:hAnsi="Book Antiqua" w:cs="Book Antiqua"/>
        </w:rPr>
      </w:pPr>
      <w:r>
        <w:rPr>
          <w:rFonts w:cs="Book Antiqua" w:ascii="Book Antiqua" w:hAnsi="Book Antiqua"/>
        </w:rPr>
        <w:t>XXX</w:t>
      </w:r>
    </w:p>
    <w:p>
      <w:pPr>
        <w:pStyle w:val="Normal"/>
        <w:tabs>
          <w:tab w:val="left" w:pos="1695" w:leader="none"/>
        </w:tabs>
        <w:jc w:val="both"/>
        <w:rPr>
          <w:rFonts w:ascii="Book Antiqua" w:hAnsi="Book Antiqua" w:cs="Book Antiqua"/>
          <w:sz w:val="22"/>
        </w:rPr>
      </w:pPr>
      <w:r>
        <w:rPr>
          <w:rFonts w:cs="Book Antiqua" w:ascii="Book Antiqua" w:hAnsi="Book Antiqua"/>
          <w:sz w:val="22"/>
        </w:rPr>
      </w:r>
    </w:p>
    <w:tbl>
      <w:tblPr>
        <w:tblW w:w="24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477"/>
      </w:tblGrid>
      <w:tr>
        <w:trPr/>
        <w:tc>
          <w:tcPr>
            <w:tcW w:w="247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numPr>
                <w:ilvl w:val="0"/>
                <w:numId w:val="0"/>
              </w:numPr>
              <w:spacing w:before="60" w:after="60"/>
              <w:ind w:left="74" w:right="-1" w:hanging="0"/>
              <w:jc w:val="center"/>
              <w:outlineLvl w:val="0"/>
              <w:rPr>
                <w:rFonts w:ascii="Book Antiqua" w:hAnsi="Book Antiqua" w:cs="Book Antiqua"/>
                <w:b/>
                <w:b/>
                <w:sz w:val="22"/>
                <w:vertAlign w:val="superscript"/>
              </w:rPr>
            </w:pPr>
            <w:r>
              <w:rPr>
                <w:rFonts w:cs="Book Antiqua" w:ascii="Book Antiqua" w:hAnsi="Book Antiqua"/>
                <w:b/>
                <w:sz w:val="22"/>
              </w:rPr>
              <w:t>ARTICLE 3-3</w:t>
            </w:r>
          </w:p>
          <w:p>
            <w:pPr>
              <w:pStyle w:val="Normal"/>
              <w:spacing w:before="60" w:after="60"/>
              <w:ind w:left="74" w:hanging="0"/>
              <w:jc w:val="center"/>
              <w:rPr>
                <w:rFonts w:ascii="Book Antiqua" w:hAnsi="Book Antiqua" w:cs="Book Antiqua"/>
                <w:sz w:val="22"/>
              </w:rPr>
            </w:pPr>
            <w:r>
              <w:rPr>
                <w:rFonts w:cs="Book Antiqua" w:ascii="Book Antiqua" w:hAnsi="Book Antiqua"/>
                <w:b/>
                <w:sz w:val="22"/>
              </w:rPr>
              <w:t>ANIMATEURS DES VENTES</w:t>
            </w:r>
          </w:p>
        </w:tc>
      </w:tr>
    </w:tbl>
    <w:p>
      <w:pPr>
        <w:pStyle w:val="TextBody"/>
        <w:ind w:left="0" w:hanging="0"/>
        <w:rPr>
          <w:rFonts w:ascii="Book Antiqua" w:hAnsi="Book Antiqua" w:cs="Book Antiqua"/>
        </w:rPr>
      </w:pPr>
      <w:r>
        <w:rPr>
          <w:rFonts w:cs="Book Antiqua" w:ascii="Book Antiqua" w:hAnsi="Book Antiqua"/>
        </w:rPr>
      </w:r>
    </w:p>
    <w:p>
      <w:pPr>
        <w:pStyle w:val="Normal"/>
        <w:jc w:val="both"/>
        <w:rPr>
          <w:rFonts w:ascii="Book Antiqua" w:hAnsi="Book Antiqua" w:cs="Book Antiqua"/>
          <w:sz w:val="22"/>
        </w:rPr>
      </w:pPr>
      <w:r>
        <w:rPr>
          <w:rFonts w:cs="Book Antiqua" w:ascii="Book Antiqua" w:hAnsi="Book Antiqua"/>
          <w:sz w:val="22"/>
        </w:rPr>
        <w:t>XXX</w:t>
      </w:r>
    </w:p>
    <w:p>
      <w:pPr>
        <w:pStyle w:val="TextBody"/>
        <w:ind w:left="0" w:hanging="0"/>
        <w:rPr>
          <w:rFonts w:ascii="Book Antiqua" w:hAnsi="Book Antiqua" w:cs="Book Antiqua"/>
          <w:sz w:val="22"/>
        </w:rPr>
      </w:pPr>
      <w:r>
        <w:rPr>
          <w:rFonts w:cs="Book Antiqua" w:ascii="Book Antiqua" w:hAnsi="Book Antiqua"/>
          <w:sz w:val="22"/>
        </w:rPr>
      </w:r>
    </w:p>
    <w:tbl>
      <w:tblPr>
        <w:tblW w:w="27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726"/>
      </w:tblGrid>
      <w:tr>
        <w:trPr>
          <w:trHeight w:val="1298" w:hRule="atLeast"/>
        </w:trPr>
        <w:tc>
          <w:tcPr>
            <w:tcW w:w="27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numPr>
                <w:ilvl w:val="0"/>
                <w:numId w:val="0"/>
              </w:numPr>
              <w:spacing w:before="60" w:after="60"/>
              <w:ind w:left="74" w:right="-1" w:hanging="0"/>
              <w:jc w:val="center"/>
              <w:outlineLvl w:val="0"/>
              <w:rPr>
                <w:rFonts w:ascii="Book Antiqua" w:hAnsi="Book Antiqua" w:cs="Book Antiqua"/>
                <w:b/>
                <w:b/>
                <w:sz w:val="22"/>
                <w:vertAlign w:val="superscript"/>
              </w:rPr>
            </w:pPr>
            <w:r>
              <w:rPr>
                <w:rFonts w:cs="Book Antiqua" w:ascii="Book Antiqua" w:hAnsi="Book Antiqua"/>
                <w:b/>
                <w:sz w:val="22"/>
              </w:rPr>
              <w:t>ARTICLE 3-4</w:t>
            </w:r>
          </w:p>
          <w:p>
            <w:pPr>
              <w:pStyle w:val="Normal"/>
              <w:spacing w:before="60" w:after="60"/>
              <w:ind w:left="74" w:hanging="0"/>
              <w:jc w:val="center"/>
              <w:rPr>
                <w:rFonts w:ascii="Book Antiqua" w:hAnsi="Book Antiqua" w:cs="Book Antiqua"/>
                <w:sz w:val="22"/>
                <w:lang w:val="en-US"/>
              </w:rPr>
            </w:pPr>
            <w:r>
              <w:rPr>
                <w:rFonts w:cs="Book Antiqua" w:ascii="Book Antiqua" w:hAnsi="Book Antiqua"/>
                <w:b/>
                <w:sz w:val="22"/>
                <w:lang w:val="en-US"/>
              </w:rPr>
              <w:t>ASSISTANT(E)S ADMINISTRATIF(VE)S</w:t>
            </w:r>
          </w:p>
        </w:tc>
      </w:tr>
    </w:tbl>
    <w:p>
      <w:pPr>
        <w:pStyle w:val="Normal"/>
        <w:autoSpaceDE w:val="false"/>
        <w:spacing w:lineRule="atLeast" w:line="240"/>
        <w:jc w:val="both"/>
        <w:rPr>
          <w:rFonts w:ascii="Book Antiqua" w:hAnsi="Book Antiqua" w:cs="Book Antiqua"/>
          <w:sz w:val="22"/>
          <w:szCs w:val="22"/>
        </w:rPr>
      </w:pPr>
      <w:r>
        <w:rPr>
          <w:rFonts w:cs="Book Antiqua" w:ascii="Book Antiqua" w:hAnsi="Book Antiqua"/>
          <w:sz w:val="22"/>
          <w:szCs w:val="22"/>
        </w:rPr>
      </w:r>
    </w:p>
    <w:p>
      <w:pPr>
        <w:pStyle w:val="Normal"/>
        <w:autoSpaceDE w:val="false"/>
        <w:spacing w:lineRule="atLeast" w:line="240"/>
        <w:jc w:val="both"/>
        <w:rPr>
          <w:rFonts w:ascii="Book Antiqua" w:hAnsi="Book Antiqua" w:cs="Book Antiqua"/>
          <w:sz w:val="22"/>
          <w:szCs w:val="22"/>
        </w:rPr>
      </w:pPr>
      <w:r>
        <w:rPr>
          <w:rFonts w:cs="Book Antiqua" w:ascii="Book Antiqua" w:hAnsi="Book Antiqua"/>
          <w:sz w:val="22"/>
          <w:szCs w:val="22"/>
        </w:rPr>
        <w:t>XXX</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tbl>
      <w:tblPr>
        <w:tblW w:w="24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477"/>
      </w:tblGrid>
      <w:tr>
        <w:trPr/>
        <w:tc>
          <w:tcPr>
            <w:tcW w:w="247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numPr>
                <w:ilvl w:val="0"/>
                <w:numId w:val="0"/>
              </w:numPr>
              <w:spacing w:before="60" w:after="60"/>
              <w:ind w:left="74" w:right="-1" w:hanging="0"/>
              <w:jc w:val="center"/>
              <w:outlineLvl w:val="0"/>
              <w:rPr>
                <w:rFonts w:ascii="Book Antiqua" w:hAnsi="Book Antiqua" w:cs="Book Antiqua"/>
                <w:b/>
                <w:b/>
                <w:sz w:val="22"/>
                <w:szCs w:val="22"/>
                <w:vertAlign w:val="superscript"/>
              </w:rPr>
            </w:pPr>
            <w:r>
              <w:rPr>
                <w:rFonts w:cs="Book Antiqua" w:ascii="Book Antiqua" w:hAnsi="Book Antiqua"/>
                <w:b/>
                <w:sz w:val="22"/>
                <w:szCs w:val="22"/>
              </w:rPr>
              <w:t>ARTICLE 3-5</w:t>
            </w:r>
          </w:p>
          <w:p>
            <w:pPr>
              <w:pStyle w:val="Normal"/>
              <w:spacing w:before="60" w:after="60"/>
              <w:ind w:left="74" w:hanging="0"/>
              <w:jc w:val="center"/>
              <w:rPr>
                <w:rFonts w:ascii="Book Antiqua" w:hAnsi="Book Antiqua" w:cs="Book Antiqua"/>
                <w:sz w:val="22"/>
                <w:szCs w:val="22"/>
              </w:rPr>
            </w:pPr>
            <w:r>
              <w:rPr>
                <w:rFonts w:cs="Book Antiqua" w:ascii="Book Antiqua" w:hAnsi="Book Antiqua"/>
                <w:b/>
                <w:sz w:val="22"/>
                <w:szCs w:val="22"/>
              </w:rPr>
              <w:t>LIVREURS – LIVRAISON A LA CARTE (LAC)</w:t>
            </w:r>
          </w:p>
        </w:tc>
      </w:tr>
    </w:tbl>
    <w:p>
      <w:pPr>
        <w:pStyle w:val="TextBody"/>
        <w:ind w:left="0" w:hanging="0"/>
        <w:rPr>
          <w:rFonts w:ascii="Book Antiqua" w:hAnsi="Book Antiqua" w:cs="Book Antiqua"/>
        </w:rPr>
      </w:pPr>
      <w:r>
        <w:rPr>
          <w:rFonts w:cs="Book Antiqua" w:ascii="Book Antiqua" w:hAnsi="Book Antiqua"/>
        </w:rPr>
      </w:r>
    </w:p>
    <w:p>
      <w:pPr>
        <w:pStyle w:val="TextBody"/>
        <w:ind w:left="0" w:hanging="0"/>
        <w:rPr>
          <w:rFonts w:ascii="Book Antiqua" w:hAnsi="Book Antiqua" w:cs="Book Antiqua"/>
        </w:rPr>
      </w:pPr>
      <w:r>
        <w:rPr>
          <w:rFonts w:cs="Book Antiqua" w:ascii="Book Antiqua" w:hAnsi="Book Antiqua"/>
        </w:rPr>
        <w:t>XXX</w:t>
      </w:r>
    </w:p>
    <w:p>
      <w:pPr>
        <w:pStyle w:val="TextBody"/>
        <w:ind w:left="0" w:hanging="0"/>
        <w:rPr>
          <w:rFonts w:ascii="Book Antiqua" w:hAnsi="Book Antiqua" w:cs="Book Antiqua"/>
        </w:rPr>
      </w:pPr>
      <w:bookmarkStart w:id="0" w:name="_Hlk74322198"/>
      <w:bookmarkStart w:id="1" w:name="_Hlk74322198"/>
      <w:bookmarkEnd w:id="1"/>
      <w:r>
        <w:rPr>
          <w:rFonts w:cs="Book Antiqua" w:ascii="Book Antiqua" w:hAnsi="Book Antiqua"/>
        </w:rPr>
      </w:r>
    </w:p>
    <w:tbl>
      <w:tblPr>
        <w:tblW w:w="26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696"/>
      </w:tblGrid>
      <w:tr>
        <w:trPr>
          <w:trHeight w:val="1298" w:hRule="atLeast"/>
        </w:trPr>
        <w:tc>
          <w:tcPr>
            <w:tcW w:w="26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numPr>
                <w:ilvl w:val="0"/>
                <w:numId w:val="0"/>
              </w:numPr>
              <w:spacing w:before="60" w:after="60"/>
              <w:ind w:left="74" w:right="-1" w:hanging="0"/>
              <w:jc w:val="center"/>
              <w:outlineLvl w:val="0"/>
              <w:rPr>
                <w:rFonts w:ascii="Book Antiqua" w:hAnsi="Book Antiqua" w:cs="Book Antiqua"/>
                <w:b/>
                <w:b/>
                <w:sz w:val="22"/>
                <w:vertAlign w:val="superscript"/>
              </w:rPr>
            </w:pPr>
            <w:r>
              <w:rPr>
                <w:rFonts w:cs="Book Antiqua" w:ascii="Book Antiqua" w:hAnsi="Book Antiqua"/>
                <w:b/>
                <w:sz w:val="22"/>
              </w:rPr>
              <w:t>ARTICLE 3-6</w:t>
            </w:r>
          </w:p>
          <w:p>
            <w:pPr>
              <w:pStyle w:val="Normal"/>
              <w:spacing w:before="60" w:after="60"/>
              <w:ind w:left="74" w:hanging="0"/>
              <w:jc w:val="center"/>
              <w:rPr>
                <w:rFonts w:ascii="Book Antiqua" w:hAnsi="Book Antiqua" w:cs="Book Antiqua"/>
                <w:sz w:val="22"/>
              </w:rPr>
            </w:pPr>
            <w:r>
              <w:rPr>
                <w:rFonts w:cs="Book Antiqua" w:ascii="Book Antiqua" w:hAnsi="Book Antiqua"/>
                <w:b/>
                <w:sz w:val="22"/>
              </w:rPr>
              <w:t>TELEVENDEURS</w:t>
            </w:r>
          </w:p>
        </w:tc>
      </w:tr>
    </w:tbl>
    <w:p>
      <w:pPr>
        <w:pStyle w:val="TextBody"/>
        <w:ind w:left="0" w:hanging="0"/>
        <w:rPr>
          <w:rFonts w:ascii="Book Antiqua" w:hAnsi="Book Antiqua" w:cs="Book Antiqua"/>
        </w:rPr>
      </w:pPr>
      <w:bookmarkStart w:id="2" w:name="_Hlk74322198"/>
      <w:bookmarkStart w:id="3" w:name="_Hlk74322198"/>
      <w:bookmarkEnd w:id="3"/>
      <w:r>
        <w:rPr>
          <w:rFonts w:cs="Book Antiqua" w:ascii="Book Antiqua" w:hAnsi="Book Antiqua"/>
        </w:rPr>
      </w:r>
    </w:p>
    <w:p>
      <w:pPr>
        <w:pStyle w:val="TextBody"/>
        <w:ind w:left="0" w:hanging="0"/>
        <w:rPr>
          <w:rFonts w:ascii="Book Antiqua" w:hAnsi="Book Antiqua" w:cs="Book Antiqua"/>
        </w:rPr>
      </w:pPr>
      <w:r>
        <w:rPr>
          <w:rFonts w:cs="Book Antiqua" w:ascii="Book Antiqua" w:hAnsi="Book Antiqua"/>
        </w:rPr>
        <w:t>XXX</w:t>
      </w:r>
    </w:p>
    <w:p>
      <w:pPr>
        <w:pStyle w:val="TextBody"/>
        <w:ind w:left="0" w:hanging="0"/>
        <w:rPr>
          <w:rFonts w:ascii="Book Antiqua" w:hAnsi="Book Antiqua" w:cs="Book Antiqua"/>
        </w:rPr>
      </w:pPr>
      <w:r>
        <w:rPr>
          <w:rFonts w:cs="Book Antiqua" w:ascii="Book Antiqua" w:hAnsi="Book Antiqua"/>
        </w:rPr>
      </w:r>
    </w:p>
    <w:tbl>
      <w:tblPr>
        <w:tblW w:w="26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696"/>
      </w:tblGrid>
      <w:tr>
        <w:trPr>
          <w:trHeight w:val="1298" w:hRule="atLeast"/>
        </w:trPr>
        <w:tc>
          <w:tcPr>
            <w:tcW w:w="26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numPr>
                <w:ilvl w:val="0"/>
                <w:numId w:val="0"/>
              </w:numPr>
              <w:spacing w:before="60" w:after="60"/>
              <w:ind w:left="74" w:right="-1" w:hanging="0"/>
              <w:jc w:val="center"/>
              <w:outlineLvl w:val="0"/>
              <w:rPr>
                <w:rFonts w:ascii="Book Antiqua" w:hAnsi="Book Antiqua" w:cs="Book Antiqua"/>
                <w:b/>
                <w:b/>
                <w:sz w:val="22"/>
                <w:vertAlign w:val="superscript"/>
              </w:rPr>
            </w:pPr>
            <w:r>
              <w:rPr>
                <w:rFonts w:cs="Book Antiqua" w:ascii="Book Antiqua" w:hAnsi="Book Antiqua"/>
                <w:b/>
                <w:sz w:val="22"/>
              </w:rPr>
              <w:t>ARTICLE 3-7</w:t>
            </w:r>
          </w:p>
          <w:p>
            <w:pPr>
              <w:pStyle w:val="Normal"/>
              <w:spacing w:before="60" w:after="60"/>
              <w:ind w:left="74" w:hanging="0"/>
              <w:jc w:val="center"/>
              <w:rPr>
                <w:rFonts w:ascii="Book Antiqua" w:hAnsi="Book Antiqua" w:cs="Book Antiqua"/>
                <w:sz w:val="22"/>
              </w:rPr>
            </w:pPr>
            <w:r>
              <w:rPr>
                <w:rFonts w:cs="Book Antiqua" w:ascii="Book Antiqua" w:hAnsi="Book Antiqua"/>
                <w:b/>
                <w:sz w:val="22"/>
              </w:rPr>
              <w:t>POUR L’ENSEMBLE DU PERSONNEL</w:t>
            </w:r>
          </w:p>
        </w:tc>
      </w:tr>
    </w:tbl>
    <w:p>
      <w:pPr>
        <w:pStyle w:val="Normal"/>
        <w:autoSpaceDE w:val="false"/>
        <w:spacing w:lineRule="atLeast" w:line="240"/>
        <w:ind w:left="67" w:hanging="0"/>
        <w:jc w:val="both"/>
        <w:rPr>
          <w:rFonts w:ascii="Book Antiqua" w:hAnsi="Book Antiqua" w:cs="Book Antiqua"/>
          <w:sz w:val="22"/>
        </w:rPr>
      </w:pPr>
      <w:r>
        <w:rPr>
          <w:rFonts w:cs="Book Antiqua" w:ascii="Book Antiqua" w:hAnsi="Book Antiqua"/>
          <w:sz w:val="22"/>
        </w:rPr>
      </w:r>
    </w:p>
    <w:p>
      <w:pPr>
        <w:pStyle w:val="Normal"/>
        <w:autoSpaceDE w:val="false"/>
        <w:spacing w:lineRule="atLeast" w:line="240"/>
        <w:ind w:left="67" w:hanging="0"/>
        <w:jc w:val="both"/>
        <w:rPr>
          <w:rFonts w:ascii="Book Antiqua" w:hAnsi="Book Antiqua" w:cs="Book Antiqua"/>
          <w:sz w:val="22"/>
        </w:rPr>
      </w:pPr>
      <w:r>
        <w:rPr>
          <w:rFonts w:cs="Book Antiqua" w:ascii="Book Antiqua" w:hAnsi="Book Antiqua"/>
          <w:sz w:val="22"/>
        </w:rPr>
      </w:r>
    </w:p>
    <w:p>
      <w:pPr>
        <w:pStyle w:val="Normal"/>
        <w:shd w:fill="D8D8D8" w:val="clear"/>
        <w:jc w:val="both"/>
        <w:rPr>
          <w:rFonts w:ascii="Book Antiqua" w:hAnsi="Book Antiqua" w:cs="Book Antiqua"/>
          <w:b/>
          <w:b/>
          <w:bCs/>
          <w:sz w:val="22"/>
          <w:u w:val="single"/>
        </w:rPr>
      </w:pPr>
      <w:r>
        <w:rPr>
          <w:rFonts w:cs="Book Antiqua" w:ascii="Book Antiqua" w:hAnsi="Book Antiqua"/>
          <w:b/>
          <w:bCs/>
          <w:sz w:val="22"/>
          <w:u w:val="single"/>
        </w:rPr>
        <w:t>Article 3.7.1. Prime d’ancienneté</w:t>
      </w:r>
    </w:p>
    <w:p>
      <w:pPr>
        <w:pStyle w:val="Normal"/>
        <w:autoSpaceDE w:val="false"/>
        <w:spacing w:lineRule="atLeast" w:line="240"/>
        <w:ind w:left="67" w:hanging="0"/>
        <w:jc w:val="both"/>
        <w:rPr>
          <w:rFonts w:ascii="Book Antiqua" w:hAnsi="Book Antiqua" w:cs="Book Antiqua"/>
          <w:b/>
          <w:b/>
          <w:bCs/>
          <w:sz w:val="22"/>
          <w:u w:val="single"/>
        </w:rPr>
      </w:pPr>
      <w:r>
        <w:rPr>
          <w:rFonts w:cs="Book Antiqua" w:ascii="Book Antiqua" w:hAnsi="Book Antiqua"/>
          <w:b/>
          <w:bCs/>
          <w:sz w:val="22"/>
          <w:u w:val="single"/>
        </w:rPr>
      </w:r>
    </w:p>
    <w:p>
      <w:pPr>
        <w:pStyle w:val="Texte"/>
        <w:rPr>
          <w:rFonts w:ascii="Book Antiqua" w:hAnsi="Book Antiqua" w:cs="Book Antiqua"/>
        </w:rPr>
      </w:pPr>
      <w:r>
        <w:rPr>
          <w:rFonts w:cs="Book Antiqua" w:ascii="Book Antiqua" w:hAnsi="Book Antiqua"/>
        </w:rPr>
        <w:t>XXX</w:t>
      </w:r>
    </w:p>
    <w:p>
      <w:pPr>
        <w:pStyle w:val="Texte"/>
        <w:rPr>
          <w:rFonts w:ascii="Book Antiqua" w:hAnsi="Book Antiqua" w:cs="Book Antiqua"/>
        </w:rPr>
      </w:pPr>
      <w:r>
        <w:rPr>
          <w:rFonts w:cs="Book Antiqua" w:ascii="Book Antiqua" w:hAnsi="Book Antiqua"/>
        </w:rPr>
      </w:r>
    </w:p>
    <w:p>
      <w:pPr>
        <w:pStyle w:val="Texte"/>
        <w:rPr>
          <w:rFonts w:ascii="Book Antiqua" w:hAnsi="Book Antiqua" w:cs="Book Antiqua"/>
        </w:rPr>
      </w:pPr>
      <w:r>
        <w:rPr>
          <w:rFonts w:cs="Book Antiqua" w:ascii="Book Antiqua" w:hAnsi="Book Antiqua"/>
        </w:rPr>
      </w:r>
    </w:p>
    <w:p>
      <w:pPr>
        <w:pStyle w:val="Normal"/>
        <w:shd w:fill="D8D8D8" w:val="clear"/>
        <w:jc w:val="both"/>
        <w:rPr>
          <w:rFonts w:ascii="Book Antiqua" w:hAnsi="Book Antiqua" w:cs="Book Antiqua"/>
          <w:b/>
          <w:b/>
          <w:bCs/>
          <w:sz w:val="22"/>
          <w:szCs w:val="22"/>
          <w:u w:val="single"/>
        </w:rPr>
      </w:pPr>
      <w:r>
        <w:rPr>
          <w:rFonts w:cs="Book Antiqua" w:ascii="Book Antiqua" w:hAnsi="Book Antiqua"/>
          <w:b/>
          <w:bCs/>
          <w:sz w:val="22"/>
          <w:szCs w:val="22"/>
          <w:u w:val="single"/>
        </w:rPr>
        <w:t>Article 3.7.2 – Signature des objectifs </w:t>
      </w:r>
    </w:p>
    <w:p>
      <w:pPr>
        <w:pStyle w:val="Normal"/>
        <w:autoSpaceDE w:val="false"/>
        <w:spacing w:lineRule="atLeast" w:line="240"/>
        <w:jc w:val="both"/>
        <w:rPr>
          <w:rFonts w:ascii="Book Antiqua" w:hAnsi="Book Antiqua" w:cs="Book Antiqua"/>
          <w:b/>
          <w:b/>
          <w:bCs/>
          <w:sz w:val="22"/>
          <w:szCs w:val="22"/>
          <w:u w:val="single"/>
        </w:rPr>
      </w:pPr>
      <w:r>
        <w:rPr>
          <w:rFonts w:cs="Book Antiqua" w:ascii="Book Antiqua" w:hAnsi="Book Antiqua"/>
          <w:b/>
          <w:bCs/>
          <w:sz w:val="22"/>
          <w:szCs w:val="22"/>
          <w:u w:val="single"/>
        </w:rPr>
      </w:r>
    </w:p>
    <w:p>
      <w:pPr>
        <w:pStyle w:val="TextBody"/>
        <w:jc w:val="both"/>
        <w:rPr>
          <w:rFonts w:ascii="Book Antiqua" w:hAnsi="Book Antiqua" w:cs="Book Antiqua"/>
          <w:szCs w:val="22"/>
        </w:rPr>
      </w:pPr>
      <w:r>
        <w:rPr>
          <w:rFonts w:cs="Book Antiqua" w:ascii="Book Antiqua" w:hAnsi="Book Antiqua"/>
          <w:szCs w:val="22"/>
        </w:rPr>
        <w:t>La Direction rappelle que le versement des primes d’objectifs est soumis à la signature par le salarié des annexes qui déterminent ceux-ci au moment où elles leurs sont présentées par leur hiérarchie. Ainsi, si un collaborateur refuse de signer ses objectifs individuels ou collectifs, il ne percevra pas les primes correspondantes, même si ceux-ci sont atteints. De même, si un collaborateur accepte tardivement de signer ses objectifs individuels ou collectifs, aucune prime correspondante ne lui sera versée de manière rétroactive pour les mois échus, quand bien même ceux-ci auraient été atteints.</w:t>
      </w:r>
    </w:p>
    <w:p>
      <w:pPr>
        <w:pStyle w:val="TextBody"/>
        <w:ind w:left="0" w:hanging="0"/>
        <w:rPr>
          <w:rFonts w:ascii="Book Antiqua" w:hAnsi="Book Antiqua" w:cs="Book Antiqua"/>
          <w:szCs w:val="22"/>
        </w:rPr>
      </w:pPr>
      <w:r>
        <w:rPr>
          <w:rFonts w:cs="Book Antiqua" w:ascii="Book Antiqua" w:hAnsi="Book Antiqua"/>
          <w:szCs w:val="22"/>
        </w:rPr>
      </w:r>
    </w:p>
    <w:p>
      <w:pPr>
        <w:pStyle w:val="Normal"/>
        <w:shd w:fill="D8D8D8" w:val="clear"/>
        <w:jc w:val="both"/>
        <w:rPr/>
      </w:pPr>
      <w:r>
        <w:rPr>
          <w:rFonts w:cs="Book Antiqua" w:ascii="Book Antiqua" w:hAnsi="Book Antiqua"/>
          <w:b/>
          <w:bCs/>
          <w:sz w:val="22"/>
          <w:szCs w:val="22"/>
          <w:u w:val="single"/>
        </w:rPr>
        <w:t xml:space="preserve">Article 3.7.3 – Acompte </w:t>
      </w:r>
    </w:p>
    <w:p>
      <w:pPr>
        <w:pStyle w:val="TextBody"/>
        <w:ind w:left="0" w:hanging="0"/>
        <w:rPr>
          <w:rFonts w:ascii="Book Antiqua" w:hAnsi="Book Antiqua" w:cs="Book Antiqua"/>
          <w:b/>
          <w:b/>
          <w:bCs/>
          <w:sz w:val="22"/>
          <w:szCs w:val="22"/>
          <w:u w:val="single"/>
        </w:rPr>
      </w:pPr>
      <w:r>
        <w:rPr>
          <w:rFonts w:cs="Book Antiqua" w:ascii="Book Antiqua" w:hAnsi="Book Antiqua"/>
          <w:b/>
          <w:bCs/>
          <w:sz w:val="22"/>
          <w:szCs w:val="22"/>
          <w:u w:val="single"/>
        </w:rPr>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t>Les éléments variables de rémunération étant payés sur le bulletin de salaire du mois M, en fonction de l’activité considérée sur ce même mois, le versement du salaire a lieu au plus tard le 10 du mois suivant (M+1).</w:t>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t xml:space="preserve">En outre, les salariés ont la possibilité de demander un acompte permanent qui leur est versé mensuellement le dernier jour ouvré de chaque mois. </w:t>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t>L’acompte sera versé mensuellement de manière définitive pour les salariés qui en auront fait le choix, sauf renonciation ultérieure expresse, écrite de leur part et transmise au service paie. Le choix sera en revanche définitif concernant les salariés ayant refusé cette possibilité.</w:t>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r>
    </w:p>
    <w:p>
      <w:pPr>
        <w:pStyle w:val="Normal"/>
        <w:autoSpaceDE w:val="false"/>
        <w:spacing w:lineRule="atLeast" w:line="240"/>
        <w:jc w:val="both"/>
        <w:rPr>
          <w:rFonts w:ascii="Book Antiqua" w:hAnsi="Book Antiqua" w:cs="Calibri Light"/>
          <w:color w:val="000000"/>
          <w:sz w:val="22"/>
          <w:szCs w:val="22"/>
        </w:rPr>
      </w:pPr>
      <w:r>
        <w:rPr>
          <w:rFonts w:cs="Calibri Light" w:ascii="Book Antiqua" w:hAnsi="Book Antiqua"/>
          <w:color w:val="000000"/>
          <w:sz w:val="22"/>
          <w:szCs w:val="22"/>
        </w:rPr>
        <w:t>En cas d’acceptation, les salariés percevront un acompte mensuel correspondant à 70 % du salaire mensuel de base, déductions faites :</w:t>
      </w:r>
    </w:p>
    <w:p>
      <w:pPr>
        <w:pStyle w:val="Normal"/>
        <w:numPr>
          <w:ilvl w:val="0"/>
          <w:numId w:val="5"/>
        </w:numPr>
        <w:autoSpaceDE w:val="false"/>
        <w:spacing w:lineRule="atLeast" w:line="240"/>
        <w:jc w:val="both"/>
        <w:rPr>
          <w:rFonts w:ascii="Book Antiqua" w:hAnsi="Book Antiqua" w:cs="Calibri Light"/>
          <w:color w:val="000000"/>
          <w:sz w:val="22"/>
          <w:szCs w:val="22"/>
        </w:rPr>
      </w:pPr>
      <w:r>
        <w:rPr>
          <w:rFonts w:cs="Calibri Light" w:ascii="Book Antiqua" w:hAnsi="Book Antiqua"/>
          <w:color w:val="000000"/>
          <w:sz w:val="22"/>
          <w:szCs w:val="22"/>
        </w:rPr>
        <w:t>de toutes les absences mensuelles ;</w:t>
      </w:r>
    </w:p>
    <w:p>
      <w:pPr>
        <w:pStyle w:val="Normal"/>
        <w:numPr>
          <w:ilvl w:val="0"/>
          <w:numId w:val="5"/>
        </w:numPr>
        <w:autoSpaceDE w:val="false"/>
        <w:spacing w:lineRule="atLeast" w:line="240"/>
        <w:jc w:val="both"/>
        <w:rPr>
          <w:rFonts w:ascii="Book Antiqua" w:hAnsi="Book Antiqua" w:cs="Calibri Light"/>
          <w:color w:val="000000"/>
          <w:sz w:val="22"/>
          <w:szCs w:val="22"/>
        </w:rPr>
      </w:pPr>
      <w:r>
        <w:rPr>
          <w:rFonts w:cs="Calibri Light" w:ascii="Book Antiqua" w:hAnsi="Book Antiqua"/>
          <w:color w:val="000000"/>
          <w:sz w:val="22"/>
          <w:szCs w:val="22"/>
        </w:rPr>
        <w:t>de tous les acomptes mensuels déjà versés ;</w:t>
      </w:r>
    </w:p>
    <w:p>
      <w:pPr>
        <w:pStyle w:val="Normal"/>
        <w:numPr>
          <w:ilvl w:val="0"/>
          <w:numId w:val="5"/>
        </w:numPr>
        <w:autoSpaceDE w:val="false"/>
        <w:spacing w:lineRule="atLeast" w:line="240"/>
        <w:jc w:val="both"/>
        <w:rPr>
          <w:rFonts w:ascii="Book Antiqua" w:hAnsi="Book Antiqua" w:cs="Calibri Light"/>
          <w:color w:val="000000"/>
          <w:sz w:val="22"/>
          <w:szCs w:val="22"/>
        </w:rPr>
      </w:pPr>
      <w:r>
        <w:rPr>
          <w:rFonts w:cs="Calibri Light" w:ascii="Book Antiqua" w:hAnsi="Book Antiqua"/>
          <w:color w:val="000000"/>
          <w:sz w:val="22"/>
          <w:szCs w:val="22"/>
        </w:rPr>
        <w:t>du montant correspondant au prélèvement à la source de l’impôt sur le revenu ;</w:t>
      </w:r>
    </w:p>
    <w:p>
      <w:pPr>
        <w:pStyle w:val="Normal"/>
        <w:numPr>
          <w:ilvl w:val="0"/>
          <w:numId w:val="5"/>
        </w:numPr>
        <w:autoSpaceDE w:val="false"/>
        <w:spacing w:lineRule="atLeast" w:line="240"/>
        <w:jc w:val="both"/>
        <w:rPr>
          <w:rFonts w:ascii="Book Antiqua" w:hAnsi="Book Antiqua" w:cs="Calibri Light"/>
          <w:color w:val="000000"/>
          <w:sz w:val="22"/>
          <w:szCs w:val="22"/>
        </w:rPr>
      </w:pPr>
      <w:r>
        <w:rPr>
          <w:rFonts w:cs="Calibri Light" w:ascii="Book Antiqua" w:hAnsi="Book Antiqua"/>
          <w:color w:val="000000"/>
          <w:sz w:val="22"/>
          <w:szCs w:val="22"/>
        </w:rPr>
        <w:t>de toutes les saisies sur salaire, pension alimentaire etc, prélevées directement sur le bulletin de paie.</w:t>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t>Le montant ainsi calculé sera arrondi à l’euro le plus proche.</w:t>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t>Les salariés entrant dans les effectifs en cours d’année seront également sollicités par la Direction afin de savoir s’ils souhaitent user de cette possibilité.</w:t>
      </w:r>
    </w:p>
    <w:p>
      <w:pPr>
        <w:pStyle w:val="Normal"/>
        <w:autoSpaceDE w:val="false"/>
        <w:spacing w:lineRule="atLeast" w:line="240"/>
        <w:ind w:left="67" w:hanging="0"/>
        <w:jc w:val="both"/>
        <w:rPr>
          <w:rFonts w:ascii="Book Antiqua" w:hAnsi="Book Antiqua" w:cs="Calibri Light"/>
          <w:color w:val="000000"/>
          <w:sz w:val="22"/>
          <w:szCs w:val="22"/>
        </w:rPr>
      </w:pPr>
      <w:r>
        <w:rPr>
          <w:rFonts w:cs="Calibri Light" w:ascii="Book Antiqua" w:hAnsi="Book Antiqua"/>
          <w:color w:val="000000"/>
          <w:sz w:val="22"/>
          <w:szCs w:val="22"/>
        </w:rPr>
      </w:r>
    </w:p>
    <w:p>
      <w:pPr>
        <w:pStyle w:val="Normal"/>
        <w:autoSpaceDE w:val="false"/>
        <w:spacing w:lineRule="atLeast" w:line="240"/>
        <w:ind w:left="67" w:hanging="0"/>
        <w:jc w:val="both"/>
        <w:rPr/>
      </w:pPr>
      <w:r>
        <w:rPr>
          <w:rFonts w:cs="Calibri Light" w:ascii="Book Antiqua" w:hAnsi="Book Antiqua"/>
          <w:color w:val="000000"/>
          <w:sz w:val="22"/>
          <w:szCs w:val="22"/>
        </w:rPr>
        <w:t>Même si les salariés ont recours à cet acompte permanent, ils conservent la possibilité de demander un acompte mensuel versé aux alentours du 15.</w:t>
      </w:r>
    </w:p>
    <w:p>
      <w:pPr>
        <w:pStyle w:val="Normal"/>
        <w:autoSpaceDE w:val="false"/>
        <w:spacing w:lineRule="atLeast" w:line="240"/>
        <w:ind w:left="67" w:hanging="0"/>
        <w:jc w:val="both"/>
        <w:rPr>
          <w:rFonts w:ascii="Book Antiqua" w:hAnsi="Book Antiqua" w:cs="Book Antiqua"/>
          <w:color w:val="000000"/>
          <w:sz w:val="22"/>
          <w:szCs w:val="22"/>
        </w:rPr>
      </w:pPr>
      <w:r>
        <w:rPr>
          <w:rFonts w:cs="Book Antiqua" w:ascii="Book Antiqua" w:hAnsi="Book Antiqua"/>
          <w:color w:val="000000"/>
          <w:sz w:val="22"/>
          <w:szCs w:val="22"/>
        </w:rPr>
      </w:r>
    </w:p>
    <w:p>
      <w:pPr>
        <w:pStyle w:val="Normal"/>
        <w:autoSpaceDE w:val="false"/>
        <w:spacing w:lineRule="atLeast" w:line="240"/>
        <w:ind w:left="67" w:hanging="0"/>
        <w:jc w:val="both"/>
        <w:rPr>
          <w:rFonts w:ascii="Book Antiqua" w:hAnsi="Book Antiqua" w:cs="Book Antiqua"/>
          <w:color w:val="000000"/>
          <w:sz w:val="22"/>
        </w:rPr>
      </w:pPr>
      <w:r>
        <w:rPr>
          <w:rFonts w:cs="Book Antiqua" w:ascii="Book Antiqua" w:hAnsi="Book Antiqua"/>
          <w:color w:val="000000"/>
          <w:sz w:val="22"/>
        </w:rPr>
      </w:r>
    </w:p>
    <w:p>
      <w:pPr>
        <w:pStyle w:val="Normal"/>
        <w:jc w:val="both"/>
        <w:rPr/>
      </w:pPr>
      <w:r>
        <w:rPr>
          <w:rFonts w:cs="Book Antiqua" w:ascii="Book Antiqua" w:hAnsi="Book Antiqua"/>
          <w:b/>
          <w:sz w:val="22"/>
          <w:u w:val="single"/>
        </w:rPr>
        <w:t>Article 4 - Remise accordée au personnel</w:t>
      </w:r>
    </w:p>
    <w:p>
      <w:pPr>
        <w:pStyle w:val="Paragraphedeliste"/>
        <w:ind w:left="0" w:hanging="0"/>
        <w:jc w:val="both"/>
        <w:rPr>
          <w:rFonts w:ascii="Book Antiqua" w:hAnsi="Book Antiqua" w:cs="Book Antiqua"/>
          <w:b/>
          <w:b/>
          <w:sz w:val="22"/>
          <w:szCs w:val="22"/>
          <w:u w:val="single"/>
        </w:rPr>
      </w:pPr>
      <w:r>
        <w:rPr>
          <w:rFonts w:cs="Book Antiqua" w:ascii="Book Antiqua" w:hAnsi="Book Antiqua"/>
          <w:b/>
          <w:sz w:val="22"/>
          <w:szCs w:val="22"/>
          <w:u w:val="single"/>
        </w:rPr>
      </w:r>
    </w:p>
    <w:p>
      <w:pPr>
        <w:pStyle w:val="Paragraphedeliste"/>
        <w:ind w:left="0" w:hanging="0"/>
        <w:jc w:val="both"/>
        <w:rPr>
          <w:rFonts w:ascii="Book Antiqua" w:hAnsi="Book Antiqua" w:cs="Book Antiqua"/>
          <w:b/>
          <w:b/>
          <w:bCs/>
          <w:color w:val="7030A0"/>
          <w:sz w:val="22"/>
          <w:szCs w:val="22"/>
          <w:u w:val="single"/>
        </w:rPr>
      </w:pPr>
      <w:r>
        <w:rPr>
          <w:rFonts w:cs="Book Antiqua" w:ascii="Book Antiqua" w:hAnsi="Book Antiqua"/>
          <w:sz w:val="22"/>
          <w:szCs w:val="22"/>
        </w:rPr>
        <w:t>La Direction rappelle que l’ensemble du personnel bénéficie d’une réduction de 15% sur l’ensemble des références THIRIET achetées en magasins ou en livraison à domicile.</w:t>
      </w:r>
    </w:p>
    <w:p>
      <w:pPr>
        <w:pStyle w:val="Normal"/>
        <w:autoSpaceDE w:val="false"/>
        <w:spacing w:lineRule="atLeast" w:line="240"/>
        <w:jc w:val="both"/>
        <w:rPr>
          <w:rFonts w:ascii="Book Antiqua" w:hAnsi="Book Antiqua" w:cs="Book Antiqua"/>
          <w:b/>
          <w:b/>
          <w:bCs/>
          <w:color w:val="7030A0"/>
          <w:sz w:val="22"/>
          <w:szCs w:val="22"/>
          <w:u w:val="single"/>
        </w:rPr>
      </w:pPr>
      <w:r>
        <w:rPr>
          <w:rFonts w:cs="Book Antiqua" w:ascii="Book Antiqua" w:hAnsi="Book Antiqua"/>
          <w:b/>
          <w:bCs/>
          <w:color w:val="7030A0"/>
          <w:sz w:val="22"/>
          <w:szCs w:val="22"/>
          <w:u w:val="single"/>
        </w:rPr>
      </w:r>
    </w:p>
    <w:p>
      <w:pPr>
        <w:pStyle w:val="Normal"/>
        <w:autoSpaceDE w:val="false"/>
        <w:spacing w:lineRule="atLeast" w:line="240"/>
        <w:jc w:val="both"/>
        <w:rPr>
          <w:rFonts w:ascii="Book Antiqua" w:hAnsi="Book Antiqua" w:cs="Book Antiqua"/>
          <w:sz w:val="22"/>
        </w:rPr>
      </w:pPr>
      <w:r>
        <w:rPr>
          <w:rFonts w:cs="Book Antiqua" w:ascii="Book Antiqua" w:hAnsi="Book Antiqua"/>
          <w:sz w:val="22"/>
        </w:rPr>
      </w:r>
    </w:p>
    <w:p>
      <w:pPr>
        <w:pStyle w:val="Normal"/>
        <w:jc w:val="both"/>
        <w:rPr/>
      </w:pPr>
      <w:r>
        <w:rPr>
          <w:rFonts w:cs="Book Antiqua" w:ascii="Book Antiqua" w:hAnsi="Book Antiqua"/>
          <w:b/>
          <w:bCs/>
          <w:sz w:val="22"/>
          <w:u w:val="single"/>
        </w:rPr>
        <w:t>Article 5 – Jours de congés supplémentaires liés à l’ancienneté</w:t>
      </w:r>
    </w:p>
    <w:p>
      <w:pPr>
        <w:pStyle w:val="Normal"/>
        <w:jc w:val="both"/>
        <w:rPr>
          <w:rFonts w:ascii="Book Antiqua" w:hAnsi="Book Antiqua" w:cs="Book Antiqua"/>
          <w:b/>
          <w:b/>
          <w:bCs/>
          <w:sz w:val="22"/>
          <w:u w:val="single"/>
        </w:rPr>
      </w:pPr>
      <w:r>
        <w:rPr>
          <w:rFonts w:cs="Book Antiqua" w:ascii="Book Antiqua" w:hAnsi="Book Antiqua"/>
          <w:b/>
          <w:bCs/>
          <w:sz w:val="22"/>
          <w:u w:val="single"/>
        </w:rPr>
      </w:r>
    </w:p>
    <w:p>
      <w:pPr>
        <w:pStyle w:val="Normal"/>
        <w:jc w:val="both"/>
        <w:rPr>
          <w:rFonts w:ascii="Book Antiqua" w:hAnsi="Book Antiqua" w:cs="Book Antiqua"/>
          <w:bCs/>
          <w:sz w:val="22"/>
        </w:rPr>
      </w:pPr>
      <w:r>
        <w:rPr>
          <w:rFonts w:cs="Book Antiqua" w:ascii="Book Antiqua" w:hAnsi="Book Antiqua"/>
          <w:bCs/>
          <w:sz w:val="22"/>
        </w:rPr>
        <w:t>Les parties ont convenu d’octroyer des jours de congés supplémentaires à chaque année aux salariés dans les conditions suivantes :</w:t>
      </w:r>
    </w:p>
    <w:p>
      <w:pPr>
        <w:pStyle w:val="Normal"/>
        <w:jc w:val="both"/>
        <w:rPr>
          <w:rFonts w:ascii="Book Antiqua" w:hAnsi="Book Antiqua" w:cs="Book Antiqua"/>
          <w:bCs/>
          <w:sz w:val="22"/>
        </w:rPr>
      </w:pPr>
      <w:r>
        <w:rPr>
          <w:rFonts w:cs="Book Antiqua" w:ascii="Book Antiqua" w:hAnsi="Book Antiqua"/>
          <w:bCs/>
          <w:sz w:val="22"/>
        </w:rPr>
      </w:r>
    </w:p>
    <w:tbl>
      <w:tblPr>
        <w:tblW w:w="8137" w:type="dxa"/>
        <w:jc w:val="center"/>
        <w:tblInd w:w="0"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4297"/>
        <w:gridCol w:w="3840"/>
      </w:tblGrid>
      <w:tr>
        <w:trPr/>
        <w:tc>
          <w:tcPr>
            <w:tcW w:w="42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both"/>
              <w:rPr/>
            </w:pPr>
            <w:r>
              <w:rPr>
                <w:rFonts w:cs="Book Antiqua" w:ascii="Book Antiqua" w:hAnsi="Book Antiqua"/>
                <w:bCs/>
                <w:sz w:val="22"/>
              </w:rPr>
              <w:t>Ancienneté au sein de l’entreprise</w:t>
            </w:r>
          </w:p>
        </w:tc>
        <w:tc>
          <w:tcPr>
            <w:tcW w:w="38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jc w:val="both"/>
              <w:rPr>
                <w:rFonts w:ascii="Book Antiqua" w:hAnsi="Book Antiqua" w:cs="Book Antiqua"/>
                <w:bCs/>
                <w:sz w:val="22"/>
              </w:rPr>
            </w:pPr>
            <w:r>
              <w:rPr>
                <w:rFonts w:cs="Book Antiqua" w:ascii="Book Antiqua" w:hAnsi="Book Antiqua"/>
                <w:bCs/>
                <w:sz w:val="22"/>
              </w:rPr>
              <w:t>Nombre de jours de congés supplémentaires</w:t>
            </w:r>
          </w:p>
        </w:tc>
      </w:tr>
      <w:tr>
        <w:trPr/>
        <w:tc>
          <w:tcPr>
            <w:tcW w:w="42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both"/>
              <w:rPr>
                <w:rFonts w:ascii="Book Antiqua" w:hAnsi="Book Antiqua" w:cs="Book Antiqua"/>
                <w:b/>
                <w:b/>
                <w:bCs/>
                <w:sz w:val="22"/>
              </w:rPr>
            </w:pPr>
            <w:r>
              <w:rPr>
                <w:rFonts w:cs="Book Antiqua" w:ascii="Book Antiqua" w:hAnsi="Book Antiqua"/>
                <w:b/>
                <w:bCs/>
                <w:sz w:val="22"/>
              </w:rPr>
              <w:t>Ancienneté &lt; 15 ans</w:t>
            </w:r>
          </w:p>
        </w:tc>
        <w:tc>
          <w:tcPr>
            <w:tcW w:w="38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jc w:val="both"/>
              <w:rPr>
                <w:rFonts w:ascii="Book Antiqua" w:hAnsi="Book Antiqua" w:cs="Book Antiqua"/>
                <w:b/>
                <w:b/>
                <w:bCs/>
                <w:sz w:val="22"/>
              </w:rPr>
            </w:pPr>
            <w:r>
              <w:rPr>
                <w:rFonts w:cs="Book Antiqua" w:ascii="Book Antiqua" w:hAnsi="Book Antiqua"/>
                <w:b/>
                <w:bCs/>
                <w:sz w:val="22"/>
              </w:rPr>
              <w:t>0 jour</w:t>
            </w:r>
          </w:p>
        </w:tc>
      </w:tr>
      <w:tr>
        <w:trPr/>
        <w:tc>
          <w:tcPr>
            <w:tcW w:w="42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both"/>
              <w:rPr>
                <w:rFonts w:ascii="Book Antiqua" w:hAnsi="Book Antiqua" w:cs="Book Antiqua"/>
                <w:b/>
                <w:b/>
                <w:bCs/>
                <w:sz w:val="22"/>
              </w:rPr>
            </w:pPr>
            <w:r>
              <w:rPr>
                <w:rFonts w:cs="Book Antiqua" w:ascii="Book Antiqua" w:hAnsi="Book Antiqua"/>
                <w:b/>
                <w:bCs/>
                <w:sz w:val="22"/>
              </w:rPr>
              <w:t>15 ans ≥Ancienneté &lt; 20 ans</w:t>
            </w:r>
          </w:p>
        </w:tc>
        <w:tc>
          <w:tcPr>
            <w:tcW w:w="38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jc w:val="both"/>
              <w:rPr>
                <w:rFonts w:ascii="Book Antiqua" w:hAnsi="Book Antiqua" w:cs="Book Antiqua"/>
                <w:b/>
                <w:b/>
                <w:bCs/>
                <w:sz w:val="22"/>
              </w:rPr>
            </w:pPr>
            <w:r>
              <w:rPr>
                <w:rFonts w:cs="Book Antiqua" w:ascii="Book Antiqua" w:hAnsi="Book Antiqua"/>
                <w:b/>
                <w:bCs/>
                <w:sz w:val="22"/>
              </w:rPr>
              <w:t>1 jour</w:t>
            </w:r>
          </w:p>
        </w:tc>
      </w:tr>
      <w:tr>
        <w:trPr/>
        <w:tc>
          <w:tcPr>
            <w:tcW w:w="4297"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both"/>
              <w:rPr>
                <w:rFonts w:ascii="Book Antiqua" w:hAnsi="Book Antiqua" w:cs="Book Antiqua"/>
                <w:b/>
                <w:b/>
                <w:bCs/>
                <w:sz w:val="22"/>
              </w:rPr>
            </w:pPr>
            <w:r>
              <w:rPr>
                <w:rFonts w:cs="Book Antiqua" w:ascii="Book Antiqua" w:hAnsi="Book Antiqua"/>
                <w:b/>
                <w:bCs/>
                <w:sz w:val="22"/>
              </w:rPr>
              <w:t>Ancienneté ≥ 20 ans</w:t>
            </w:r>
          </w:p>
        </w:tc>
        <w:tc>
          <w:tcPr>
            <w:tcW w:w="38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vAlign w:val="center"/>
          </w:tcPr>
          <w:p>
            <w:pPr>
              <w:pStyle w:val="Normal"/>
              <w:jc w:val="both"/>
              <w:rPr>
                <w:rFonts w:ascii="Book Antiqua" w:hAnsi="Book Antiqua" w:cs="Book Antiqua"/>
                <w:b/>
                <w:b/>
                <w:bCs/>
                <w:sz w:val="22"/>
              </w:rPr>
            </w:pPr>
            <w:r>
              <w:rPr>
                <w:rFonts w:cs="Book Antiqua" w:ascii="Book Antiqua" w:hAnsi="Book Antiqua"/>
                <w:b/>
                <w:bCs/>
                <w:sz w:val="22"/>
              </w:rPr>
              <w:t>2 jours</w:t>
            </w:r>
          </w:p>
        </w:tc>
      </w:tr>
    </w:tbl>
    <w:p>
      <w:pPr>
        <w:pStyle w:val="Normal"/>
        <w:jc w:val="both"/>
        <w:rPr>
          <w:rFonts w:ascii="Book Antiqua" w:hAnsi="Book Antiqua" w:cs="Book Antiqua"/>
          <w:bCs/>
          <w:sz w:val="22"/>
        </w:rPr>
      </w:pPr>
      <w:r>
        <w:rPr>
          <w:rFonts w:cs="Book Antiqua" w:ascii="Book Antiqua" w:hAnsi="Book Antiqua"/>
          <w:bCs/>
          <w:sz w:val="22"/>
        </w:rPr>
      </w:r>
    </w:p>
    <w:p>
      <w:pPr>
        <w:pStyle w:val="Normal"/>
        <w:jc w:val="both"/>
        <w:rPr/>
      </w:pPr>
      <w:r>
        <w:rPr>
          <w:rFonts w:cs="Book Antiqua" w:ascii="Book Antiqua" w:hAnsi="Book Antiqua"/>
          <w:bCs/>
          <w:sz w:val="22"/>
        </w:rPr>
        <w:t>Les parties précisent que le dispositif tient compte de l’ancienneté acquise précédemment au sein de la Société THIRIET DISTRIBUTION.</w:t>
      </w:r>
    </w:p>
    <w:p>
      <w:pPr>
        <w:pStyle w:val="Normal"/>
        <w:jc w:val="both"/>
        <w:rPr>
          <w:rFonts w:ascii="Book Antiqua" w:hAnsi="Book Antiqua" w:cs="Book Antiqua"/>
          <w:bCs/>
          <w:sz w:val="22"/>
        </w:rPr>
      </w:pPr>
      <w:r>
        <w:rPr>
          <w:rFonts w:cs="Book Antiqua" w:ascii="Book Antiqua" w:hAnsi="Book Antiqua"/>
          <w:bCs/>
          <w:sz w:val="22"/>
        </w:rPr>
      </w:r>
    </w:p>
    <w:p>
      <w:pPr>
        <w:pStyle w:val="Normal"/>
        <w:jc w:val="both"/>
        <w:rPr>
          <w:rFonts w:ascii="Book Antiqua" w:hAnsi="Book Antiqua" w:cs="Book Antiqua"/>
          <w:bCs/>
          <w:sz w:val="22"/>
        </w:rPr>
      </w:pPr>
      <w:r>
        <w:rPr>
          <w:rFonts w:cs="Book Antiqua" w:ascii="Book Antiqua" w:hAnsi="Book Antiqua"/>
          <w:bCs/>
          <w:sz w:val="22"/>
        </w:rPr>
        <w:t>Ces jours de congés supplémentaires sont acquis et crédités dans le compteur de chaque salarié le premier mois de la période de référence.</w:t>
      </w:r>
    </w:p>
    <w:p>
      <w:pPr>
        <w:pStyle w:val="Normal"/>
        <w:jc w:val="both"/>
        <w:rPr>
          <w:rFonts w:ascii="Book Antiqua" w:hAnsi="Book Antiqua" w:cs="Book Antiqua"/>
          <w:bCs/>
          <w:sz w:val="22"/>
        </w:rPr>
      </w:pPr>
      <w:r>
        <w:rPr>
          <w:rFonts w:cs="Book Antiqua" w:ascii="Book Antiqua" w:hAnsi="Book Antiqua"/>
          <w:bCs/>
          <w:sz w:val="22"/>
        </w:rPr>
      </w:r>
    </w:p>
    <w:p>
      <w:pPr>
        <w:pStyle w:val="Normal"/>
        <w:jc w:val="both"/>
        <w:rPr>
          <w:rFonts w:ascii="Book Antiqua" w:hAnsi="Book Antiqua" w:cs="Book Antiqua"/>
          <w:bCs/>
          <w:sz w:val="22"/>
        </w:rPr>
      </w:pPr>
      <w:r>
        <w:rPr>
          <w:rFonts w:cs="Book Antiqua" w:ascii="Book Antiqua" w:hAnsi="Book Antiqua"/>
          <w:bCs/>
          <w:sz w:val="22"/>
        </w:rPr>
        <w:t>Si le salarié acquière 15 ou 20 ans d’ancienneté au cours de la période de référence N, il ne pourra acquérir de jour de congé supplémentaire que pour la période de référence suivante N+1.</w:t>
      </w:r>
    </w:p>
    <w:p>
      <w:pPr>
        <w:pStyle w:val="Normal"/>
        <w:jc w:val="both"/>
        <w:rPr>
          <w:rFonts w:ascii="Book Antiqua" w:hAnsi="Book Antiqua" w:cs="Book Antiqua"/>
          <w:bCs/>
          <w:sz w:val="22"/>
        </w:rPr>
      </w:pPr>
      <w:r>
        <w:rPr>
          <w:rFonts w:cs="Book Antiqua" w:ascii="Book Antiqua" w:hAnsi="Book Antiqua"/>
          <w:bCs/>
          <w:sz w:val="22"/>
        </w:rPr>
      </w:r>
    </w:p>
    <w:p>
      <w:pPr>
        <w:pStyle w:val="Normal"/>
        <w:jc w:val="both"/>
        <w:rPr>
          <w:rFonts w:ascii="Book Antiqua" w:hAnsi="Book Antiqua" w:cs="Book Antiqua"/>
          <w:bCs/>
          <w:sz w:val="22"/>
        </w:rPr>
      </w:pPr>
      <w:r>
        <w:rPr>
          <w:rFonts w:cs="Book Antiqua" w:ascii="Book Antiqua" w:hAnsi="Book Antiqua"/>
          <w:bCs/>
          <w:sz w:val="22"/>
        </w:rPr>
        <w:t>Les jours de congés supplémentaires liés à l’ancienneté doivent être pris en respectant les procédures en vigueur et sont rémunérés de la même manière que les congés payés.</w:t>
      </w:r>
    </w:p>
    <w:p>
      <w:pPr>
        <w:pStyle w:val="Normal"/>
        <w:jc w:val="both"/>
        <w:rPr>
          <w:rFonts w:ascii="Book Antiqua" w:hAnsi="Book Antiqua" w:cs="Book Antiqua"/>
          <w:bCs/>
          <w:sz w:val="22"/>
        </w:rPr>
      </w:pPr>
      <w:r>
        <w:rPr>
          <w:rFonts w:cs="Book Antiqua" w:ascii="Book Antiqua" w:hAnsi="Book Antiqua"/>
          <w:bCs/>
          <w:sz w:val="22"/>
        </w:rPr>
      </w:r>
    </w:p>
    <w:p>
      <w:pPr>
        <w:pStyle w:val="Normal"/>
        <w:jc w:val="both"/>
        <w:rPr>
          <w:rFonts w:ascii="Book Antiqua" w:hAnsi="Book Antiqua" w:cs="Book Antiqua"/>
          <w:bCs/>
          <w:sz w:val="22"/>
        </w:rPr>
      </w:pPr>
      <w:r>
        <w:rPr>
          <w:rFonts w:cs="Book Antiqua" w:ascii="Book Antiqua" w:hAnsi="Book Antiqua"/>
          <w:bCs/>
          <w:sz w:val="22"/>
        </w:rPr>
      </w:r>
    </w:p>
    <w:p>
      <w:pPr>
        <w:pStyle w:val="Normal"/>
        <w:jc w:val="both"/>
        <w:rPr>
          <w:rFonts w:ascii="Book Antiqua" w:hAnsi="Book Antiqua" w:cs="Book Antiqua"/>
          <w:bCs/>
          <w:sz w:val="22"/>
        </w:rPr>
      </w:pPr>
      <w:r>
        <w:rPr>
          <w:rFonts w:cs="Book Antiqua" w:ascii="Book Antiqua" w:hAnsi="Book Antiqua"/>
          <w:bCs/>
          <w:sz w:val="22"/>
        </w:rPr>
      </w:r>
    </w:p>
    <w:p>
      <w:pPr>
        <w:pStyle w:val="Normal"/>
        <w:jc w:val="both"/>
        <w:rPr>
          <w:rFonts w:ascii="Book Antiqua" w:hAnsi="Book Antiqua" w:cs="Book Antiqua"/>
          <w:bCs/>
          <w:sz w:val="22"/>
        </w:rPr>
      </w:pPr>
      <w:r>
        <w:rPr>
          <w:rFonts w:cs="Book Antiqua" w:ascii="Book Antiqua" w:hAnsi="Book Antiqua"/>
          <w:bCs/>
          <w:sz w:val="22"/>
        </w:rPr>
      </w:r>
    </w:p>
    <w:p>
      <w:pPr>
        <w:pStyle w:val="Normal"/>
        <w:jc w:val="both"/>
        <w:rPr>
          <w:rFonts w:ascii="Book Antiqua" w:hAnsi="Book Antiqua" w:cs="Book Antiqua"/>
          <w:bCs/>
          <w:sz w:val="22"/>
        </w:rPr>
      </w:pPr>
      <w:r>
        <w:rPr>
          <w:rFonts w:cs="Book Antiqua" w:ascii="Book Antiqua" w:hAnsi="Book Antiqua"/>
          <w:bCs/>
          <w:sz w:val="22"/>
        </w:rPr>
      </w:r>
    </w:p>
    <w:p>
      <w:pPr>
        <w:pStyle w:val="TextBody"/>
        <w:tabs>
          <w:tab w:val="left" w:pos="851" w:leader="none"/>
        </w:tabs>
        <w:rPr/>
      </w:pPr>
      <w:r>
        <w:rPr>
          <w:rFonts w:cs="Book Antiqua" w:ascii="Book Antiqua" w:hAnsi="Book Antiqua"/>
          <w:b/>
          <w:bCs/>
          <w:u w:val="single"/>
        </w:rPr>
        <w:t>Article 6 – Médailles du travail</w:t>
      </w:r>
    </w:p>
    <w:p>
      <w:pPr>
        <w:pStyle w:val="TextBody"/>
        <w:tabs>
          <w:tab w:val="left" w:pos="851" w:leader="none"/>
        </w:tabs>
        <w:rPr>
          <w:rFonts w:ascii="Book Antiqua" w:hAnsi="Book Antiqua" w:cs="Book Antiqua"/>
          <w:b/>
          <w:b/>
          <w:bCs/>
          <w:szCs w:val="22"/>
          <w:u w:val="single"/>
        </w:rPr>
      </w:pPr>
      <w:r>
        <w:rPr>
          <w:rFonts w:cs="Book Antiqua" w:ascii="Book Antiqua" w:hAnsi="Book Antiqua"/>
          <w:b/>
          <w:bCs/>
          <w:szCs w:val="22"/>
          <w:u w:val="single"/>
        </w:rPr>
      </w:r>
    </w:p>
    <w:p>
      <w:pPr>
        <w:pStyle w:val="TextBody"/>
        <w:tabs>
          <w:tab w:val="left" w:pos="851" w:leader="none"/>
        </w:tabs>
        <w:rPr>
          <w:rFonts w:ascii="Book Antiqua" w:hAnsi="Book Antiqua" w:cs="Book Antiqua"/>
          <w:szCs w:val="22"/>
        </w:rPr>
      </w:pPr>
      <w:r>
        <w:rPr>
          <w:rFonts w:cs="Book Antiqua" w:ascii="Book Antiqua" w:hAnsi="Book Antiqua"/>
          <w:szCs w:val="22"/>
        </w:rPr>
        <w:t>Afin de valoriser les carrières longues, une cérémonie de remise de médaille d’honneur du travail est prévue, tous les 2 ans.</w:t>
      </w:r>
    </w:p>
    <w:p>
      <w:pPr>
        <w:pStyle w:val="TextBody"/>
        <w:tabs>
          <w:tab w:val="left" w:pos="851" w:leader="none"/>
        </w:tabs>
        <w:rPr>
          <w:rFonts w:ascii="Book Antiqua" w:hAnsi="Book Antiqua" w:cs="Book Antiqua"/>
          <w:szCs w:val="22"/>
        </w:rPr>
      </w:pPr>
      <w:r>
        <w:rPr>
          <w:rFonts w:cs="Book Antiqua" w:ascii="Book Antiqua" w:hAnsi="Book Antiqua"/>
          <w:szCs w:val="22"/>
        </w:rPr>
        <w:t>Les personnes concernées par cette cérémonie seront celles qui totalisent :</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20 ans d’ancienneté pour la médaille d’argent,</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30 ans d’ancienneté pour la médaille de vermeil,</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35 ans d’ancienneté pour la médaille d’or,</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40 ans d’ancienneté pour la médaille grand or.</w:t>
      </w:r>
    </w:p>
    <w:p>
      <w:pPr>
        <w:pStyle w:val="TextBody"/>
        <w:tabs>
          <w:tab w:val="left" w:pos="851" w:leader="none"/>
        </w:tabs>
        <w:ind w:left="0" w:hanging="0"/>
        <w:rPr>
          <w:rFonts w:ascii="Book Antiqua" w:hAnsi="Book Antiqua" w:cs="Book Antiqua"/>
          <w:szCs w:val="22"/>
        </w:rPr>
      </w:pPr>
      <w:r>
        <w:rPr>
          <w:rFonts w:cs="Book Antiqua" w:ascii="Book Antiqua" w:hAnsi="Book Antiqua"/>
          <w:szCs w:val="22"/>
        </w:rPr>
      </w:r>
    </w:p>
    <w:p>
      <w:pPr>
        <w:pStyle w:val="TextBody"/>
        <w:tabs>
          <w:tab w:val="left" w:pos="851" w:leader="none"/>
        </w:tabs>
        <w:rPr>
          <w:rFonts w:ascii="Book Antiqua" w:hAnsi="Book Antiqua" w:cs="Book Antiqua"/>
          <w:szCs w:val="22"/>
        </w:rPr>
      </w:pPr>
      <w:r>
        <w:rPr>
          <w:rFonts w:cs="Book Antiqua" w:ascii="Book Antiqua" w:hAnsi="Book Antiqua"/>
          <w:szCs w:val="22"/>
        </w:rPr>
        <w:t>Cette remise de médaille s’accompagnera d’une prime exonérée de cotisations sociales fixée à :</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300 euros pour 20 ans,</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500 euros pour 30 ans,</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700 euros pour 35 ans,</w:t>
      </w:r>
    </w:p>
    <w:p>
      <w:pPr>
        <w:pStyle w:val="TextBody"/>
        <w:numPr>
          <w:ilvl w:val="1"/>
          <w:numId w:val="6"/>
        </w:numPr>
        <w:tabs>
          <w:tab w:val="left" w:pos="851" w:leader="none"/>
        </w:tabs>
        <w:spacing w:before="0" w:after="0"/>
        <w:jc w:val="both"/>
        <w:rPr>
          <w:rFonts w:ascii="Book Antiqua" w:hAnsi="Book Antiqua" w:cs="Book Antiqua"/>
          <w:szCs w:val="22"/>
        </w:rPr>
      </w:pPr>
      <w:r>
        <w:rPr>
          <w:rFonts w:cs="Book Antiqua" w:ascii="Book Antiqua" w:hAnsi="Book Antiqua"/>
          <w:szCs w:val="22"/>
        </w:rPr>
        <w:t>900 euros pour 40 ans.</w:t>
      </w:r>
    </w:p>
    <w:p>
      <w:pPr>
        <w:pStyle w:val="TextBody"/>
        <w:tabs>
          <w:tab w:val="left" w:pos="851" w:leader="none"/>
        </w:tabs>
        <w:rPr>
          <w:rFonts w:ascii="Book Antiqua" w:hAnsi="Book Antiqua" w:cs="Book Antiqua"/>
          <w:szCs w:val="22"/>
        </w:rPr>
      </w:pPr>
      <w:r>
        <w:rPr>
          <w:rFonts w:cs="Book Antiqua" w:ascii="Book Antiqua" w:hAnsi="Book Antiqua"/>
          <w:szCs w:val="22"/>
        </w:rPr>
      </w:r>
    </w:p>
    <w:p>
      <w:pPr>
        <w:pStyle w:val="TextBody"/>
        <w:tabs>
          <w:tab w:val="left" w:pos="851" w:leader="none"/>
        </w:tabs>
        <w:spacing w:before="0" w:after="0"/>
        <w:jc w:val="both"/>
        <w:rPr>
          <w:rFonts w:ascii="Book Antiqua" w:hAnsi="Book Antiqua" w:cs="Book Antiqua"/>
          <w:szCs w:val="22"/>
        </w:rPr>
      </w:pPr>
      <w:r>
        <w:rPr>
          <w:rFonts w:cs="Book Antiqua" w:ascii="Book Antiqua" w:hAnsi="Book Antiqua"/>
          <w:szCs w:val="22"/>
        </w:rPr>
        <w:t>Les demandes officielles doivent être présentées avant le 1er mai pour la session de remise du 14 juillet ou avant le 15 octobre pour celle du 1er janvier.</w:t>
      </w:r>
    </w:p>
    <w:p>
      <w:pPr>
        <w:pStyle w:val="TextBody"/>
        <w:tabs>
          <w:tab w:val="left" w:pos="851" w:leader="none"/>
        </w:tabs>
        <w:spacing w:before="0" w:after="0"/>
        <w:rPr>
          <w:rFonts w:ascii="Book Antiqua" w:hAnsi="Book Antiqua" w:cs="Book Antiqua"/>
          <w:szCs w:val="22"/>
        </w:rPr>
      </w:pPr>
      <w:r>
        <w:rPr>
          <w:rFonts w:cs="Book Antiqua" w:ascii="Book Antiqua" w:hAnsi="Book Antiqua"/>
          <w:szCs w:val="22"/>
        </w:rPr>
      </w:r>
    </w:p>
    <w:p>
      <w:pPr>
        <w:pStyle w:val="Normal"/>
        <w:jc w:val="both"/>
        <w:rPr>
          <w:rFonts w:ascii="Book Antiqua" w:hAnsi="Book Antiqua" w:cs="Book Antiqua"/>
          <w:bCs/>
          <w:sz w:val="22"/>
        </w:rPr>
      </w:pPr>
      <w:r>
        <w:rPr>
          <w:rFonts w:cs="Book Antiqua" w:ascii="Book Antiqua" w:hAnsi="Book Antiqua"/>
          <w:bCs/>
          <w:sz w:val="22"/>
        </w:rPr>
        <w:t>Les parties précisent que le dispositif tient compte de l’ancienneté acquise précédemment au sein de la Société THIRIET DISTRIBUTION</w:t>
      </w:r>
      <w:r>
        <w:rPr>
          <w:rFonts w:cs="Book Antiqua" w:ascii="Book Antiqua" w:hAnsi="Book Antiqua"/>
          <w:szCs w:val="22"/>
        </w:rPr>
        <w:t xml:space="preserve">. </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sz w:val="22"/>
        </w:rPr>
      </w:pPr>
      <w:r>
        <w:rPr>
          <w:rFonts w:cs="Book Antiqua" w:ascii="Book Antiqua" w:hAnsi="Book Antiqua"/>
          <w:sz w:val="22"/>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t>Article 7 : Protection sociale complémentaire des salariés</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pPr>
      <w:r>
        <w:rPr>
          <w:rFonts w:cs="Book Antiqua" w:ascii="Book Antiqua" w:hAnsi="Book Antiqua"/>
          <w:bCs/>
          <w:sz w:val="22"/>
        </w:rPr>
        <w:t xml:space="preserve">La Direction rappelle la conclusion : </w:t>
      </w:r>
    </w:p>
    <w:p>
      <w:pPr>
        <w:pStyle w:val="Normal"/>
        <w:numPr>
          <w:ilvl w:val="0"/>
          <w:numId w:val="5"/>
        </w:numPr>
        <w:autoSpaceDE w:val="false"/>
        <w:spacing w:lineRule="atLeast" w:line="240"/>
        <w:jc w:val="both"/>
        <w:rPr>
          <w:rFonts w:ascii="Book Antiqua" w:hAnsi="Book Antiqua" w:cs="Book Antiqua"/>
          <w:bCs/>
          <w:sz w:val="22"/>
        </w:rPr>
      </w:pPr>
      <w:r>
        <w:rPr>
          <w:rFonts w:cs="Book Antiqua" w:ascii="Book Antiqua" w:hAnsi="Book Antiqua"/>
          <w:bCs/>
          <w:sz w:val="22"/>
        </w:rPr>
        <w:t>De l’accord collectif du 18 décembre 2020 relatif à un régime de prévoyance collectif et obligatoire « Décès – incapacité – invalidité » pour les catégories employés, ouvriers, TAM, cadres et VRP, ainsi que ses annexes garanties &amp; cotisations</w:t>
      </w:r>
    </w:p>
    <w:p>
      <w:pPr>
        <w:pStyle w:val="Normal"/>
        <w:numPr>
          <w:ilvl w:val="0"/>
          <w:numId w:val="5"/>
        </w:numPr>
        <w:autoSpaceDE w:val="false"/>
        <w:spacing w:lineRule="atLeast" w:line="240"/>
        <w:jc w:val="both"/>
        <w:rPr>
          <w:rFonts w:ascii="Book Antiqua" w:hAnsi="Book Antiqua" w:cs="Book Antiqua"/>
          <w:bCs/>
          <w:sz w:val="22"/>
        </w:rPr>
      </w:pPr>
      <w:r>
        <w:rPr>
          <w:rFonts w:cs="Book Antiqua" w:ascii="Book Antiqua" w:hAnsi="Book Antiqua"/>
          <w:bCs/>
          <w:sz w:val="22"/>
        </w:rPr>
        <w:t>D’un contrat en date du 1</w:t>
      </w:r>
      <w:r>
        <w:rPr>
          <w:rFonts w:cs="Book Antiqua" w:ascii="Book Antiqua" w:hAnsi="Book Antiqua"/>
          <w:bCs/>
          <w:sz w:val="22"/>
          <w:vertAlign w:val="superscript"/>
        </w:rPr>
        <w:t>er</w:t>
      </w:r>
      <w:r>
        <w:rPr>
          <w:rFonts w:cs="Book Antiqua" w:ascii="Book Antiqua" w:hAnsi="Book Antiqua"/>
          <w:bCs/>
          <w:sz w:val="22"/>
        </w:rPr>
        <w:t xml:space="preserve"> avril 2020, souscrit auprès de l’organisme Harmonie Mutuelle instituant une complémentaire santé pour les catégories employés, ouvriers, TAM, cadres et VRP</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 xml:space="preserve">Les parties rappellent que la part patronale de la cotisation mutuelle « Sécurité » (base obligatoire pour tous les salariés) est de 80% du montant total de la cotisation mensuelle, a part salariale est ainsi de 20%. </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pPr>
      <w:r>
        <w:rPr>
          <w:rFonts w:cs="Book Antiqua" w:ascii="Book Antiqua" w:hAnsi="Book Antiqua"/>
          <w:b/>
          <w:bCs/>
          <w:sz w:val="22"/>
          <w:u w:val="single"/>
        </w:rPr>
        <w:t xml:space="preserve">Article 8 : Niveau de rémunération entre les hommes et les femmes  </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pPr>
      <w:r>
        <w:rPr>
          <w:rFonts w:cs="Book Antiqua" w:ascii="Book Antiqua" w:hAnsi="Book Antiqua"/>
          <w:bCs/>
          <w:sz w:val="22"/>
        </w:rPr>
        <w:t>Les parties rappellent que l’intégralité du personnel est rémunéré selon des grilles et systèmes de commissionnements qui sont propres à chaque métier et pour lesquels une application stricte est respectée dès l’embauche, sans considération du sexe des personnes concernées.</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Les évolutions du salaire de base de l’ensemble des salariés sont réalisées en fonction notamment des compétences et qualifications mises en œuvre, des responsabilités ou de l’ancienneté, sans distinction de sexe.</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En complément du salaire de base, les salariés peuvent percevoir, en fonction de leur emploi, d’autres éléments de rémunération à caractère variable, leur versement étant lié à l’emploi des salariés et aux modalités d’exercice de leur activité. Ces éléments sont régis par des règles objectivées par des relevés d’activité ou encore l’atteinte de résultats prédéterminés.</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t>Article 9 : Diagnostic sur l’emploi des seniors dans l’entreprise</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pPr>
      <w:r>
        <w:rPr>
          <w:rFonts w:cs="Book Antiqua" w:ascii="Book Antiqua" w:hAnsi="Book Antiqua"/>
          <w:bCs/>
          <w:sz w:val="22"/>
        </w:rPr>
        <w:t xml:space="preserve">S’agissant de l’emploi des seniors, aucune discrimination ni à l’embauche, ni à l’accès à la formation des seniors n’est constatée, et aucun plan de départ anticipé lié à l’âge n’a jamais été mis en œuvre par la société. Au 31 décembre 2020, la société THIRIET SAINT MEMMIE emploie 3 personnes de plus de 50 ans (1 femme et 2 hommes) sur un effectif total de 24 personnes. </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t xml:space="preserve">Article 10 : Durée effective et organisation du temps de travail </w:t>
      </w:r>
    </w:p>
    <w:p>
      <w:pPr>
        <w:pStyle w:val="Normalcentr"/>
        <w:ind w:left="0" w:right="-2" w:hanging="0"/>
        <w:rPr>
          <w:rFonts w:ascii="Book Antiqua" w:hAnsi="Book Antiqua" w:cs="Book Antiqua"/>
          <w:b/>
          <w:b/>
          <w:bCs/>
          <w:sz w:val="22"/>
          <w:szCs w:val="22"/>
          <w:u w:val="single"/>
        </w:rPr>
      </w:pPr>
      <w:r>
        <w:rPr>
          <w:rFonts w:cs="Book Antiqua" w:ascii="Book Antiqua" w:hAnsi="Book Antiqua"/>
          <w:b/>
          <w:bCs/>
          <w:sz w:val="22"/>
          <w:szCs w:val="22"/>
          <w:u w:val="single"/>
        </w:rPr>
      </w:r>
    </w:p>
    <w:p>
      <w:pPr>
        <w:pStyle w:val="Normalcentr"/>
        <w:ind w:left="0" w:right="-2" w:hanging="0"/>
        <w:rPr/>
      </w:pPr>
      <w:r>
        <w:rPr>
          <w:rFonts w:cs="Book Antiqua" w:ascii="Book Antiqua" w:hAnsi="Book Antiqua"/>
          <w:sz w:val="22"/>
          <w:szCs w:val="22"/>
        </w:rPr>
        <w:t xml:space="preserve">La majorité du personnel de la Société THIRIET SAINT MEMMIE relève du statut VRP. A ce titre, les salariés concernés ne sont pas soumis à la législation sur la durée du travail. </w:t>
      </w:r>
    </w:p>
    <w:p>
      <w:pPr>
        <w:pStyle w:val="Normalcentr"/>
        <w:ind w:left="0" w:right="-2" w:hanging="0"/>
        <w:rPr>
          <w:rFonts w:ascii="Book Antiqua" w:hAnsi="Book Antiqua" w:cs="Book Antiqua"/>
          <w:sz w:val="22"/>
          <w:szCs w:val="22"/>
        </w:rPr>
      </w:pPr>
      <w:r>
        <w:rPr>
          <w:rFonts w:cs="Book Antiqua" w:ascii="Book Antiqua" w:hAnsi="Book Antiqua"/>
          <w:sz w:val="22"/>
          <w:szCs w:val="22"/>
        </w:rPr>
      </w:r>
    </w:p>
    <w:p>
      <w:pPr>
        <w:pStyle w:val="Normalcentr"/>
        <w:ind w:left="0" w:right="-2" w:hanging="0"/>
        <w:rPr>
          <w:rFonts w:ascii="Book Antiqua" w:hAnsi="Book Antiqua" w:cs="Book Antiqua"/>
          <w:sz w:val="22"/>
          <w:szCs w:val="22"/>
        </w:rPr>
      </w:pPr>
      <w:r>
        <w:rPr>
          <w:rFonts w:cs="Book Antiqua" w:ascii="Book Antiqua" w:hAnsi="Book Antiqua"/>
          <w:sz w:val="22"/>
          <w:szCs w:val="22"/>
        </w:rPr>
        <w:t xml:space="preserve">S’agissant des salariés ayant contractuellement une référence horaire, il est précisé que chaque année, le CSE est informé sur le bilan relatif aux volumes et à l’utilisation des heures supplémentaires et complémentaires effectuées par les salariés ainsi que sur le bilan du travail à temps partiel réalisé dans l’entreprise. </w:t>
      </w:r>
    </w:p>
    <w:p>
      <w:pPr>
        <w:pStyle w:val="Normalcentr"/>
        <w:ind w:left="0" w:right="-2" w:hanging="0"/>
        <w:rPr>
          <w:rFonts w:ascii="Book Antiqua" w:hAnsi="Book Antiqua" w:cs="Book Antiqua"/>
          <w:sz w:val="22"/>
          <w:szCs w:val="22"/>
        </w:rPr>
      </w:pPr>
      <w:r>
        <w:rPr>
          <w:rFonts w:cs="Book Antiqua" w:ascii="Book Antiqua" w:hAnsi="Book Antiqua"/>
          <w:sz w:val="22"/>
          <w:szCs w:val="22"/>
        </w:rPr>
      </w:r>
    </w:p>
    <w:p>
      <w:pPr>
        <w:pStyle w:val="Normalcentr"/>
        <w:ind w:left="0" w:right="-2" w:hanging="0"/>
        <w:rPr>
          <w:rFonts w:ascii="Book Antiqua" w:hAnsi="Book Antiqua" w:cs="Book Antiqua"/>
          <w:sz w:val="22"/>
          <w:szCs w:val="22"/>
        </w:rPr>
      </w:pPr>
      <w:r>
        <w:rPr>
          <w:rFonts w:cs="Book Antiqua" w:ascii="Book Antiqua" w:hAnsi="Book Antiqua"/>
          <w:sz w:val="22"/>
          <w:szCs w:val="22"/>
        </w:rPr>
        <w:t>S’agissant des salariés cadres soumis à un forfait annuel en jours, il est précisé qu’un contrôle des journées et des demi-journées de travail effectuées est réalisé, afin que les salariés ne dépassent pas le nombre de jours travaillés prévu au titre de leur forfait annuel. En outre, le supérieur hiérarchique de chaque salarié concerné assure le suivi régulier de son organisation de travail et de sa charge de travail. Chaque salarié bénéficie, chaque année, d'un entretien avec son supérieur hiérarchique au cours duquel sont évoqués l'organisation de sa charge de travail ainsi que l'amplitude de ses journées d'activité et l'articulation entre la vie professionnelle et la vie familiale.</w:t>
      </w:r>
    </w:p>
    <w:p>
      <w:pPr>
        <w:pStyle w:val="Normalcentr"/>
        <w:ind w:left="0" w:right="-2" w:hanging="0"/>
        <w:rPr>
          <w:rFonts w:ascii="Book Antiqua" w:hAnsi="Book Antiqua" w:cs="Book Antiqua"/>
          <w:sz w:val="22"/>
          <w:szCs w:val="22"/>
        </w:rPr>
      </w:pPr>
      <w:r>
        <w:rPr>
          <w:rFonts w:cs="Book Antiqua" w:ascii="Book Antiqua" w:hAnsi="Book Antiqua"/>
          <w:sz w:val="22"/>
          <w:szCs w:val="22"/>
        </w:rPr>
      </w:r>
    </w:p>
    <w:p>
      <w:pPr>
        <w:pStyle w:val="Normalcentr"/>
        <w:ind w:left="0" w:right="-2" w:hanging="0"/>
        <w:rPr>
          <w:rFonts w:ascii="Book Antiqua" w:hAnsi="Book Antiqua" w:cs="Book Antiqua"/>
          <w:sz w:val="22"/>
          <w:szCs w:val="22"/>
        </w:rPr>
      </w:pPr>
      <w:r>
        <w:rPr>
          <w:rFonts w:cs="Book Antiqua" w:ascii="Book Antiqua" w:hAnsi="Book Antiqua"/>
          <w:sz w:val="22"/>
          <w:szCs w:val="22"/>
        </w:rPr>
        <w:t xml:space="preserve">Il est rappelé que chaque année, le CSE est consulté sur le recours aux conventions de forfaits (heures et jours) et les modalités de suivi de la charge de travail des salariés concernés. </w:t>
      </w:r>
    </w:p>
    <w:p>
      <w:pPr>
        <w:pStyle w:val="Normalcentr"/>
        <w:ind w:left="0" w:right="-2" w:hanging="0"/>
        <w:rPr>
          <w:rFonts w:ascii="Book Antiqua" w:hAnsi="Book Antiqua" w:cs="Book Antiqua"/>
          <w:sz w:val="22"/>
          <w:szCs w:val="22"/>
        </w:rPr>
      </w:pPr>
      <w:r>
        <w:rPr>
          <w:rFonts w:cs="Book Antiqua" w:ascii="Book Antiqua" w:hAnsi="Book Antiqua"/>
          <w:sz w:val="22"/>
          <w:szCs w:val="22"/>
        </w:rPr>
      </w:r>
    </w:p>
    <w:p>
      <w:pPr>
        <w:pStyle w:val="Normalcentr"/>
        <w:ind w:left="0" w:right="-2" w:hanging="0"/>
        <w:rPr>
          <w:rFonts w:ascii="Book Antiqua" w:hAnsi="Book Antiqua" w:cs="Book Antiqua"/>
          <w:sz w:val="22"/>
          <w:szCs w:val="22"/>
        </w:rPr>
      </w:pPr>
      <w:r>
        <w:rPr>
          <w:rFonts w:cs="Book Antiqua" w:ascii="Book Antiqua" w:hAnsi="Book Antiqua"/>
          <w:sz w:val="22"/>
          <w:szCs w:val="22"/>
        </w:rPr>
        <w:t>Les salariés bénéficient en outre des dispositions prévues par l’avenant du 30 juin 2016 à l’accord de branche du 14 décembre 2001 relatif au forfait annuel en jours.</w:t>
      </w:r>
    </w:p>
    <w:p>
      <w:pPr>
        <w:pStyle w:val="Normalcentr"/>
        <w:ind w:left="0" w:right="-2" w:hanging="0"/>
        <w:rPr>
          <w:rFonts w:ascii="Book Antiqua" w:hAnsi="Book Antiqua" w:cs="Book Antiqua"/>
          <w:sz w:val="22"/>
          <w:szCs w:val="22"/>
        </w:rPr>
      </w:pPr>
      <w:r>
        <w:rPr>
          <w:rFonts w:cs="Book Antiqua" w:ascii="Book Antiqua" w:hAnsi="Book Antiqua"/>
          <w:sz w:val="22"/>
          <w:szCs w:val="22"/>
        </w:rPr>
      </w:r>
    </w:p>
    <w:p>
      <w:pPr>
        <w:pStyle w:val="Cs40dd2bc9"/>
        <w:spacing w:before="0" w:after="0"/>
        <w:jc w:val="both"/>
        <w:rPr>
          <w:rFonts w:ascii="Book Antiqua" w:hAnsi="Book Antiqua" w:cs="Book Antiqua"/>
        </w:rPr>
      </w:pPr>
      <w:r>
        <w:rPr>
          <w:rFonts w:cs="Book Antiqua" w:ascii="Book Antiqua" w:hAnsi="Book Antiqua"/>
        </w:rPr>
        <w:t>Enfin, il est dérogé à l’article 44 de la convention collective des commerces de gros, pour tout le personnel (hors statut VRP) ainsi le temps de travail peut, sur les semaines définies comme telles dans le calendrier commercial, être réparti égalitairement ou inégalitairement sur 6 jours.</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t>Article 11 : Contingent annuel d’heures supplémentaires</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pPr>
      <w:r>
        <w:rPr>
          <w:rFonts w:cs="Book Antiqua" w:ascii="Book Antiqua" w:hAnsi="Book Antiqua"/>
          <w:bCs/>
          <w:sz w:val="22"/>
        </w:rPr>
        <w:t xml:space="preserve">Pour les catégories de personnels employés, techniciens et agents de maîtrise soumis au régime de base légal du temps de travail, soit 35 heures hebdomadaires, les parties conviennent de porter à 365 heures le contingent annuel d’heures supplémentaires à disposition de l’employeur. </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Le décompte des heures supplémentaires utilisées se fera dans le cadre de la période annuelle de référence, soit du 1</w:t>
      </w:r>
      <w:r>
        <w:rPr>
          <w:rFonts w:cs="Book Antiqua" w:ascii="Book Antiqua" w:hAnsi="Book Antiqua"/>
          <w:bCs/>
          <w:sz w:val="22"/>
          <w:vertAlign w:val="superscript"/>
        </w:rPr>
        <w:t>er</w:t>
      </w:r>
      <w:r>
        <w:rPr>
          <w:rFonts w:cs="Book Antiqua" w:ascii="Book Antiqua" w:hAnsi="Book Antiqua"/>
          <w:bCs/>
          <w:sz w:val="22"/>
        </w:rPr>
        <w:t xml:space="preserve"> juin au 31 mai. </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pPr>
      <w:r>
        <w:rPr>
          <w:rFonts w:cs="Book Antiqua" w:ascii="Book Antiqua" w:hAnsi="Book Antiqua"/>
          <w:b/>
          <w:bCs/>
          <w:sz w:val="22"/>
          <w:u w:val="single"/>
        </w:rPr>
        <w:t>Article 12 : Période annuelle de référence</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Pour l’ensemble des catégories de personnel, il est prévu que les aménagements annuels du temps de travail s’entendent sur une période de 12 mois consécutifs comprise entre le 1</w:t>
      </w:r>
      <w:r>
        <w:rPr>
          <w:rFonts w:cs="Book Antiqua" w:ascii="Book Antiqua" w:hAnsi="Book Antiqua"/>
          <w:bCs/>
          <w:sz w:val="22"/>
          <w:vertAlign w:val="superscript"/>
        </w:rPr>
        <w:t>er</w:t>
      </w:r>
      <w:r>
        <w:rPr>
          <w:rFonts w:cs="Book Antiqua" w:ascii="Book Antiqua" w:hAnsi="Book Antiqua"/>
          <w:bCs/>
          <w:sz w:val="22"/>
        </w:rPr>
        <w:t xml:space="preserve"> juin de l’année N et le 31 mai de l’année N+1. </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pPr>
      <w:r>
        <w:rPr>
          <w:rFonts w:cs="Book Antiqua" w:ascii="Book Antiqua" w:hAnsi="Book Antiqua"/>
          <w:b/>
          <w:bCs/>
          <w:sz w:val="22"/>
          <w:u w:val="single"/>
        </w:rPr>
        <w:t xml:space="preserve">Article 13 : Journée de solidarité </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shd w:fill="D8D8D8" w:val="clear"/>
        <w:jc w:val="both"/>
        <w:rPr/>
      </w:pPr>
      <w:r>
        <w:rPr>
          <w:rFonts w:cs="Book Antiqua" w:ascii="Book Antiqua" w:hAnsi="Book Antiqua"/>
          <w:b/>
          <w:bCs/>
          <w:sz w:val="22"/>
          <w:u w:val="single"/>
        </w:rPr>
        <w:t xml:space="preserve">Article 13.1. Modalités retenues </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numPr>
          <w:ilvl w:val="0"/>
          <w:numId w:val="4"/>
        </w:numPr>
        <w:autoSpaceDE w:val="false"/>
        <w:spacing w:lineRule="atLeast" w:line="240"/>
        <w:jc w:val="both"/>
        <w:rPr>
          <w:rFonts w:ascii="Book Antiqua" w:hAnsi="Book Antiqua" w:cs="Book Antiqua"/>
          <w:bCs/>
          <w:sz w:val="22"/>
        </w:rPr>
      </w:pPr>
      <w:r>
        <w:rPr>
          <w:rFonts w:cs="Book Antiqua" w:ascii="Book Antiqua" w:hAnsi="Book Antiqua"/>
          <w:bCs/>
          <w:sz w:val="22"/>
        </w:rPr>
        <w:t>Le présent accord prévoit les modalités d’organisation de la journée de solidarité, à savoir en application de l’article L. 3133-8 3° du Code du travail :</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numPr>
          <w:ilvl w:val="0"/>
          <w:numId w:val="4"/>
        </w:numPr>
        <w:autoSpaceDE w:val="false"/>
        <w:spacing w:lineRule="atLeast" w:line="240"/>
        <w:jc w:val="both"/>
        <w:rPr>
          <w:rFonts w:ascii="Book Antiqua" w:hAnsi="Book Antiqua" w:cs="Book Antiqua"/>
          <w:bCs/>
          <w:sz w:val="22"/>
        </w:rPr>
      </w:pPr>
      <w:r>
        <w:rPr>
          <w:rFonts w:cs="Book Antiqua" w:ascii="Book Antiqua" w:hAnsi="Book Antiqua"/>
          <w:bCs/>
          <w:sz w:val="22"/>
        </w:rPr>
        <w:t>La journée de solidarité sera accomplie par le travail de 7 heures en plus par année.</w:t>
      </w:r>
    </w:p>
    <w:p>
      <w:pPr>
        <w:pStyle w:val="Paragraphedeliste"/>
        <w:rPr>
          <w:rFonts w:ascii="Book Antiqua" w:hAnsi="Book Antiqua" w:cs="Book Antiqua"/>
          <w:bCs/>
          <w:sz w:val="22"/>
        </w:rPr>
      </w:pPr>
      <w:r>
        <w:rPr>
          <w:rFonts w:cs="Book Antiqua" w:ascii="Book Antiqua" w:hAnsi="Book Antiqua"/>
          <w:bCs/>
          <w:sz w:val="22"/>
        </w:rPr>
      </w:r>
    </w:p>
    <w:p>
      <w:pPr>
        <w:pStyle w:val="Normal"/>
        <w:numPr>
          <w:ilvl w:val="0"/>
          <w:numId w:val="4"/>
        </w:numPr>
        <w:autoSpaceDE w:val="false"/>
        <w:spacing w:lineRule="atLeast" w:line="240"/>
        <w:jc w:val="both"/>
        <w:rPr>
          <w:rFonts w:ascii="Book Antiqua" w:hAnsi="Book Antiqua" w:cs="Book Antiqua"/>
          <w:bCs/>
          <w:sz w:val="22"/>
        </w:rPr>
      </w:pPr>
      <w:r>
        <w:rPr>
          <w:rFonts w:cs="Book Antiqua" w:ascii="Book Antiqua" w:hAnsi="Book Antiqua"/>
          <w:bCs/>
          <w:sz w:val="22"/>
        </w:rPr>
        <w:t>Pour le personnel VRP, la journée de solidarité se traduit par le travail d’une journée supplémentaire.</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numPr>
          <w:ilvl w:val="0"/>
          <w:numId w:val="4"/>
        </w:numPr>
        <w:autoSpaceDE w:val="false"/>
        <w:spacing w:lineRule="atLeast" w:line="240"/>
        <w:jc w:val="both"/>
        <w:rPr>
          <w:rFonts w:ascii="Book Antiqua" w:hAnsi="Book Antiqua" w:cs="Book Antiqua"/>
          <w:bCs/>
          <w:sz w:val="22"/>
        </w:rPr>
      </w:pPr>
      <w:r>
        <w:rPr>
          <w:rFonts w:cs="Book Antiqua" w:ascii="Book Antiqua" w:hAnsi="Book Antiqua"/>
          <w:bCs/>
          <w:sz w:val="22"/>
        </w:rPr>
        <w:t>Pour le personnel en forfait annuel jours, la journée de solidarité se traduit par l’augmentation d’un jour de leur forfait.</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numPr>
          <w:ilvl w:val="0"/>
          <w:numId w:val="4"/>
        </w:numPr>
        <w:autoSpaceDE w:val="false"/>
        <w:spacing w:lineRule="atLeast" w:line="240"/>
        <w:jc w:val="both"/>
        <w:rPr>
          <w:rFonts w:ascii="Book Antiqua" w:hAnsi="Book Antiqua" w:cs="Book Antiqua"/>
          <w:bCs/>
          <w:sz w:val="22"/>
        </w:rPr>
      </w:pPr>
      <w:r>
        <w:rPr>
          <w:rFonts w:cs="Book Antiqua" w:ascii="Book Antiqua" w:hAnsi="Book Antiqua"/>
          <w:bCs/>
          <w:sz w:val="22"/>
        </w:rPr>
        <w:t>Pour le personnel à temps partiel, il est rappelé qu’il leur appartient d’effectuer une durée supplémentaire de travail égale au rapport suivant :</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center"/>
        <w:rPr>
          <w:rFonts w:ascii="Book Antiqua" w:hAnsi="Book Antiqua" w:cs="Book Antiqua"/>
          <w:bCs/>
          <w:sz w:val="22"/>
        </w:rPr>
      </w:pPr>
      <w:r>
        <w:rPr>
          <w:rFonts w:cs="Book Antiqua" w:ascii="Book Antiqua" w:hAnsi="Book Antiqua"/>
          <w:bCs/>
          <w:sz w:val="22"/>
        </w:rPr>
        <w:t>durée contractuelle x 7 heures</w:t>
      </w:r>
    </w:p>
    <w:p>
      <w:pPr>
        <w:pStyle w:val="Normal"/>
        <w:autoSpaceDE w:val="false"/>
        <w:spacing w:lineRule="atLeast" w:line="240"/>
        <w:jc w:val="center"/>
        <w:rPr>
          <w:rFonts w:ascii="Book Antiqua" w:hAnsi="Book Antiqua" w:cs="Book Antiqua"/>
          <w:bCs/>
          <w:sz w:val="22"/>
        </w:rPr>
      </w:pPr>
      <w:r>
        <w:rPr>
          <w:rFonts w:cs="Book Antiqua" w:ascii="Book Antiqua" w:hAnsi="Book Antiqua"/>
          <w:bCs/>
          <w:sz w:val="22"/>
        </w:rPr>
        <w:t>35 heures</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 xml:space="preserve">Les modalités d’accomplissement des 7 heures travaillées en plus correspondront au travail d’une journée supplémentaire normalement non travaillée, dont la date sera fixée en fonction des modalités d’organisation de l’entreprise (calendrier commercial) après information/consultation du CSE. </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La période de référence pour l'accomplissement de la journée de solidarité est l'année civile, elle devra donc être accomplie entre le 1er janvier et le 31 décembre.</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shd w:fill="D8D8D8" w:val="clear"/>
        <w:jc w:val="both"/>
        <w:rPr/>
      </w:pPr>
      <w:r>
        <w:rPr>
          <w:rFonts w:cs="Book Antiqua" w:ascii="Book Antiqua" w:hAnsi="Book Antiqua"/>
          <w:b/>
          <w:bCs/>
          <w:sz w:val="22"/>
          <w:u w:val="single"/>
        </w:rPr>
        <w:t>13.2. Salariés nouvellement embauchés</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Lors de l’embauche, il sera demandé au salarié s’il a déjà accompli, au titre de l’année en cours, une journée de solidarité. Si tel est le cas, il lui sera demandé d’établir une attestation en ce sens.</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pPr>
      <w:r>
        <w:rPr>
          <w:rFonts w:cs="Book Antiqua" w:ascii="Book Antiqua" w:hAnsi="Book Antiqua"/>
          <w:bCs/>
          <w:sz w:val="22"/>
        </w:rPr>
        <w:t>Les salariés nouvellement embauchés, qui au titre de l’année en cours, ont déjà accompli chez leur précédent employeur la journée de solidarité, ne sont pas concernés pour ladite année par les dispositions du présent accord sur ce point. Ainsi, ils n’auront pas à accomplir une nouvelle journée de solidarité.</w:t>
      </w:r>
    </w:p>
    <w:p>
      <w:pPr>
        <w:pStyle w:val="Normal"/>
        <w:autoSpaceDE w:val="false"/>
        <w:spacing w:lineRule="atLeast" w:line="240"/>
        <w:jc w:val="both"/>
        <w:rPr/>
      </w:pPr>
      <w:r>
        <w:rPr>
          <w:rFonts w:cs="Book Antiqua" w:ascii="Book Antiqua" w:hAnsi="Book Antiqua"/>
          <w:bCs/>
          <w:sz w:val="22"/>
        </w:rPr>
        <w:t xml:space="preserve">Dans ce cas, ces salariés seront également concernés par le travail de cette journée dans la société, mais bénéficieront, à ce titre, d’une rémunération supplémentaire conformément aux dispositions de l’article L. 3133-10 du Code du travail. </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shd w:fill="D8D8D8" w:val="clear"/>
        <w:jc w:val="both"/>
        <w:rPr>
          <w:rFonts w:ascii="Book Antiqua" w:hAnsi="Book Antiqua" w:cs="Book Antiqua"/>
          <w:b/>
          <w:b/>
          <w:bCs/>
          <w:sz w:val="22"/>
          <w:u w:val="single"/>
        </w:rPr>
      </w:pPr>
      <w:r>
        <w:rPr>
          <w:rFonts w:cs="Book Antiqua" w:ascii="Book Antiqua" w:hAnsi="Book Antiqua"/>
          <w:b/>
          <w:bCs/>
          <w:sz w:val="22"/>
          <w:u w:val="single"/>
        </w:rPr>
        <w:t>13.3. Incidence en matière de rémunération</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Le travail de la journée de solidarité ne donne lieu à aucun versement de rémunération supplémentaire, ni à aucune prime, majoration ou autres prévues légalement ou conventionnellement, dans la limite de 7 heures pour un salarié horaire à temps plein (une journée de travail pour les salariés en forfait annuel jours), au prorata pour les salariés à temps partiel.</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t>Les heures accomplies au-delà de 7 heures sont rémunérées sur la base du taux horaire de base, majoré éventuellement au titre des heures supplémentaires si l’accomplissement de ces heures a conduit à un dépassement de la durée légale du travail.</w:t>
      </w:r>
    </w:p>
    <w:p>
      <w:pPr>
        <w:pStyle w:val="Normal"/>
        <w:autoSpaceDE w:val="false"/>
        <w:spacing w:lineRule="atLeast" w:line="240"/>
        <w:jc w:val="both"/>
        <w:rPr>
          <w:rFonts w:ascii="Book Antiqua" w:hAnsi="Book Antiqua" w:cs="Book Antiqua"/>
          <w:bCs/>
          <w:sz w:val="22"/>
        </w:rPr>
      </w:pPr>
      <w:r>
        <w:rPr>
          <w:rFonts w:cs="Book Antiqua" w:ascii="Book Antiqua" w:hAnsi="Book Antiqua"/>
          <w:bCs/>
          <w:sz w:val="22"/>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t>Article 14 - Durée, suivi &amp; rendez-vous, révision</w:t>
      </w:r>
    </w:p>
    <w:p>
      <w:pPr>
        <w:pStyle w:val="Normal"/>
        <w:autoSpaceDE w:val="false"/>
        <w:spacing w:lineRule="atLeast" w:line="240"/>
        <w:jc w:val="both"/>
        <w:rPr>
          <w:rFonts w:ascii="Book Antiqua" w:hAnsi="Book Antiqua" w:cs="Book Antiqua"/>
          <w:b/>
          <w:b/>
          <w:bCs/>
          <w:sz w:val="22"/>
          <w:u w:val="single"/>
        </w:rPr>
      </w:pPr>
      <w:r>
        <w:rPr>
          <w:rFonts w:cs="Book Antiqua" w:ascii="Book Antiqua" w:hAnsi="Book Antiqua"/>
          <w:b/>
          <w:bCs/>
          <w:sz w:val="22"/>
          <w:u w:val="single"/>
        </w:rPr>
      </w:r>
    </w:p>
    <w:p>
      <w:pPr>
        <w:pStyle w:val="Normal"/>
        <w:autoSpaceDE w:val="false"/>
        <w:spacing w:lineRule="atLeast" w:line="240"/>
        <w:ind w:firstLine="357"/>
        <w:jc w:val="both"/>
        <w:rPr>
          <w:rFonts w:ascii="Book Antiqua" w:hAnsi="Book Antiqua" w:cs="Book Antiqua"/>
          <w:sz w:val="22"/>
          <w:u w:val="single"/>
        </w:rPr>
      </w:pPr>
      <w:r>
        <w:rPr>
          <w:rFonts w:cs="Book Antiqua" w:ascii="Book Antiqua" w:hAnsi="Book Antiqua"/>
          <w:sz w:val="22"/>
          <w:u w:val="single"/>
        </w:rPr>
        <w:t>Durée :</w:t>
      </w:r>
    </w:p>
    <w:p>
      <w:pPr>
        <w:pStyle w:val="Heading1"/>
        <w:numPr>
          <w:ilvl w:val="0"/>
          <w:numId w:val="1"/>
        </w:numPr>
        <w:spacing w:before="0" w:after="0"/>
        <w:rPr>
          <w:rFonts w:ascii="Book Antiqua" w:hAnsi="Book Antiqua" w:cs="Book Antiqua"/>
          <w:caps/>
          <w:color w:val="FF00FF"/>
          <w:sz w:val="22"/>
          <w:u w:val="single"/>
        </w:rPr>
      </w:pPr>
      <w:r>
        <w:rPr>
          <w:rFonts w:cs="Book Antiqua" w:ascii="Book Antiqua" w:hAnsi="Book Antiqua"/>
          <w:caps/>
          <w:color w:val="FF00FF"/>
          <w:sz w:val="22"/>
          <w:u w:val="single"/>
        </w:rPr>
      </w:r>
    </w:p>
    <w:p>
      <w:pPr>
        <w:pStyle w:val="Texte"/>
        <w:tabs>
          <w:tab w:val="left" w:pos="-1099" w:leader="none"/>
          <w:tab w:val="left" w:pos="-720" w:leader="none"/>
          <w:tab w:val="left" w:pos="0" w:leader="none"/>
          <w:tab w:val="left" w:pos="2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Book Antiqua" w:hAnsi="Book Antiqua" w:eastAsia="Times New Roman" w:cs="Times New Roman"/>
        </w:rPr>
      </w:pPr>
      <w:r>
        <w:rPr>
          <w:rFonts w:eastAsia="Times New Roman" w:cs="Times New Roman" w:ascii="Book Antiqua" w:hAnsi="Book Antiqua"/>
        </w:rPr>
        <w:t>Le présent accord est conclu pour une période de 12 mois s’étendant du 1</w:t>
      </w:r>
      <w:r>
        <w:rPr>
          <w:rFonts w:eastAsia="Times New Roman" w:cs="Times New Roman" w:ascii="Book Antiqua" w:hAnsi="Book Antiqua"/>
          <w:vertAlign w:val="superscript"/>
        </w:rPr>
        <w:t>er</w:t>
      </w:r>
      <w:r>
        <w:rPr>
          <w:rFonts w:eastAsia="Times New Roman" w:cs="Times New Roman" w:ascii="Book Antiqua" w:hAnsi="Book Antiqua"/>
        </w:rPr>
        <w:t xml:space="preserve"> juillet 2021 au 30 juin 2022. Il produira par conséquent ses effets à compter du bulletin de paie de juillet 2021 (versement début août 2021).</w:t>
      </w:r>
    </w:p>
    <w:p>
      <w:pPr>
        <w:pStyle w:val="Texte"/>
        <w:tabs>
          <w:tab w:val="left" w:pos="-1099" w:leader="none"/>
          <w:tab w:val="left" w:pos="-720" w:leader="none"/>
          <w:tab w:val="left" w:pos="0" w:leader="none"/>
          <w:tab w:val="left" w:pos="2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Book Antiqua" w:hAnsi="Book Antiqua" w:eastAsia="Times New Roman" w:cs="Times New Roman"/>
        </w:rPr>
      </w:pPr>
      <w:r>
        <w:rPr>
          <w:rFonts w:eastAsia="Times New Roman" w:cs="Times New Roman" w:ascii="Book Antiqua" w:hAnsi="Book Antiqua"/>
        </w:rPr>
      </w:r>
    </w:p>
    <w:p>
      <w:pPr>
        <w:pStyle w:val="Normal"/>
        <w:tabs>
          <w:tab w:val="left" w:pos="-1099" w:leader="none"/>
          <w:tab w:val="left" w:pos="-720" w:leader="none"/>
          <w:tab w:val="left" w:pos="0" w:leader="none"/>
          <w:tab w:val="left" w:pos="31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Book Antiqua" w:hAnsi="Book Antiqua" w:cs="Times New Roman"/>
          <w:sz w:val="22"/>
        </w:rPr>
      </w:pPr>
      <w:r>
        <w:rPr>
          <w:rFonts w:cs="Times New Roman" w:ascii="Book Antiqua" w:hAnsi="Book Antiqua"/>
          <w:sz w:val="22"/>
        </w:rPr>
        <w:t>Le terme de l’accord à durée déterminée lui fait cesser ses effets de plein droit à l’échéance du terme conformément à l’article L. 2222-4 du Code du travail.</w:t>
      </w:r>
    </w:p>
    <w:p>
      <w:pPr>
        <w:pStyle w:val="Texte"/>
        <w:tabs>
          <w:tab w:val="left" w:pos="-1099" w:leader="none"/>
          <w:tab w:val="left" w:pos="-720" w:leader="none"/>
          <w:tab w:val="left" w:pos="0" w:leader="none"/>
          <w:tab w:val="left" w:pos="2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Book Antiqua" w:hAnsi="Book Antiqua" w:eastAsia="Times New Roman" w:cs="Times New Roman"/>
          <w:sz w:val="22"/>
        </w:rPr>
      </w:pPr>
      <w:r>
        <w:rPr>
          <w:rFonts w:eastAsia="Times New Roman" w:cs="Times New Roman" w:ascii="Book Antiqua" w:hAnsi="Book Antiqua"/>
          <w:sz w:val="22"/>
        </w:rPr>
      </w:r>
    </w:p>
    <w:p>
      <w:pPr>
        <w:pStyle w:val="Normal"/>
        <w:autoSpaceDE w:val="false"/>
        <w:spacing w:lineRule="atLeast" w:line="240"/>
        <w:ind w:firstLine="357"/>
        <w:jc w:val="both"/>
        <w:rPr/>
      </w:pPr>
      <w:r>
        <w:rPr>
          <w:rFonts w:cs="Book Antiqua" w:ascii="Book Antiqua" w:hAnsi="Book Antiqua"/>
          <w:sz w:val="22"/>
          <w:u w:val="single"/>
        </w:rPr>
        <w:t>Suivi et rendez-vous :</w:t>
      </w:r>
    </w:p>
    <w:p>
      <w:pPr>
        <w:pStyle w:val="Normal"/>
        <w:autoSpaceDE w:val="false"/>
        <w:spacing w:lineRule="atLeast" w:line="240"/>
        <w:ind w:firstLine="357"/>
        <w:jc w:val="both"/>
        <w:rPr>
          <w:rFonts w:ascii="Book Antiqua" w:hAnsi="Book Antiqua" w:cs="Book Antiqua"/>
          <w:sz w:val="22"/>
          <w:u w:val="single"/>
        </w:rPr>
      </w:pPr>
      <w:r>
        <w:rPr>
          <w:rFonts w:cs="Book Antiqua" w:ascii="Book Antiqua" w:hAnsi="Book Antiqua"/>
          <w:sz w:val="22"/>
          <w:u w:val="single"/>
        </w:rPr>
      </w:r>
    </w:p>
    <w:p>
      <w:pPr>
        <w:pStyle w:val="Normal"/>
        <w:jc w:val="both"/>
        <w:rPr>
          <w:rFonts w:ascii="Book Antiqua" w:hAnsi="Book Antiqua" w:cs="Book Antiqua"/>
          <w:sz w:val="22"/>
        </w:rPr>
      </w:pPr>
      <w:r>
        <w:rPr>
          <w:rFonts w:cs="Book Antiqua" w:ascii="Book Antiqua" w:hAnsi="Book Antiqua"/>
          <w:sz w:val="22"/>
        </w:rPr>
        <w:t>Le suivi de l’accord est réalisé par la Direction et l’élu du personnel signataire qui conviennent de se rencontrer au plus tard le 31 décembre 2021 pour décider s'il y a lieu d'en actualiser certaines dispositions.</w:t>
      </w:r>
    </w:p>
    <w:p>
      <w:pPr>
        <w:pStyle w:val="Normal"/>
        <w:autoSpaceDE w:val="false"/>
        <w:spacing w:lineRule="atLeast" w:line="240"/>
        <w:jc w:val="both"/>
        <w:rPr>
          <w:rFonts w:ascii="Book Antiqua" w:hAnsi="Book Antiqua" w:cs="Book Antiqua"/>
          <w:sz w:val="22"/>
          <w:u w:val="single"/>
        </w:rPr>
      </w:pPr>
      <w:r>
        <w:rPr>
          <w:rFonts w:cs="Book Antiqua" w:ascii="Book Antiqua" w:hAnsi="Book Antiqua"/>
          <w:sz w:val="22"/>
          <w:u w:val="single"/>
        </w:rPr>
      </w:r>
    </w:p>
    <w:p>
      <w:pPr>
        <w:pStyle w:val="Normal"/>
        <w:autoSpaceDE w:val="false"/>
        <w:spacing w:lineRule="atLeast" w:line="240"/>
        <w:ind w:firstLine="357"/>
        <w:jc w:val="both"/>
        <w:rPr>
          <w:rFonts w:ascii="Book Antiqua" w:hAnsi="Book Antiqua" w:cs="Book Antiqua"/>
          <w:sz w:val="22"/>
          <w:u w:val="single"/>
        </w:rPr>
      </w:pPr>
      <w:r>
        <w:rPr>
          <w:rFonts w:cs="Book Antiqua" w:ascii="Book Antiqua" w:hAnsi="Book Antiqua"/>
          <w:sz w:val="22"/>
          <w:u w:val="single"/>
        </w:rPr>
        <w:t>Révision :</w:t>
      </w:r>
    </w:p>
    <w:p>
      <w:pPr>
        <w:pStyle w:val="Texte"/>
        <w:tabs>
          <w:tab w:val="left" w:pos="-1099" w:leader="none"/>
          <w:tab w:val="left" w:pos="-720" w:leader="none"/>
          <w:tab w:val="left" w:pos="0" w:leader="none"/>
          <w:tab w:val="left" w:pos="2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Book Antiqua" w:hAnsi="Book Antiqua" w:eastAsia="Times New Roman" w:cs="Times New Roman"/>
          <w:sz w:val="22"/>
          <w:u w:val="single"/>
        </w:rPr>
      </w:pPr>
      <w:r>
        <w:rPr>
          <w:rFonts w:eastAsia="Times New Roman" w:cs="Times New Roman" w:ascii="Book Antiqua" w:hAnsi="Book Antiqua"/>
          <w:sz w:val="22"/>
          <w:u w:val="single"/>
        </w:rPr>
      </w:r>
    </w:p>
    <w:p>
      <w:pPr>
        <w:pStyle w:val="Normal"/>
        <w:jc w:val="both"/>
        <w:rPr>
          <w:rFonts w:ascii="Book Antiqua" w:hAnsi="Book Antiqua" w:cs="Book Antiqua"/>
          <w:sz w:val="22"/>
          <w:szCs w:val="22"/>
        </w:rPr>
      </w:pPr>
      <w:r>
        <w:rPr>
          <w:rFonts w:cs="Book Antiqua" w:ascii="Book Antiqua" w:hAnsi="Book Antiqua"/>
          <w:sz w:val="22"/>
          <w:szCs w:val="22"/>
        </w:rPr>
        <w:t>Chaque partie pourra demander la révision de tout ou partie du présent accord selon les modalités suivantes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 présent accord pourra être révisé, en tout ou en partie, selon les dispositions légales en vigueur, par une demande écrite (lettre recommandée avec accusé de réception ou contre décharge, courriel…) de son auteur comportant l’indication des dispositions dont la révision est sollicitée, et les propositions de remplacement.</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Dans un délai maximum de trois (3) mois, les parties ouvriront une négociation. Les dispositions de l'accord dont la révision est demandée resteront en vigueur </w:t>
      </w:r>
      <w:r>
        <w:rPr>
          <w:rFonts w:cs="Tahoma" w:ascii="Book Antiqua" w:hAnsi="Book Antiqua"/>
          <w:sz w:val="22"/>
          <w:szCs w:val="22"/>
        </w:rPr>
        <w:t>jusqu’à la prise d’effet d’un éventuel avenant.</w:t>
      </w:r>
    </w:p>
    <w:p>
      <w:pPr>
        <w:pStyle w:val="Normal"/>
        <w:tabs>
          <w:tab w:val="left" w:pos="-1099" w:leader="none"/>
          <w:tab w:val="left" w:pos="-720" w:leader="none"/>
          <w:tab w:val="left" w:pos="0" w:leader="none"/>
          <w:tab w:val="left" w:pos="2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Book Antiqua" w:hAnsi="Book Antiqua" w:cs="Tahoma"/>
          <w:sz w:val="22"/>
          <w:szCs w:val="22"/>
        </w:rPr>
      </w:pPr>
      <w:r>
        <w:rPr>
          <w:rFonts w:cs="Tahoma" w:ascii="Book Antiqua" w:hAnsi="Book Antiqua"/>
          <w:sz w:val="22"/>
          <w:szCs w:val="22"/>
        </w:rPr>
      </w:r>
    </w:p>
    <w:p>
      <w:pPr>
        <w:pStyle w:val="Normal"/>
        <w:tabs>
          <w:tab w:val="left" w:pos="-1099" w:leader="none"/>
          <w:tab w:val="left" w:pos="-720" w:leader="none"/>
          <w:tab w:val="left" w:pos="0" w:leader="none"/>
          <w:tab w:val="left" w:pos="260" w:leader="none"/>
          <w:tab w:val="left" w:pos="543"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283"/>
        <w:jc w:val="both"/>
        <w:rPr>
          <w:rFonts w:ascii="Book Antiqua" w:hAnsi="Book Antiqua" w:cs="Tahoma"/>
          <w:sz w:val="22"/>
          <w:szCs w:val="22"/>
        </w:rPr>
      </w:pPr>
      <w:r>
        <w:rPr>
          <w:rFonts w:cs="Tahoma" w:ascii="Book Antiqua" w:hAnsi="Book Antiqua"/>
          <w:sz w:val="22"/>
          <w:szCs w:val="22"/>
        </w:rPr>
        <w:tab/>
        <w:t>Les dispositions de l’avenant portant révision, se substituent de plein droit à celles de l’accord qu’elles modifient, soit à la date expressément prévue soit à défaut, à partir du jour qui suit son dépôt auprès du service compétent.</w:t>
      </w:r>
    </w:p>
    <w:p>
      <w:pPr>
        <w:pStyle w:val="Normal"/>
        <w:tabs>
          <w:tab w:val="left" w:pos="-1099" w:leader="none"/>
          <w:tab w:val="left" w:pos="-720" w:leader="none"/>
          <w:tab w:val="left" w:pos="0" w:leader="none"/>
          <w:tab w:val="left" w:pos="260" w:leader="none"/>
          <w:tab w:val="left" w:pos="543"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1099" w:leader="none"/>
          <w:tab w:val="left" w:pos="-720" w:leader="none"/>
          <w:tab w:val="left" w:pos="0" w:leader="none"/>
          <w:tab w:val="left" w:pos="260" w:leader="none"/>
          <w:tab w:val="left" w:pos="543"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Book Antiqua" w:hAnsi="Book Antiqua" w:cs="Book Antiqua"/>
          <w:sz w:val="22"/>
        </w:rPr>
      </w:pPr>
      <w:r>
        <w:rPr>
          <w:rFonts w:cs="Book Antiqua" w:ascii="Book Antiqua" w:hAnsi="Book Antiqua"/>
          <w:sz w:val="22"/>
        </w:rPr>
      </w:r>
    </w:p>
    <w:p>
      <w:pPr>
        <w:pStyle w:val="Normal"/>
        <w:autoSpaceDE w:val="false"/>
        <w:spacing w:lineRule="atLeast" w:line="240"/>
        <w:jc w:val="both"/>
        <w:rPr/>
      </w:pPr>
      <w:r>
        <w:rPr>
          <w:rFonts w:cs="Book Antiqua" w:ascii="Book Antiqua" w:hAnsi="Book Antiqua"/>
          <w:b/>
          <w:bCs/>
          <w:sz w:val="22"/>
          <w:u w:val="single"/>
        </w:rPr>
        <w:t>Article 15 - Publicité</w:t>
      </w:r>
    </w:p>
    <w:p>
      <w:pPr>
        <w:pStyle w:val="Normal"/>
        <w:tabs>
          <w:tab w:val="left" w:pos="-1099" w:leader="none"/>
          <w:tab w:val="left" w:pos="-720" w:leader="none"/>
          <w:tab w:val="left" w:pos="0" w:leader="none"/>
          <w:tab w:val="left" w:pos="260" w:leader="none"/>
          <w:tab w:val="left" w:pos="543"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Book Antiqua" w:hAnsi="Book Antiqua" w:cs="Book Antiqua"/>
          <w:b/>
          <w:b/>
          <w:bCs/>
          <w:sz w:val="22"/>
          <w:u w:val="single"/>
        </w:rPr>
      </w:pPr>
      <w:r>
        <w:rPr>
          <w:rFonts w:cs="Book Antiqua" w:ascii="Book Antiqua" w:hAnsi="Book Antiqua"/>
          <w:b/>
          <w:bCs/>
          <w:sz w:val="22"/>
          <w:u w:val="single"/>
        </w:rPr>
      </w:r>
    </w:p>
    <w:p>
      <w:pPr>
        <w:pStyle w:val="Normal"/>
        <w:jc w:val="both"/>
        <w:rPr/>
      </w:pPr>
      <w:r>
        <w:rPr>
          <w:rFonts w:cs="Book Antiqua" w:ascii="Book Antiqua" w:hAnsi="Book Antiqua"/>
          <w:sz w:val="22"/>
        </w:rPr>
        <w:t>Le présent accord est déposé sur la plateforme de téléprocédure du ministère du travail, ainsi qu’en un exemplaire au greffe du Conseil des Prud'hommes compétent.</w:t>
      </w:r>
    </w:p>
    <w:p>
      <w:pPr>
        <w:pStyle w:val="Normal"/>
        <w:jc w:val="both"/>
        <w:rPr>
          <w:rFonts w:ascii="Book Antiqua" w:hAnsi="Book Antiqua" w:cs="Book Antiqua"/>
          <w:sz w:val="22"/>
        </w:rPr>
      </w:pPr>
      <w:r>
        <w:rPr>
          <w:rFonts w:cs="Book Antiqua" w:ascii="Book Antiqua" w:hAnsi="Book Antiqua"/>
          <w:sz w:val="22"/>
        </w:rPr>
      </w:r>
    </w:p>
    <w:p>
      <w:pPr>
        <w:pStyle w:val="Normal"/>
        <w:jc w:val="both"/>
        <w:rPr>
          <w:rFonts w:ascii="Book Antiqua" w:hAnsi="Book Antiqua" w:cs="Book Antiqua"/>
          <w:sz w:val="22"/>
        </w:rPr>
      </w:pPr>
      <w:r>
        <w:rPr>
          <w:rFonts w:cs="Book Antiqua" w:ascii="Book Antiqua" w:hAnsi="Book Antiqua"/>
          <w:sz w:val="22"/>
        </w:rPr>
        <w:t>En outre, un exemplaire est établi pour chaque partie signataire.</w:t>
      </w:r>
    </w:p>
    <w:p>
      <w:pPr>
        <w:pStyle w:val="Normal"/>
        <w:jc w:val="both"/>
        <w:rPr>
          <w:rFonts w:ascii="Book Antiqua" w:hAnsi="Book Antiqua" w:cs="Book Antiqua"/>
          <w:sz w:val="22"/>
        </w:rPr>
      </w:pPr>
      <w:r>
        <w:rPr>
          <w:rFonts w:cs="Book Antiqua" w:ascii="Book Antiqua" w:hAnsi="Book Antiqua"/>
          <w:sz w:val="22"/>
        </w:rPr>
      </w:r>
    </w:p>
    <w:p>
      <w:pPr>
        <w:pStyle w:val="Normal"/>
        <w:jc w:val="both"/>
        <w:rPr>
          <w:rFonts w:ascii="Book Antiqua" w:hAnsi="Book Antiqua" w:cs="Book Antiqua"/>
          <w:sz w:val="22"/>
        </w:rPr>
      </w:pPr>
      <w:r>
        <w:rPr>
          <w:rFonts w:cs="Book Antiqua" w:ascii="Book Antiqua" w:hAnsi="Book Antiqua"/>
          <w:sz w:val="22"/>
        </w:rPr>
        <w:t>Mention de cet accord sera faite sur les panneaux réservés à la direction pour sa communication avec le personnel.</w:t>
      </w:r>
    </w:p>
    <w:p>
      <w:pPr>
        <w:pStyle w:val="Normal"/>
        <w:jc w:val="both"/>
        <w:rPr>
          <w:rFonts w:ascii="Book Antiqua" w:hAnsi="Book Antiqua" w:cs="Book Antiqua"/>
          <w:color w:val="FF00FF"/>
          <w:sz w:val="22"/>
        </w:rPr>
      </w:pPr>
      <w:r>
        <w:rPr>
          <w:rFonts w:cs="Book Antiqua" w:ascii="Book Antiqua" w:hAnsi="Book Antiqua"/>
          <w:color w:val="FF00FF"/>
          <w:sz w:val="22"/>
        </w:rPr>
      </w:r>
    </w:p>
    <w:p>
      <w:pPr>
        <w:pStyle w:val="TextBody"/>
        <w:spacing w:before="0" w:after="0"/>
        <w:ind w:left="0" w:hanging="0"/>
        <w:rPr/>
      </w:pPr>
      <w:r>
        <w:rPr>
          <w:rFonts w:cs="Book Antiqua" w:ascii="Book Antiqua" w:hAnsi="Book Antiqua"/>
        </w:rPr>
        <w:t>Fait à SAINT MEMMIE,</w:t>
      </w:r>
    </w:p>
    <w:p>
      <w:pPr>
        <w:pStyle w:val="TextBody"/>
        <w:spacing w:before="0" w:after="0"/>
        <w:ind w:left="0" w:hanging="0"/>
        <w:rPr/>
      </w:pPr>
      <w:r>
        <w:rPr>
          <w:rFonts w:cs="Book Antiqua" w:ascii="Book Antiqua" w:hAnsi="Book Antiqua"/>
        </w:rPr>
        <w:t xml:space="preserve">En 03 exemplaires, </w:t>
      </w:r>
    </w:p>
    <w:p>
      <w:pPr>
        <w:pStyle w:val="TextBody"/>
        <w:spacing w:before="0" w:after="0"/>
        <w:ind w:left="0" w:hanging="0"/>
        <w:rPr>
          <w:rFonts w:ascii="Book Antiqua" w:hAnsi="Book Antiqua" w:cs="Book Antiqua"/>
        </w:rPr>
      </w:pPr>
      <w:r>
        <w:rPr>
          <w:rFonts w:cs="Book Antiqua" w:ascii="Book Antiqua" w:hAnsi="Book Antiqua"/>
        </w:rPr>
        <w:t xml:space="preserve">Le 18 juin 2021.      </w:t>
      </w:r>
    </w:p>
    <w:p>
      <w:pPr>
        <w:pStyle w:val="Normal"/>
        <w:jc w:val="both"/>
        <w:rPr>
          <w:rFonts w:ascii="Book Antiqua" w:hAnsi="Book Antiqua" w:cs="Book Antiqua"/>
          <w:sz w:val="22"/>
        </w:rPr>
      </w:pPr>
      <w:r>
        <w:rPr>
          <w:rFonts w:cs="Book Antiqua" w:ascii="Book Antiqua" w:hAnsi="Book Antiqua"/>
          <w:sz w:val="22"/>
        </w:rPr>
      </w:r>
    </w:p>
    <w:p>
      <w:pPr>
        <w:pStyle w:val="Normal"/>
        <w:jc w:val="both"/>
        <w:rPr/>
      </w:pPr>
      <w:r>
        <w:rPr>
          <w:rFonts w:cs="Book Antiqua" w:ascii="Book Antiqua" w:hAnsi="Book Antiqua"/>
          <w:color w:val="000000"/>
          <w:sz w:val="22"/>
          <w:u w:val="single"/>
        </w:rPr>
        <w:t>Pour la société</w:t>
      </w:r>
      <w:r>
        <w:rPr>
          <w:rFonts w:cs="Book Antiqua" w:ascii="Book Antiqua" w:hAnsi="Book Antiqua"/>
          <w:color w:val="000000"/>
          <w:sz w:val="22"/>
        </w:rPr>
        <w:t>,</w:t>
      </w:r>
    </w:p>
    <w:p>
      <w:pPr>
        <w:pStyle w:val="Normal"/>
        <w:jc w:val="both"/>
        <w:rPr>
          <w:rFonts w:ascii="Book Antiqua" w:hAnsi="Book Antiqua" w:cs="Book Antiqua"/>
          <w:color w:val="000000"/>
          <w:sz w:val="22"/>
        </w:rPr>
      </w:pPr>
      <w:r>
        <w:rPr>
          <w:rFonts w:cs="Book Antiqua" w:ascii="Book Antiqua" w:hAnsi="Book Antiqua"/>
          <w:color w:val="000000"/>
          <w:sz w:val="22"/>
        </w:rPr>
        <w:t>XXX</w:t>
      </w:r>
    </w:p>
    <w:p>
      <w:pPr>
        <w:pStyle w:val="Normal"/>
        <w:jc w:val="both"/>
        <w:rPr>
          <w:rFonts w:ascii="Book Antiqua" w:hAnsi="Book Antiqua" w:cs="Book Antiqua"/>
          <w:color w:val="000000"/>
          <w:sz w:val="22"/>
        </w:rPr>
      </w:pPr>
      <w:r>
        <w:rPr>
          <w:rFonts w:cs="Book Antiqua" w:ascii="Book Antiqua" w:hAnsi="Book Antiqua"/>
          <w:color w:val="000000"/>
          <w:sz w:val="22"/>
        </w:rPr>
        <w:t>Président,</w:t>
      </w:r>
    </w:p>
    <w:p>
      <w:pPr>
        <w:pStyle w:val="Normal"/>
        <w:ind w:right="14" w:hanging="0"/>
        <w:jc w:val="right"/>
        <w:rPr>
          <w:rFonts w:ascii="Book Antiqua" w:hAnsi="Book Antiqua" w:cs="Book Antiqua"/>
          <w:color w:val="000000"/>
          <w:sz w:val="22"/>
        </w:rPr>
      </w:pPr>
      <w:r>
        <w:rPr>
          <w:rFonts w:cs="Book Antiqua" w:ascii="Book Antiqua" w:hAnsi="Book Antiqua"/>
          <w:color w:val="000000"/>
          <w:sz w:val="22"/>
        </w:rPr>
      </w:r>
    </w:p>
    <w:p>
      <w:pPr>
        <w:pStyle w:val="Normal"/>
        <w:ind w:right="14" w:hanging="0"/>
        <w:jc w:val="right"/>
        <w:rPr>
          <w:rFonts w:ascii="Book Antiqua" w:hAnsi="Book Antiqua" w:cs="Book Antiqua"/>
          <w:sz w:val="22"/>
        </w:rPr>
      </w:pPr>
      <w:r>
        <w:rPr>
          <w:rFonts w:cs="Book Antiqua" w:ascii="Book Antiqua" w:hAnsi="Book Antiqua"/>
          <w:sz w:val="22"/>
        </w:rPr>
      </w:r>
    </w:p>
    <w:p>
      <w:pPr>
        <w:pStyle w:val="Normal"/>
        <w:ind w:right="14" w:hanging="0"/>
        <w:jc w:val="right"/>
        <w:rPr>
          <w:rFonts w:ascii="Book Antiqua" w:hAnsi="Book Antiqua" w:cs="Book Antiqua"/>
          <w:sz w:val="22"/>
        </w:rPr>
      </w:pPr>
      <w:r>
        <w:rPr>
          <w:rFonts w:cs="Book Antiqua" w:ascii="Book Antiqua" w:hAnsi="Book Antiqua"/>
          <w:sz w:val="22"/>
        </w:rPr>
      </w:r>
    </w:p>
    <w:p>
      <w:pPr>
        <w:pStyle w:val="Normal"/>
        <w:ind w:right="14" w:hanging="0"/>
        <w:jc w:val="right"/>
        <w:rPr>
          <w:rFonts w:ascii="Book Antiqua" w:hAnsi="Book Antiqua" w:cs="Book Antiqua"/>
          <w:sz w:val="22"/>
        </w:rPr>
      </w:pPr>
      <w:r>
        <w:rPr>
          <w:rFonts w:cs="Book Antiqua" w:ascii="Book Antiqua" w:hAnsi="Book Antiqua"/>
          <w:sz w:val="22"/>
        </w:rPr>
      </w:r>
    </w:p>
    <w:p>
      <w:pPr>
        <w:pStyle w:val="Normal"/>
        <w:ind w:right="14" w:hanging="0"/>
        <w:jc w:val="right"/>
        <w:rPr>
          <w:rFonts w:ascii="Book Antiqua" w:hAnsi="Book Antiqua" w:cs="Book Antiqua"/>
          <w:color w:val="FF00FF"/>
          <w:sz w:val="22"/>
        </w:rPr>
      </w:pPr>
      <w:r>
        <w:rPr>
          <w:rFonts w:cs="Book Antiqua" w:ascii="Book Antiqua" w:hAnsi="Book Antiqua"/>
          <w:sz w:val="22"/>
        </w:rPr>
        <w:t>XXX</w:t>
      </w:r>
    </w:p>
    <w:p>
      <w:pPr>
        <w:pStyle w:val="Normal"/>
        <w:ind w:right="14" w:hanging="0"/>
        <w:jc w:val="right"/>
        <w:rPr>
          <w:rFonts w:ascii="Book Antiqua" w:hAnsi="Book Antiqua" w:cs="Book Antiqua"/>
          <w:color w:val="000000"/>
          <w:sz w:val="22"/>
        </w:rPr>
      </w:pPr>
      <w:r>
        <w:rPr>
          <w:rFonts w:cs="Book Antiqua" w:ascii="Book Antiqua" w:hAnsi="Book Antiqua"/>
          <w:color w:val="000000"/>
          <w:sz w:val="22"/>
        </w:rPr>
        <w:t>Membre titulaire unique de la délégation du personnel du Comité Social et Economique, non mandaté</w:t>
      </w:r>
    </w:p>
    <w:p>
      <w:pPr>
        <w:pStyle w:val="Normal"/>
        <w:rPr>
          <w:rFonts w:ascii="Book Antiqua" w:hAnsi="Book Antiqua" w:cs="Book Antiqua"/>
          <w:color w:val="000000"/>
          <w:sz w:val="22"/>
        </w:rPr>
      </w:pPr>
      <w:r>
        <w:rPr>
          <w:rFonts w:cs="Book Antiqua" w:ascii="Book Antiqua" w:hAnsi="Book Antiqua"/>
          <w:color w:val="000000"/>
          <w:sz w:val="22"/>
        </w:rPr>
      </w:r>
    </w:p>
    <w:sectPr>
      <w:footerReference w:type="default" r:id="rId2"/>
      <w:type w:val="nextPage"/>
      <w:pgSz w:w="11906" w:h="16838"/>
      <w:pgMar w:left="1797" w:right="1797" w:header="0" w:top="1560" w:footer="454" w:bottom="993"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omic Sans MS">
    <w:charset w:val="00"/>
    <w:family w:val="script"/>
    <w:pitch w:val="variable"/>
  </w:font>
  <w:font w:name="Calibri">
    <w:charset w:val="00"/>
    <w:family w:val="swiss"/>
    <w:pitch w:val="variable"/>
  </w:font>
  <w:font w:name="Book Antiqu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lang w:val="de-DE"/>
      </w:rPr>
    </w:pPr>
    <w:r>
      <w:rPr>
        <w:lang w:val="de-DE"/>
      </w:rPr>
    </w:r>
    <w:r>
      <mc:AlternateContent>
        <mc:Choice Requires="wps">
          <w:drawing>
            <wp:anchor behindDoc="0" distT="0" distB="0" distL="0" distR="0" simplePos="0" locked="0" layoutInCell="1" allowOverlap="1" relativeHeight="11">
              <wp:simplePos x="0" y="0"/>
              <wp:positionH relativeFrom="page">
                <wp:posOffset>5944235</wp:posOffset>
              </wp:positionH>
              <wp:positionV relativeFrom="paragraph">
                <wp:posOffset>-10160</wp:posOffset>
              </wp:positionV>
              <wp:extent cx="366395"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366395" cy="147955"/>
                      </a:xfrm>
                      <a:prstGeom prst="rect"/>
                      <a:solidFill>
                        <a:srgbClr val="FFFFFF">
                          <a:alpha val="0"/>
                        </a:srgbClr>
                      </a:solidFill>
                    </wps:spPr>
                    <wps:txbx>
                      <w:txbxContent>
                        <w:p>
                          <w:pPr>
                            <w:pStyle w:val="Footer"/>
                            <w:rPr>
                              <w:rStyle w:val="PageNumber"/>
                              <w:rFonts w:ascii="Book Antiqua" w:hAnsi="Book Antiqua" w:cs="Book Antiqua"/>
                            </w:rPr>
                          </w:pPr>
                          <w:r>
                            <w:rPr>
                              <w:rStyle w:val="PageNumber"/>
                              <w:rFonts w:cs="Book Antiqua" w:ascii="Book Antiqua" w:hAnsi="Book Antiqua"/>
                            </w:rPr>
                            <w:fldChar w:fldCharType="begin"/>
                          </w:r>
                          <w:r>
                            <w:instrText> PAGE </w:instrText>
                          </w:r>
                          <w:r>
                            <w:fldChar w:fldCharType="separate"/>
                          </w:r>
                          <w:r>
                            <w:t>10</w:t>
                          </w:r>
                          <w:r>
                            <w:fldChar w:fldCharType="end"/>
                          </w:r>
                          <w:r>
                            <w:rPr>
                              <w:rStyle w:val="PageNumber"/>
                              <w:rFonts w:cs="Book Antiqua" w:ascii="Book Antiqua" w:hAnsi="Book Antiqua"/>
                            </w:rPr>
                            <w:t>/10</w:t>
                          </w:r>
                        </w:p>
                      </w:txbxContent>
                    </wps:txbx>
                    <wps:bodyPr anchor="t">
                      <a:noAutofit/>
                    </wps:bodyPr>
                  </wps:wsp>
                </a:graphicData>
              </a:graphic>
            </wp:anchor>
          </w:drawing>
        </mc:Choice>
        <mc:Fallback>
          <w:pict>
            <v:rect fillcolor="#FFFFFF" style="position:absolute;rotation:0;width:28.85pt;height:11.65pt;margin-top:-0.8pt;mso-position-vertical-relative:text;margin-left:468.05pt;mso-position-horizontal-relative:page">
              <v:fill opacity="0f"/>
              <v:textbox>
                <w:txbxContent>
                  <w:p>
                    <w:pPr>
                      <w:pStyle w:val="Footer"/>
                      <w:rPr>
                        <w:rStyle w:val="PageNumber"/>
                        <w:rFonts w:ascii="Book Antiqua" w:hAnsi="Book Antiqua" w:cs="Book Antiqua"/>
                      </w:rPr>
                    </w:pPr>
                    <w:r>
                      <w:rPr>
                        <w:rStyle w:val="PageNumber"/>
                        <w:rFonts w:cs="Book Antiqua" w:ascii="Book Antiqua" w:hAnsi="Book Antiqua"/>
                      </w:rPr>
                      <w:fldChar w:fldCharType="begin"/>
                    </w:r>
                    <w:r>
                      <w:instrText> PAGE </w:instrText>
                    </w:r>
                    <w:r>
                      <w:fldChar w:fldCharType="separate"/>
                    </w:r>
                    <w:r>
                      <w:t>10</w:t>
                    </w:r>
                    <w:r>
                      <w:fldChar w:fldCharType="end"/>
                    </w:r>
                    <w:r>
                      <w:rPr>
                        <w:rStyle w:val="PageNumber"/>
                        <w:rFonts w:cs="Book Antiqua" w:ascii="Book Antiqua" w:hAnsi="Book Antiqua"/>
                      </w:rPr>
                      <w:t>/10</w:t>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sz w:val="22"/>
        <w:rFonts w:cs="Symbol"/>
      </w:rPr>
    </w:lvl>
  </w:abstractNum>
  <w:abstractNum w:abstractNumId="3">
    <w:lvl w:ilvl="0">
      <w:start w:val="1"/>
      <w:numFmt w:val="bullet"/>
      <w:lvlText w:val="-"/>
      <w:lvlJc w:val="left"/>
      <w:pPr>
        <w:tabs>
          <w:tab w:val="num" w:pos="720"/>
        </w:tabs>
        <w:ind w:left="720" w:hanging="360"/>
      </w:pPr>
      <w:rPr>
        <w:rFonts w:ascii="Times New Roman" w:hAnsi="Times New Roman" w:cs="Times New Roman" w:hint="default"/>
        <w:sz w:val="22"/>
        <w:rFonts w:cs="Times New Roman"/>
      </w:rPr>
    </w:lvl>
  </w:abstractNum>
  <w:abstractNum w:abstractNumId="4">
    <w:lvl w:ilvl="0">
      <w:start w:val="2"/>
      <w:numFmt w:val="bullet"/>
      <w:lvlText w:val="-"/>
      <w:lvlJc w:val="left"/>
      <w:pPr>
        <w:ind w:left="720" w:hanging="360"/>
      </w:pPr>
      <w:rPr>
        <w:rFonts w:ascii="Times New Roman" w:hAnsi="Times New Roman" w:cs="Times New Roman" w:hint="default"/>
        <w:sz w:val="22"/>
        <w:rFonts w:cs="Times New Roman"/>
      </w:rPr>
    </w:lvl>
  </w:abstractNum>
  <w:abstractNum w:abstractNumId="5">
    <w:lvl w:ilvl="0">
      <w:numFmt w:val="bullet"/>
      <w:lvlText w:val="-"/>
      <w:lvlJc w:val="left"/>
      <w:pPr>
        <w:tabs>
          <w:tab w:val="num" w:pos="717"/>
        </w:tabs>
        <w:ind w:left="717" w:hanging="360"/>
      </w:pPr>
      <w:rPr>
        <w:rFonts w:ascii="Times New Roman" w:hAnsi="Times New Roman" w:cs="Times New Roman" w:hint="default"/>
        <w:sz w:val="22"/>
        <w:szCs w:val="22"/>
        <w:rFonts w:cs="Times New Roman"/>
        <w:color w:val="000000"/>
      </w:rPr>
    </w:lvl>
  </w:abstractNum>
  <w:abstractNum w:abstractNumId="6">
    <w:lvl w:ilvl="0">
      <w:numFmt w:val="bullet"/>
      <w:lvlText w:val=""/>
      <w:lvlJc w:val="left"/>
      <w:pPr>
        <w:tabs>
          <w:tab w:val="num" w:pos="427"/>
        </w:tabs>
        <w:ind w:left="427" w:hanging="360"/>
      </w:pPr>
      <w:rPr>
        <w:rFonts w:ascii="Symbol" w:hAnsi="Symbol" w:cs="Symbol" w:hint="default"/>
        <w:rFonts w:cs="Tahoma"/>
      </w:rPr>
    </w:lvl>
    <w:lvl w:ilvl="1">
      <w:start w:val="2005"/>
      <w:numFmt w:val="bullet"/>
      <w:lvlText w:val="-"/>
      <w:lvlJc w:val="left"/>
      <w:pPr>
        <w:tabs>
          <w:tab w:val="num" w:pos="1147"/>
        </w:tabs>
        <w:ind w:left="1147" w:hanging="360"/>
      </w:pPr>
      <w:rPr>
        <w:rFonts w:ascii="Times New Roman" w:hAnsi="Times New Roman" w:cs="Times New Roman" w:hint="default"/>
        <w:rFonts w:cs="Times New Roman"/>
      </w:rPr>
    </w:lvl>
    <w:lvl w:ilvl="2">
      <w:start w:val="1"/>
      <w:numFmt w:val="bullet"/>
      <w:lvlText w:val=""/>
      <w:lvlJc w:val="left"/>
      <w:pPr>
        <w:tabs>
          <w:tab w:val="num" w:pos="1867"/>
        </w:tabs>
        <w:ind w:left="1867" w:hanging="360"/>
      </w:pPr>
      <w:rPr>
        <w:rFonts w:ascii="Wingdings" w:hAnsi="Wingdings" w:cs="Wingdings" w:hint="default"/>
        <w:rFonts w:cs="Wingdings"/>
      </w:rPr>
    </w:lvl>
    <w:lvl w:ilvl="3">
      <w:start w:val="1"/>
      <w:numFmt w:val="bullet"/>
      <w:lvlText w:val=""/>
      <w:lvlJc w:val="left"/>
      <w:pPr>
        <w:tabs>
          <w:tab w:val="num" w:pos="2587"/>
        </w:tabs>
        <w:ind w:left="2587" w:hanging="360"/>
      </w:pPr>
      <w:rPr>
        <w:rFonts w:ascii="Symbol" w:hAnsi="Symbol" w:cs="Symbol" w:hint="default"/>
        <w:rFonts w:cs="Symbol"/>
      </w:rPr>
    </w:lvl>
    <w:lvl w:ilvl="4">
      <w:start w:val="1"/>
      <w:numFmt w:val="bullet"/>
      <w:lvlText w:val="o"/>
      <w:lvlJc w:val="left"/>
      <w:pPr>
        <w:tabs>
          <w:tab w:val="num" w:pos="3307"/>
        </w:tabs>
        <w:ind w:left="3307" w:hanging="360"/>
      </w:pPr>
      <w:rPr>
        <w:rFonts w:ascii="Courier New" w:hAnsi="Courier New" w:cs="Courier New" w:hint="default"/>
        <w:rFonts w:cs="Courier New"/>
      </w:rPr>
    </w:lvl>
    <w:lvl w:ilvl="5">
      <w:start w:val="1"/>
      <w:numFmt w:val="bullet"/>
      <w:lvlText w:val=""/>
      <w:lvlJc w:val="left"/>
      <w:pPr>
        <w:tabs>
          <w:tab w:val="num" w:pos="4027"/>
        </w:tabs>
        <w:ind w:left="4027" w:hanging="360"/>
      </w:pPr>
      <w:rPr>
        <w:rFonts w:ascii="Wingdings" w:hAnsi="Wingdings" w:cs="Wingdings" w:hint="default"/>
        <w:rFonts w:cs="Wingdings"/>
      </w:rPr>
    </w:lvl>
    <w:lvl w:ilvl="6">
      <w:start w:val="1"/>
      <w:numFmt w:val="bullet"/>
      <w:lvlText w:val=""/>
      <w:lvlJc w:val="left"/>
      <w:pPr>
        <w:tabs>
          <w:tab w:val="num" w:pos="4747"/>
        </w:tabs>
        <w:ind w:left="4747" w:hanging="360"/>
      </w:pPr>
      <w:rPr>
        <w:rFonts w:ascii="Symbol" w:hAnsi="Symbol" w:cs="Symbol" w:hint="default"/>
        <w:rFonts w:cs="Symbol"/>
      </w:rPr>
    </w:lvl>
    <w:lvl w:ilvl="7">
      <w:start w:val="1"/>
      <w:numFmt w:val="bullet"/>
      <w:lvlText w:val="o"/>
      <w:lvlJc w:val="left"/>
      <w:pPr>
        <w:tabs>
          <w:tab w:val="num" w:pos="5467"/>
        </w:tabs>
        <w:ind w:left="5467" w:hanging="360"/>
      </w:pPr>
      <w:rPr>
        <w:rFonts w:ascii="Courier New" w:hAnsi="Courier New" w:cs="Courier New" w:hint="default"/>
        <w:rFonts w:cs="Courier New"/>
      </w:rPr>
    </w:lvl>
    <w:lvl w:ilvl="8">
      <w:start w:val="1"/>
      <w:numFmt w:val="bullet"/>
      <w:lvlText w:val=""/>
      <w:lvlJc w:val="left"/>
      <w:pPr>
        <w:tabs>
          <w:tab w:val="num" w:pos="6187"/>
        </w:tabs>
        <w:ind w:left="6187" w:hanging="360"/>
      </w:pPr>
      <w:rPr>
        <w:rFonts w:ascii="Wingdings" w:hAnsi="Wingdings" w:cs="Wingdings" w:hint="default"/>
        <w:rFonts w:cs="Wingdings"/>
      </w:r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357"/>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Arial" w:hAnsi="Arial" w:eastAsia="Times New Roman" w:cs="Arial"/>
      <w:color w:val="auto"/>
      <w:sz w:val="20"/>
      <w:szCs w:val="20"/>
      <w:lang w:val="fr-FR" w:bidi="ar-SA" w:eastAsia="zh-CN"/>
    </w:rPr>
  </w:style>
  <w:style w:type="paragraph" w:styleId="Heading1">
    <w:name w:val="Heading 1"/>
    <w:basedOn w:val="Normal"/>
    <w:next w:val="Normal"/>
    <w:qFormat/>
    <w:pPr>
      <w:keepNext w:val="true"/>
      <w:numPr>
        <w:ilvl w:val="0"/>
        <w:numId w:val="1"/>
      </w:numPr>
      <w:spacing w:before="240" w:after="60"/>
      <w:outlineLvl w:val="0"/>
    </w:pPr>
    <w:rPr>
      <w:b/>
      <w:bCs/>
      <w:sz w:val="28"/>
      <w:szCs w:val="28"/>
    </w:rPr>
  </w:style>
  <w:style w:type="paragraph" w:styleId="Heading2">
    <w:name w:val="Heading 2"/>
    <w:basedOn w:val="Normal"/>
    <w:next w:val="Normal"/>
    <w:qFormat/>
    <w:pPr>
      <w:keepNext w:val="true"/>
      <w:numPr>
        <w:ilvl w:val="1"/>
        <w:numId w:val="1"/>
      </w:numPr>
      <w:spacing w:before="240" w:after="60"/>
      <w:outlineLvl w:val="1"/>
    </w:pPr>
    <w:rPr>
      <w:b/>
      <w:bCs/>
      <w:i/>
      <w:iCs/>
      <w:sz w:val="24"/>
      <w:szCs w:val="24"/>
    </w:rPr>
  </w:style>
  <w:style w:type="paragraph" w:styleId="Heading3">
    <w:name w:val="Heading 3"/>
    <w:basedOn w:val="Normal"/>
    <w:next w:val="Normal"/>
    <w:qFormat/>
    <w:pPr>
      <w:keepNext w:val="true"/>
      <w:numPr>
        <w:ilvl w:val="2"/>
        <w:numId w:val="1"/>
      </w:numPr>
      <w:spacing w:before="240" w:after="60"/>
      <w:outlineLvl w:val="2"/>
    </w:pPr>
    <w:rPr>
      <w:sz w:val="24"/>
      <w:szCs w:val="24"/>
    </w:rPr>
  </w:style>
  <w:style w:type="paragraph" w:styleId="Heading4">
    <w:name w:val="Heading 4"/>
    <w:basedOn w:val="Normal"/>
    <w:next w:val="Normal"/>
    <w:qFormat/>
    <w:pPr>
      <w:keepNext w:val="true"/>
      <w:numPr>
        <w:ilvl w:val="3"/>
        <w:numId w:val="1"/>
      </w:numPr>
      <w:spacing w:before="240" w:after="60"/>
      <w:outlineLvl w:val="3"/>
    </w:pPr>
    <w:rPr>
      <w:b/>
      <w:bCs/>
      <w:sz w:val="24"/>
      <w:szCs w:val="24"/>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i/>
      <w:i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styleId="WW8Num1z0">
    <w:name w:val="WW8Num1z0"/>
    <w:qFormat/>
    <w:rPr>
      <w:rFonts w:ascii="Arial" w:hAnsi="Arial" w:eastAsia="Times New Roman"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2"/>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Wingdings" w:hAnsi="Wingdings"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sz w:val="2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sz w:val="28"/>
      <w:szCs w:val="28"/>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sz w:val="22"/>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sz w:val="28"/>
      <w:szCs w:val="28"/>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3z0">
    <w:name w:val="WW8Num13z0"/>
    <w:qFormat/>
    <w:rPr>
      <w:rFonts w:ascii="Times New Roman" w:hAnsi="Times New Roman" w:eastAsia="MS Mincho;ＭＳ 明朝"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color w:val="000000"/>
      <w:sz w:val="22"/>
      <w:szCs w:val="22"/>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Wingdings" w:hAnsi="Wingdings"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eastAsia="Times New Roman" w:cs="Tahoma"/>
    </w:rPr>
  </w:style>
  <w:style w:type="character" w:styleId="WW8Num18z1">
    <w:name w:val="WW8Num18z1"/>
    <w:qFormat/>
    <w:rPr>
      <w:rFonts w:ascii="Times New Roman" w:hAnsi="Times New Roman" w:eastAsia="Times New Roman" w:cs="Times New Roman"/>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8z4">
    <w:name w:val="WW8Num18z4"/>
    <w:qFormat/>
    <w:rPr>
      <w:rFonts w:ascii="Courier New" w:hAnsi="Courier New" w:cs="Courier New"/>
    </w:rPr>
  </w:style>
  <w:style w:type="character" w:styleId="Policepardfaut">
    <w:name w:val="Police par défaut"/>
    <w:qFormat/>
    <w:rPr/>
  </w:style>
  <w:style w:type="character" w:styleId="Marquedecommentaire">
    <w:name w:val="Marque de commentaire"/>
    <w:qFormat/>
    <w:rPr>
      <w:sz w:val="16"/>
      <w:szCs w:val="16"/>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LineNumbering">
    <w:name w:val="Line Numbering"/>
    <w:basedOn w:val="Policepardfaut"/>
    <w:rPr/>
  </w:style>
  <w:style w:type="character" w:styleId="PageNumber">
    <w:name w:val="Page Number"/>
    <w:basedOn w:val="Policepardfaut"/>
    <w:rPr/>
  </w:style>
  <w:style w:type="character" w:styleId="Texteel">
    <w:name w:val="texteel"/>
    <w:basedOn w:val="Policepardfaut"/>
    <w:qFormat/>
    <w:rPr/>
  </w:style>
  <w:style w:type="character" w:styleId="TextedebullesCar">
    <w:name w:val="Texte de bulles Car"/>
    <w:qFormat/>
    <w:rPr>
      <w:rFonts w:ascii="Tahoma" w:hAnsi="Tahoma" w:cs="Tahoma"/>
      <w:sz w:val="16"/>
      <w:szCs w:val="16"/>
    </w:rPr>
  </w:style>
  <w:style w:type="character" w:styleId="CommentaireCar">
    <w:name w:val="Commentaire Car"/>
    <w:qFormat/>
    <w:rPr>
      <w:rFonts w:ascii="Arial" w:hAnsi="Arial" w:cs="Arial"/>
    </w:rPr>
  </w:style>
  <w:style w:type="character" w:styleId="ObjetducommentaireCar">
    <w:name w:val="Objet du commentaire Car"/>
    <w:qFormat/>
    <w:rPr>
      <w:rFonts w:ascii="Arial" w:hAnsi="Arial" w:cs="Arial"/>
      <w:b/>
      <w:bCs/>
    </w:rPr>
  </w:style>
  <w:style w:type="character" w:styleId="Soussection">
    <w:name w:val="soussection"/>
    <w:qFormat/>
    <w:rPr/>
  </w:style>
  <w:style w:type="character" w:styleId="Appleconvertedspace">
    <w:name w:val="apple-converted-space"/>
    <w:qFormat/>
    <w:rPr/>
  </w:style>
  <w:style w:type="character" w:styleId="StrongEmphasis">
    <w:name w:val="Strong Emphasis"/>
    <w:qFormat/>
    <w:rPr>
      <w:b/>
      <w:bCs/>
    </w:rPr>
  </w:style>
  <w:style w:type="character" w:styleId="Hl">
    <w:name w:val="hl"/>
    <w:qFormat/>
    <w:rPr/>
  </w:style>
  <w:style w:type="character" w:styleId="PieddepageCar">
    <w:name w:val="Pied de page Car"/>
    <w:qFormat/>
    <w:rPr>
      <w:rFonts w:ascii="Arial" w:hAnsi="Arial" w:cs="Arial"/>
    </w:rPr>
  </w:style>
  <w:style w:type="character" w:styleId="CorpsdetexteCar">
    <w:name w:val="Corps de texte Car"/>
    <w:qFormat/>
    <w:rPr>
      <w:rFonts w:ascii="Comic Sans MS" w:hAnsi="Comic Sans MS" w:cs="Arial"/>
      <w:sz w:val="22"/>
    </w:rPr>
  </w:style>
  <w:style w:type="paragraph" w:styleId="Heading">
    <w:name w:val="Heading"/>
    <w:basedOn w:val="Normal"/>
    <w:next w:val="TextBody"/>
    <w:qFormat/>
    <w:pPr>
      <w:spacing w:before="240" w:after="60"/>
      <w:jc w:val="center"/>
    </w:pPr>
    <w:rPr>
      <w:b/>
      <w:bCs/>
      <w:sz w:val="32"/>
      <w:szCs w:val="32"/>
    </w:rPr>
  </w:style>
  <w:style w:type="paragraph" w:styleId="TextBody">
    <w:name w:val="Body Text"/>
    <w:basedOn w:val="Normal"/>
    <w:pPr>
      <w:spacing w:before="0" w:after="120"/>
      <w:ind w:left="67" w:hanging="0"/>
    </w:pPr>
    <w:rPr>
      <w:rFonts w:ascii="Comic Sans MS" w:hAnsi="Comic Sans MS" w:cs="Comic Sans MS"/>
      <w:sz w:val="22"/>
    </w:rPr>
  </w:style>
  <w:style w:type="paragraph" w:styleId="List">
    <w:name w:val="List"/>
    <w:basedOn w:val="Normal"/>
    <w:pPr>
      <w:ind w:left="283" w:hanging="283"/>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ImpressionDeAObjetDate">
    <w:name w:val="Impression- De: A: Objet: Date"/>
    <w:basedOn w:val="Normal"/>
    <w:qFormat/>
    <w:pPr>
      <w:pBdr>
        <w:left w:val="single" w:sz="18" w:space="1" w:color="000000"/>
      </w:pBdr>
    </w:pPr>
    <w:rPr/>
  </w:style>
  <w:style w:type="paragraph" w:styleId="ImpressionRenverserlentte">
    <w:name w:val="Impression- Renverser l'en-tête"/>
    <w:basedOn w:val="Normal"/>
    <w:next w:val="ImpressionDeAObjetDate"/>
    <w:qFormat/>
    <w:pPr>
      <w:pBdr>
        <w:left w:val="single" w:sz="18" w:space="1" w:color="000000"/>
      </w:pBdr>
      <w:shd w:fill="DFDFDF" w:val="clear"/>
    </w:pPr>
    <w:rPr>
      <w:b/>
      <w:bCs/>
      <w:sz w:val="22"/>
      <w:szCs w:val="22"/>
    </w:rPr>
  </w:style>
  <w:style w:type="paragraph" w:styleId="Rpondretransfrerlesenttes">
    <w:name w:val="Répondre/transférer les en-têtes"/>
    <w:basedOn w:val="Normal"/>
    <w:next w:val="RpondretransfrerADeDate"/>
    <w:qFormat/>
    <w:pPr>
      <w:pBdr>
        <w:left w:val="single" w:sz="18" w:space="1" w:color="000000"/>
      </w:pBdr>
      <w:shd w:fill="E5E5E5" w:val="clear"/>
    </w:pPr>
    <w:rPr>
      <w:b/>
      <w:bCs/>
      <w:lang w:val="en-GB" w:eastAsia="en-GB"/>
    </w:rPr>
  </w:style>
  <w:style w:type="paragraph" w:styleId="RpondretransfrerADeDate">
    <w:name w:val="Répondre/transférer A: De: Date:"/>
    <w:basedOn w:val="Normal"/>
    <w:qFormat/>
    <w:pPr>
      <w:pBdr>
        <w:left w:val="single" w:sz="18" w:space="1" w:color="000000"/>
      </w:pBdr>
    </w:pPr>
    <w:rPr/>
  </w:style>
  <w:style w:type="paragraph" w:styleId="Commentaire">
    <w:name w:val="Commentaire"/>
    <w:basedOn w:val="Normal"/>
    <w:qFormat/>
    <w:pPr/>
    <w:rPr/>
  </w:style>
  <w:style w:type="paragraph" w:styleId="TextBodyIndent">
    <w:name w:val="Body Text Indent"/>
    <w:basedOn w:val="Normal"/>
    <w:pPr>
      <w:spacing w:before="0" w:after="120"/>
      <w:ind w:left="283" w:hanging="0"/>
    </w:pPr>
    <w:rPr/>
  </w:style>
  <w:style w:type="paragraph" w:styleId="Lgende">
    <w:name w:val="Légende"/>
    <w:basedOn w:val="Normal"/>
    <w:next w:val="Normal"/>
    <w:qFormat/>
    <w:pPr>
      <w:spacing w:before="120" w:after="120"/>
    </w:pPr>
    <w:rPr>
      <w:b/>
      <w:bCs/>
    </w:rPr>
  </w:style>
  <w:style w:type="paragraph" w:styleId="Formuledepolitesse">
    <w:name w:val="Formule de politesse"/>
    <w:basedOn w:val="Normal"/>
    <w:qFormat/>
    <w:pPr>
      <w:ind w:left="4252" w:hanging="0"/>
    </w:pPr>
    <w:rPr/>
  </w:style>
  <w:style w:type="paragraph" w:styleId="Endnote">
    <w:name w:val="Endnote Text"/>
    <w:basedOn w:val="Normal"/>
    <w:pPr/>
    <w:rPr/>
  </w:style>
  <w:style w:type="paragraph" w:styleId="Addressee">
    <w:name w:val="Envelope Address"/>
    <w:basedOn w:val="Normal"/>
    <w:pPr>
      <w:ind w:left="2880" w:hanging="0"/>
    </w:pPr>
    <w:rPr>
      <w:sz w:val="24"/>
      <w:szCs w:val="24"/>
    </w:rPr>
  </w:style>
  <w:style w:type="paragraph" w:styleId="Sender">
    <w:name w:val="Envelope Return"/>
    <w:basedOn w:val="Normal"/>
    <w:pPr/>
    <w:rPr/>
  </w:style>
  <w:style w:type="paragraph" w:styleId="Footer">
    <w:name w:val="Footer"/>
    <w:basedOn w:val="Normal"/>
    <w:pPr>
      <w:tabs>
        <w:tab w:val="center" w:pos="4153" w:leader="none"/>
        <w:tab w:val="right" w:pos="8306" w:leader="none"/>
      </w:tabs>
    </w:pPr>
    <w:rPr/>
  </w:style>
  <w:style w:type="paragraph" w:styleId="Footnote">
    <w:name w:val="Footnote Text"/>
    <w:basedOn w:val="Normal"/>
    <w:pPr/>
    <w:rPr/>
  </w:style>
  <w:style w:type="paragraph" w:styleId="Header">
    <w:name w:val="Header"/>
    <w:basedOn w:val="Normal"/>
    <w:pPr>
      <w:tabs>
        <w:tab w:val="center" w:pos="4153" w:leader="none"/>
        <w:tab w:val="right" w:pos="8306" w:leader="none"/>
      </w:tabs>
    </w:pPr>
    <w:rPr/>
  </w:style>
  <w:style w:type="paragraph" w:styleId="Index1">
    <w:name w:val="Index 1"/>
    <w:basedOn w:val="Normal"/>
    <w:next w:val="Normal"/>
    <w:pPr>
      <w:tabs>
        <w:tab w:val="right" w:pos="8640" w:leader="dot"/>
      </w:tabs>
      <w:ind w:left="200" w:hanging="200"/>
    </w:pPr>
    <w:rPr/>
  </w:style>
  <w:style w:type="paragraph" w:styleId="Index2">
    <w:name w:val="Index 2"/>
    <w:basedOn w:val="Normal"/>
    <w:next w:val="Normal"/>
    <w:pPr>
      <w:tabs>
        <w:tab w:val="right" w:pos="8640" w:leader="dot"/>
      </w:tabs>
      <w:ind w:left="400" w:hanging="200"/>
    </w:pPr>
    <w:rPr/>
  </w:style>
  <w:style w:type="paragraph" w:styleId="Index3">
    <w:name w:val="Index 3"/>
    <w:basedOn w:val="Normal"/>
    <w:next w:val="Normal"/>
    <w:pPr>
      <w:tabs>
        <w:tab w:val="right" w:pos="8640" w:leader="dot"/>
      </w:tabs>
      <w:ind w:left="600" w:hanging="200"/>
    </w:pPr>
    <w:rPr/>
  </w:style>
  <w:style w:type="paragraph" w:styleId="Index4">
    <w:name w:val="Index 4"/>
    <w:basedOn w:val="Normal"/>
    <w:next w:val="Normal"/>
    <w:qFormat/>
    <w:pPr>
      <w:tabs>
        <w:tab w:val="right" w:pos="8640" w:leader="dot"/>
      </w:tabs>
      <w:ind w:left="800" w:hanging="200"/>
    </w:pPr>
    <w:rPr/>
  </w:style>
  <w:style w:type="paragraph" w:styleId="Index5">
    <w:name w:val="Index 5"/>
    <w:basedOn w:val="Normal"/>
    <w:next w:val="Normal"/>
    <w:qFormat/>
    <w:pPr>
      <w:tabs>
        <w:tab w:val="right" w:pos="8640" w:leader="dot"/>
      </w:tabs>
      <w:ind w:left="1000" w:hanging="200"/>
    </w:pPr>
    <w:rPr/>
  </w:style>
  <w:style w:type="paragraph" w:styleId="Index6">
    <w:name w:val="Index 6"/>
    <w:basedOn w:val="Normal"/>
    <w:next w:val="Normal"/>
    <w:qFormat/>
    <w:pPr>
      <w:tabs>
        <w:tab w:val="right" w:pos="8640" w:leader="dot"/>
      </w:tabs>
      <w:ind w:left="1200" w:hanging="200"/>
    </w:pPr>
    <w:rPr/>
  </w:style>
  <w:style w:type="paragraph" w:styleId="Index7">
    <w:name w:val="Index 7"/>
    <w:basedOn w:val="Normal"/>
    <w:next w:val="Normal"/>
    <w:qFormat/>
    <w:pPr>
      <w:tabs>
        <w:tab w:val="right" w:pos="8640" w:leader="dot"/>
      </w:tabs>
      <w:ind w:left="1400" w:hanging="200"/>
    </w:pPr>
    <w:rPr/>
  </w:style>
  <w:style w:type="paragraph" w:styleId="Index8">
    <w:name w:val="Index 8"/>
    <w:basedOn w:val="Normal"/>
    <w:next w:val="Normal"/>
    <w:qFormat/>
    <w:pPr>
      <w:tabs>
        <w:tab w:val="right" w:pos="8640" w:leader="dot"/>
      </w:tabs>
      <w:ind w:left="1600" w:hanging="200"/>
    </w:pPr>
    <w:rPr/>
  </w:style>
  <w:style w:type="paragraph" w:styleId="Index9">
    <w:name w:val="Index 9"/>
    <w:basedOn w:val="Normal"/>
    <w:next w:val="Normal"/>
    <w:qFormat/>
    <w:pPr>
      <w:tabs>
        <w:tab w:val="right" w:pos="8640" w:leader="dot"/>
      </w:tabs>
      <w:ind w:left="1800" w:hanging="200"/>
    </w:pPr>
    <w:rPr/>
  </w:style>
  <w:style w:type="paragraph" w:styleId="IndexHeading">
    <w:name w:val="Index Heading"/>
    <w:basedOn w:val="Normal"/>
    <w:next w:val="Index1"/>
    <w:pPr/>
    <w:rPr>
      <w:b/>
      <w:bCs/>
    </w:rPr>
  </w:style>
  <w:style w:type="paragraph" w:styleId="Liste2">
    <w:name w:val="Liste 2"/>
    <w:basedOn w:val="Normal"/>
    <w:qFormat/>
    <w:pPr>
      <w:ind w:left="566" w:hanging="283"/>
    </w:pPr>
    <w:rPr/>
  </w:style>
  <w:style w:type="paragraph" w:styleId="Liste3">
    <w:name w:val="Liste 3"/>
    <w:basedOn w:val="Normal"/>
    <w:qFormat/>
    <w:pPr>
      <w:ind w:left="849" w:hanging="283"/>
    </w:pPr>
    <w:rPr/>
  </w:style>
  <w:style w:type="paragraph" w:styleId="Liste4">
    <w:name w:val="Liste 4"/>
    <w:basedOn w:val="Normal"/>
    <w:qFormat/>
    <w:pPr>
      <w:ind w:left="1132" w:hanging="283"/>
    </w:pPr>
    <w:rPr/>
  </w:style>
  <w:style w:type="paragraph" w:styleId="Liste5">
    <w:name w:val="Liste 5"/>
    <w:basedOn w:val="Normal"/>
    <w:qFormat/>
    <w:pPr>
      <w:ind w:left="1415" w:hanging="283"/>
    </w:pPr>
    <w:rPr/>
  </w:style>
  <w:style w:type="paragraph" w:styleId="Listepuces">
    <w:name w:val="Liste à puces"/>
    <w:basedOn w:val="Normal"/>
    <w:qFormat/>
    <w:pPr>
      <w:numPr>
        <w:ilvl w:val="0"/>
        <w:numId w:val="7"/>
      </w:numPr>
      <w:ind w:left="283" w:hanging="283"/>
    </w:pPr>
    <w:rPr/>
  </w:style>
  <w:style w:type="paragraph" w:styleId="Listepuces2">
    <w:name w:val="Liste à puces 2"/>
    <w:basedOn w:val="Normal"/>
    <w:qFormat/>
    <w:pPr>
      <w:numPr>
        <w:ilvl w:val="0"/>
        <w:numId w:val="8"/>
      </w:numPr>
      <w:ind w:left="566" w:hanging="283"/>
    </w:pPr>
    <w:rPr/>
  </w:style>
  <w:style w:type="paragraph" w:styleId="Listepuces3">
    <w:name w:val="Liste à puces 3"/>
    <w:basedOn w:val="Normal"/>
    <w:qFormat/>
    <w:pPr>
      <w:numPr>
        <w:ilvl w:val="0"/>
        <w:numId w:val="9"/>
      </w:numPr>
      <w:ind w:left="849" w:hanging="283"/>
    </w:pPr>
    <w:rPr/>
  </w:style>
  <w:style w:type="paragraph" w:styleId="Listepuces4">
    <w:name w:val="Liste à puces 4"/>
    <w:basedOn w:val="Normal"/>
    <w:qFormat/>
    <w:pPr>
      <w:numPr>
        <w:ilvl w:val="0"/>
        <w:numId w:val="10"/>
      </w:numPr>
      <w:ind w:left="1132" w:hanging="283"/>
    </w:pPr>
    <w:rPr/>
  </w:style>
  <w:style w:type="paragraph" w:styleId="Listepuces5">
    <w:name w:val="Liste à puces 5"/>
    <w:basedOn w:val="Normal"/>
    <w:qFormat/>
    <w:pPr>
      <w:numPr>
        <w:ilvl w:val="0"/>
        <w:numId w:val="11"/>
      </w:numPr>
      <w:ind w:left="1415" w:hanging="283"/>
    </w:pPr>
    <w:rPr/>
  </w:style>
  <w:style w:type="paragraph" w:styleId="Listecontinue">
    <w:name w:val="Liste continue"/>
    <w:basedOn w:val="Normal"/>
    <w:qFormat/>
    <w:pPr>
      <w:spacing w:before="0" w:after="120"/>
      <w:ind w:left="283" w:hanging="0"/>
    </w:pPr>
    <w:rPr/>
  </w:style>
  <w:style w:type="paragraph" w:styleId="Listecontinue2">
    <w:name w:val="Liste continue 2"/>
    <w:basedOn w:val="Normal"/>
    <w:qFormat/>
    <w:pPr>
      <w:spacing w:before="0" w:after="120"/>
      <w:ind w:left="566" w:hanging="0"/>
    </w:pPr>
    <w:rPr/>
  </w:style>
  <w:style w:type="paragraph" w:styleId="Listecontinue3">
    <w:name w:val="Liste continue 3"/>
    <w:basedOn w:val="Normal"/>
    <w:qFormat/>
    <w:pPr>
      <w:spacing w:before="0" w:after="120"/>
      <w:ind w:left="849" w:hanging="0"/>
    </w:pPr>
    <w:rPr/>
  </w:style>
  <w:style w:type="paragraph" w:styleId="Listecontinue4">
    <w:name w:val="Liste continue 4"/>
    <w:basedOn w:val="Normal"/>
    <w:qFormat/>
    <w:pPr>
      <w:spacing w:before="0" w:after="120"/>
      <w:ind w:left="1132" w:hanging="0"/>
    </w:pPr>
    <w:rPr/>
  </w:style>
  <w:style w:type="paragraph" w:styleId="Listecontinue5">
    <w:name w:val="Liste continue 5"/>
    <w:basedOn w:val="Normal"/>
    <w:qFormat/>
    <w:pPr>
      <w:spacing w:before="0" w:after="120"/>
      <w:ind w:left="1415" w:hanging="0"/>
    </w:pPr>
    <w:rPr/>
  </w:style>
  <w:style w:type="paragraph" w:styleId="Listenumros">
    <w:name w:val="Liste à numéros"/>
    <w:basedOn w:val="Normal"/>
    <w:qFormat/>
    <w:pPr>
      <w:numPr>
        <w:ilvl w:val="0"/>
        <w:numId w:val="12"/>
      </w:numPr>
      <w:ind w:left="283" w:hanging="283"/>
    </w:pPr>
    <w:rPr/>
  </w:style>
  <w:style w:type="paragraph" w:styleId="Listenumros2">
    <w:name w:val="Liste à numéros 2"/>
    <w:basedOn w:val="Normal"/>
    <w:qFormat/>
    <w:pPr>
      <w:numPr>
        <w:ilvl w:val="0"/>
        <w:numId w:val="13"/>
      </w:numPr>
      <w:ind w:left="566" w:hanging="283"/>
    </w:pPr>
    <w:rPr/>
  </w:style>
  <w:style w:type="paragraph" w:styleId="Listenumros3">
    <w:name w:val="Liste à numéros 3"/>
    <w:basedOn w:val="Normal"/>
    <w:qFormat/>
    <w:pPr>
      <w:numPr>
        <w:ilvl w:val="0"/>
        <w:numId w:val="14"/>
      </w:numPr>
      <w:ind w:left="849" w:hanging="283"/>
    </w:pPr>
    <w:rPr/>
  </w:style>
  <w:style w:type="paragraph" w:styleId="Listenumros4">
    <w:name w:val="Liste à numéros 4"/>
    <w:basedOn w:val="Normal"/>
    <w:qFormat/>
    <w:pPr>
      <w:numPr>
        <w:ilvl w:val="0"/>
        <w:numId w:val="15"/>
      </w:numPr>
      <w:ind w:left="1132" w:hanging="283"/>
    </w:pPr>
    <w:rPr/>
  </w:style>
  <w:style w:type="paragraph" w:styleId="Listenumros5">
    <w:name w:val="Liste à numéros 5"/>
    <w:basedOn w:val="Normal"/>
    <w:qFormat/>
    <w:pPr>
      <w:numPr>
        <w:ilvl w:val="0"/>
        <w:numId w:val="16"/>
      </w:numPr>
      <w:ind w:left="1415" w:hanging="283"/>
    </w:pPr>
    <w:rPr/>
  </w:style>
  <w:style w:type="paragraph" w:styleId="Textedemacro">
    <w:name w:val="Texte de macro"/>
    <w:qFormat/>
    <w:pPr>
      <w:widowControl/>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rFonts w:ascii="Courier New" w:hAnsi="Courier New" w:eastAsia="Times New Roman" w:cs="Courier New"/>
      <w:color w:val="auto"/>
      <w:sz w:val="20"/>
      <w:szCs w:val="20"/>
      <w:lang w:val="en-US" w:bidi="ar-SA" w:eastAsia="zh-CN"/>
    </w:rPr>
  </w:style>
  <w:style w:type="paragraph" w:styleId="Enttedemessage">
    <w:name w:val="En-tête de message"/>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sz w:val="24"/>
      <w:szCs w:val="24"/>
    </w:rPr>
  </w:style>
  <w:style w:type="paragraph" w:styleId="Retraitnormal">
    <w:name w:val="Retrait normal"/>
    <w:basedOn w:val="Normal"/>
    <w:qFormat/>
    <w:pPr>
      <w:ind w:left="708" w:hanging="0"/>
    </w:pPr>
    <w:rPr/>
  </w:style>
  <w:style w:type="paragraph" w:styleId="Signature">
    <w:name w:val="Signature"/>
    <w:basedOn w:val="Normal"/>
    <w:pPr>
      <w:ind w:left="4252" w:hanging="0"/>
    </w:pPr>
    <w:rPr/>
  </w:style>
  <w:style w:type="paragraph" w:styleId="Subtitle">
    <w:name w:val="Subtitle"/>
    <w:basedOn w:val="Normal"/>
    <w:next w:val="TextBody"/>
    <w:qFormat/>
    <w:pPr>
      <w:spacing w:before="0" w:after="60"/>
      <w:jc w:val="center"/>
    </w:pPr>
    <w:rPr>
      <w:sz w:val="24"/>
      <w:szCs w:val="24"/>
    </w:rPr>
  </w:style>
  <w:style w:type="paragraph" w:styleId="Tabledesrfrencesjuridiques">
    <w:name w:val="Table des références juridiques"/>
    <w:basedOn w:val="Normal"/>
    <w:next w:val="Normal"/>
    <w:qFormat/>
    <w:pPr>
      <w:tabs>
        <w:tab w:val="right" w:pos="8640" w:leader="dot"/>
      </w:tabs>
      <w:ind w:left="200" w:hanging="200"/>
    </w:pPr>
    <w:rPr/>
  </w:style>
  <w:style w:type="paragraph" w:styleId="Tabledesillustrations">
    <w:name w:val="Table des illustrations"/>
    <w:basedOn w:val="Normal"/>
    <w:next w:val="Normal"/>
    <w:qFormat/>
    <w:pPr>
      <w:tabs>
        <w:tab w:val="right" w:pos="8640" w:leader="dot"/>
      </w:tabs>
      <w:ind w:left="400" w:hanging="400"/>
    </w:pPr>
    <w:rPr/>
  </w:style>
  <w:style w:type="paragraph" w:styleId="TitreTR">
    <w:name w:val="Titre TR"/>
    <w:basedOn w:val="Normal"/>
    <w:next w:val="Normal"/>
    <w:qFormat/>
    <w:pPr>
      <w:spacing w:before="120" w:after="0"/>
    </w:pPr>
    <w:rPr>
      <w:b/>
      <w:bCs/>
      <w:sz w:val="24"/>
      <w:szCs w:val="24"/>
    </w:rPr>
  </w:style>
  <w:style w:type="paragraph" w:styleId="Contents1">
    <w:name w:val="TOC 1"/>
    <w:basedOn w:val="Normal"/>
    <w:next w:val="Normal"/>
    <w:pPr>
      <w:tabs>
        <w:tab w:val="right" w:pos="8640" w:leader="dot"/>
      </w:tabs>
    </w:pPr>
    <w:rPr/>
  </w:style>
  <w:style w:type="paragraph" w:styleId="Contents2">
    <w:name w:val="TOC 2"/>
    <w:basedOn w:val="Normal"/>
    <w:next w:val="Normal"/>
    <w:pPr>
      <w:tabs>
        <w:tab w:val="right" w:pos="8640" w:leader="dot"/>
      </w:tabs>
      <w:ind w:left="200" w:hanging="0"/>
    </w:pPr>
    <w:rPr/>
  </w:style>
  <w:style w:type="paragraph" w:styleId="Contents3">
    <w:name w:val="TOC 3"/>
    <w:basedOn w:val="Normal"/>
    <w:next w:val="Normal"/>
    <w:pPr>
      <w:tabs>
        <w:tab w:val="right" w:pos="8640" w:leader="dot"/>
      </w:tabs>
      <w:ind w:left="400" w:hanging="0"/>
    </w:pPr>
    <w:rPr/>
  </w:style>
  <w:style w:type="paragraph" w:styleId="Contents4">
    <w:name w:val="TOC 4"/>
    <w:basedOn w:val="Normal"/>
    <w:next w:val="Normal"/>
    <w:pPr>
      <w:tabs>
        <w:tab w:val="right" w:pos="8640" w:leader="dot"/>
      </w:tabs>
      <w:ind w:left="600" w:hanging="0"/>
    </w:pPr>
    <w:rPr/>
  </w:style>
  <w:style w:type="paragraph" w:styleId="Contents5">
    <w:name w:val="TOC 5"/>
    <w:basedOn w:val="Normal"/>
    <w:next w:val="Normal"/>
    <w:pPr>
      <w:tabs>
        <w:tab w:val="right" w:pos="8640" w:leader="dot"/>
      </w:tabs>
      <w:ind w:left="800" w:hanging="0"/>
    </w:pPr>
    <w:rPr/>
  </w:style>
  <w:style w:type="paragraph" w:styleId="Contents6">
    <w:name w:val="TOC 6"/>
    <w:basedOn w:val="Normal"/>
    <w:next w:val="Normal"/>
    <w:pPr>
      <w:tabs>
        <w:tab w:val="right" w:pos="8640" w:leader="dot"/>
      </w:tabs>
      <w:ind w:left="1000" w:hanging="0"/>
    </w:pPr>
    <w:rPr/>
  </w:style>
  <w:style w:type="paragraph" w:styleId="Contents7">
    <w:name w:val="TOC 7"/>
    <w:basedOn w:val="Normal"/>
    <w:next w:val="Normal"/>
    <w:pPr>
      <w:tabs>
        <w:tab w:val="right" w:pos="8640" w:leader="dot"/>
      </w:tabs>
      <w:ind w:left="1200" w:hanging="0"/>
    </w:pPr>
    <w:rPr/>
  </w:style>
  <w:style w:type="paragraph" w:styleId="Contents8">
    <w:name w:val="TOC 8"/>
    <w:basedOn w:val="Normal"/>
    <w:next w:val="Normal"/>
    <w:pPr>
      <w:tabs>
        <w:tab w:val="right" w:pos="8640" w:leader="dot"/>
      </w:tabs>
      <w:ind w:left="1400" w:hanging="0"/>
    </w:pPr>
    <w:rPr/>
  </w:style>
  <w:style w:type="paragraph" w:styleId="Contents9">
    <w:name w:val="TOC 9"/>
    <w:basedOn w:val="Normal"/>
    <w:next w:val="Normal"/>
    <w:pPr>
      <w:tabs>
        <w:tab w:val="right" w:pos="8640" w:leader="dot"/>
      </w:tabs>
      <w:ind w:left="1600" w:hanging="0"/>
    </w:pPr>
    <w:rPr/>
  </w:style>
  <w:style w:type="paragraph" w:styleId="Corpsdetexte2">
    <w:name w:val="Corps de texte 2"/>
    <w:basedOn w:val="Normal"/>
    <w:qFormat/>
    <w:pPr>
      <w:jc w:val="center"/>
    </w:pPr>
    <w:rPr>
      <w:rFonts w:ascii="Comic Sans MS" w:hAnsi="Comic Sans MS" w:cs="Comic Sans MS"/>
      <w:sz w:val="28"/>
      <w:szCs w:val="28"/>
      <w:u w:val="single"/>
    </w:rPr>
  </w:style>
  <w:style w:type="paragraph" w:styleId="Corpsdetexte3">
    <w:name w:val="Corps de texte 3"/>
    <w:basedOn w:val="Normal"/>
    <w:qFormat/>
    <w:pPr/>
    <w:rPr>
      <w:rFonts w:ascii="Comic Sans MS" w:hAnsi="Comic Sans MS" w:cs="Comic Sans MS"/>
      <w:sz w:val="24"/>
      <w:szCs w:val="24"/>
    </w:rPr>
  </w:style>
  <w:style w:type="paragraph" w:styleId="Retraitcorpsdetexte2">
    <w:name w:val="Retrait corps de texte 2"/>
    <w:basedOn w:val="Normal"/>
    <w:qFormat/>
    <w:pPr>
      <w:ind w:left="360" w:hanging="0"/>
      <w:jc w:val="both"/>
    </w:pPr>
    <w:rPr>
      <w:rFonts w:ascii="Comic Sans MS" w:hAnsi="Comic Sans MS" w:cs="Comic Sans MS"/>
      <w:sz w:val="24"/>
      <w:szCs w:val="24"/>
    </w:rPr>
  </w:style>
  <w:style w:type="paragraph" w:styleId="Retraitcorpsdetexte3">
    <w:name w:val="Retrait corps de texte 3"/>
    <w:basedOn w:val="Normal"/>
    <w:qFormat/>
    <w:pPr>
      <w:ind w:left="1800" w:hanging="0"/>
      <w:jc w:val="both"/>
    </w:pPr>
    <w:rPr>
      <w:rFonts w:ascii="Comic Sans MS" w:hAnsi="Comic Sans MS" w:cs="Comic Sans MS"/>
      <w:sz w:val="24"/>
      <w:szCs w:val="24"/>
    </w:rPr>
  </w:style>
  <w:style w:type="paragraph" w:styleId="Normalcentr">
    <w:name w:val="Normal centré"/>
    <w:basedOn w:val="Normal"/>
    <w:qFormat/>
    <w:pPr>
      <w:ind w:left="851" w:right="991" w:hanging="0"/>
      <w:jc w:val="both"/>
    </w:pPr>
    <w:rPr>
      <w:rFonts w:ascii="Comic Sans MS" w:hAnsi="Comic Sans MS" w:cs="Times New Roman"/>
      <w:sz w:val="28"/>
    </w:rPr>
  </w:style>
  <w:style w:type="paragraph" w:styleId="Textebrut">
    <w:name w:val="Texte brut"/>
    <w:basedOn w:val="Normal"/>
    <w:qFormat/>
    <w:pPr/>
    <w:rPr>
      <w:rFonts w:ascii="Courier New" w:hAnsi="Courier New" w:cs="Courier New"/>
    </w:rPr>
  </w:style>
  <w:style w:type="paragraph" w:styleId="Texte">
    <w:name w:val="texte"/>
    <w:basedOn w:val="Textebrut"/>
    <w:qFormat/>
    <w:pPr>
      <w:jc w:val="both"/>
    </w:pPr>
    <w:rPr>
      <w:rFonts w:ascii="Arial" w:hAnsi="Arial" w:eastAsia="MS Mincho;ＭＳ 明朝" w:cs="Arial"/>
      <w:sz w:val="22"/>
    </w:rPr>
  </w:style>
  <w:style w:type="paragraph" w:styleId="Level1">
    <w:name w:val="Level 1"/>
    <w:basedOn w:val="Normal"/>
    <w:qFormat/>
    <w:pPr>
      <w:widowControl w:val="false"/>
      <w:autoSpaceDE w:val="false"/>
      <w:ind w:left="204" w:hanging="204"/>
    </w:pPr>
    <w:rPr>
      <w:rFonts w:ascii="Times New Roman" w:hAnsi="Times New Roman" w:cs="Times New Roman"/>
      <w:sz w:val="24"/>
      <w:szCs w:val="24"/>
      <w:lang w:val="en-US"/>
    </w:rPr>
  </w:style>
  <w:style w:type="paragraph" w:styleId="BodyText2">
    <w:name w:val="Body Text 2"/>
    <w:basedOn w:val="Normal"/>
    <w:qFormat/>
    <w:pPr>
      <w:widowControl w:val="false"/>
      <w:tabs>
        <w:tab w:val="left" w:pos="1701" w:leader="none"/>
      </w:tabs>
      <w:jc w:val="both"/>
    </w:pPr>
    <w:rPr>
      <w:rFonts w:ascii="Times New Roman" w:hAnsi="Times New Roman" w:cs="Times New Roman"/>
      <w:sz w:val="24"/>
    </w:rPr>
  </w:style>
  <w:style w:type="paragraph" w:styleId="Paragraphedeliste">
    <w:name w:val="Paragraphe de liste"/>
    <w:basedOn w:val="Normal"/>
    <w:qFormat/>
    <w:pPr>
      <w:ind w:left="708" w:hanging="0"/>
    </w:pPr>
    <w:rPr>
      <w:rFonts w:ascii="Times New Roman" w:hAnsi="Times New Roman" w:cs="Times New Roman"/>
      <w:sz w:val="24"/>
      <w:szCs w:val="24"/>
    </w:rPr>
  </w:style>
  <w:style w:type="paragraph" w:styleId="Textedebulles">
    <w:name w:val="Texte de bulles"/>
    <w:basedOn w:val="Normal"/>
    <w:qFormat/>
    <w:pPr/>
    <w:rPr>
      <w:rFonts w:ascii="Tahoma" w:hAnsi="Tahoma" w:cs="Tahoma"/>
      <w:sz w:val="16"/>
      <w:szCs w:val="16"/>
    </w:rPr>
  </w:style>
  <w:style w:type="paragraph" w:styleId="Objetducommentaire">
    <w:name w:val="Objet du commentaire"/>
    <w:basedOn w:val="Commentaire"/>
    <w:next w:val="Commentaire"/>
    <w:qFormat/>
    <w:pPr/>
    <w:rPr>
      <w:b/>
      <w:bCs/>
    </w:rPr>
  </w:style>
  <w:style w:type="paragraph" w:styleId="Rvision">
    <w:name w:val="Révision"/>
    <w:qFormat/>
    <w:pPr>
      <w:widowControl/>
    </w:pPr>
    <w:rPr>
      <w:rFonts w:ascii="Arial" w:hAnsi="Arial" w:eastAsia="Times New Roman" w:cs="Arial"/>
      <w:color w:val="auto"/>
      <w:sz w:val="20"/>
      <w:szCs w:val="20"/>
      <w:lang w:val="fr-FR" w:bidi="ar-SA" w:eastAsia="zh-CN"/>
    </w:rPr>
  </w:style>
  <w:style w:type="paragraph" w:styleId="Default">
    <w:name w:val="Default"/>
    <w:qFormat/>
    <w:pPr>
      <w:widowControl/>
      <w:autoSpaceDE w:val="false"/>
    </w:pPr>
    <w:rPr>
      <w:rFonts w:ascii="Calibri" w:hAnsi="Calibri" w:eastAsia="Calibri" w:cs="Calibri"/>
      <w:color w:val="000000"/>
      <w:sz w:val="24"/>
      <w:szCs w:val="24"/>
      <w:lang w:val="fr-FR" w:bidi="ar-SA" w:eastAsia="zh-CN"/>
    </w:rPr>
  </w:style>
  <w:style w:type="paragraph" w:styleId="Cs40dd2bc9">
    <w:name w:val="cs40dd2bc9"/>
    <w:basedOn w:val="Normal"/>
    <w:qFormat/>
    <w:pPr>
      <w:spacing w:before="180" w:after="180"/>
    </w:pPr>
    <w:rPr>
      <w:rFonts w:ascii="Calibri" w:hAnsi="Calibri" w:eastAsia="Calibri" w:cs="Times New Roman"/>
      <w:sz w:val="22"/>
      <w:szCs w:val="2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 w:type="numbering" w:styleId="WW8StyleNum6">
    <w:name w:val="WW8StyleNum6"/>
    <w:qFormat/>
  </w:style>
  <w:style w:type="numbering" w:styleId="WW8StyleNum7">
    <w:name w:val="WW8StyleNum7"/>
    <w:qFormat/>
  </w:style>
  <w:style w:type="numbering" w:styleId="WW8StyleNum8">
    <w:name w:val="WW8StyleNum8"/>
    <w:qFormat/>
  </w:style>
  <w:style w:type="numbering" w:styleId="WW8StyleNum9">
    <w:name w:val="WW8Style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EMAIL</Template>
  <TotalTime>42</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2021-06-17T16:39:00Z</dcterms:created>
  <dc:creator/>
  <dc:description/>
  <dc:language>en-GB</dc:language>
  <cp:lastModifiedBy/>
  <cp:lastPrinted>2021-06-16T11:38:00Z</cp:lastPrinted>
  <dcterms:modified xsi:type="dcterms:W3CDTF">2021-06-28T10:43:00Z</dcterms:modified>
  <cp:revision>9</cp:revision>
  <dc:subject/>
  <dc:title>Modèle de courrier électronique</dc:title>
</cp:coreProperties>
</file>