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12" w:space="1" w:color="000000"/>
          <w:left w:val="single" w:sz="12" w:space="4" w:color="000000"/>
          <w:bottom w:val="single" w:sz="12" w:space="1" w:color="000000"/>
          <w:right w:val="single" w:sz="12" w:space="4" w:color="000000"/>
        </w:pBdr>
        <w:jc w:val="center"/>
        <w:rPr>
          <w:rFonts w:cs="Arial"/>
          <w:sz w:val="40"/>
          <w:szCs w:val="40"/>
        </w:rPr>
      </w:pPr>
      <w:r>
        <w:rPr>
          <w:rFonts w:cs="Arial"/>
          <w:sz w:val="40"/>
          <w:szCs w:val="40"/>
        </w:rPr>
      </w:r>
    </w:p>
    <w:p>
      <w:pPr>
        <w:pStyle w:val="Normal"/>
        <w:pBdr>
          <w:top w:val="single" w:sz="12" w:space="1" w:color="000000"/>
          <w:left w:val="single" w:sz="12" w:space="4" w:color="000000"/>
          <w:bottom w:val="single" w:sz="12" w:space="1" w:color="000000"/>
          <w:right w:val="single" w:sz="12" w:space="4" w:color="000000"/>
        </w:pBdr>
        <w:jc w:val="center"/>
        <w:rPr>
          <w:rFonts w:ascii="Calibri" w:hAnsi="Calibri" w:cs="Calibri"/>
          <w:sz w:val="40"/>
          <w:szCs w:val="40"/>
        </w:rPr>
      </w:pPr>
      <w:r>
        <w:rPr>
          <w:rFonts w:cs="Calibri" w:ascii="Calibri" w:hAnsi="Calibri"/>
          <w:sz w:val="40"/>
          <w:szCs w:val="40"/>
        </w:rPr>
        <w:t>AVENANT A L’AVENANT COLLECTIF D’ENTREPRISE</w:t>
      </w:r>
    </w:p>
    <w:p>
      <w:pPr>
        <w:pStyle w:val="Normal"/>
        <w:pBdr>
          <w:top w:val="single" w:sz="12" w:space="1" w:color="000000"/>
          <w:left w:val="single" w:sz="12" w:space="4" w:color="000000"/>
          <w:bottom w:val="single" w:sz="12" w:space="1" w:color="000000"/>
          <w:right w:val="single" w:sz="12" w:space="4" w:color="000000"/>
        </w:pBdr>
        <w:jc w:val="center"/>
        <w:rPr>
          <w:rFonts w:ascii="Calibri" w:hAnsi="Calibri" w:cs="Arial"/>
          <w:sz w:val="40"/>
          <w:szCs w:val="40"/>
        </w:rPr>
      </w:pPr>
      <w:r>
        <w:rPr>
          <w:rFonts w:cs="Arial" w:ascii="Calibri" w:hAnsi="Calibri"/>
          <w:sz w:val="40"/>
          <w:szCs w:val="40"/>
        </w:rPr>
      </w:r>
    </w:p>
    <w:p>
      <w:pPr>
        <w:pStyle w:val="Normal"/>
        <w:jc w:val="both"/>
        <w:rPr>
          <w:rFonts w:cs="Arial"/>
          <w:b/>
          <w:b/>
          <w:sz w:val="40"/>
          <w:szCs w:val="22"/>
          <w:u w:val="single"/>
        </w:rPr>
      </w:pPr>
      <w:r>
        <w:rPr>
          <w:rFonts w:cs="Arial"/>
          <w:b/>
          <w:sz w:val="40"/>
          <w:szCs w:val="22"/>
          <w:u w:val="single"/>
        </w:rPr>
      </w:r>
    </w:p>
    <w:p>
      <w:pPr>
        <w:pStyle w:val="Normal"/>
        <w:jc w:val="both"/>
        <w:rPr>
          <w:rFonts w:cs="Arial"/>
          <w:b/>
          <w:b/>
          <w:szCs w:val="22"/>
          <w:u w:val="single"/>
        </w:rPr>
      </w:pPr>
      <w:r>
        <w:rPr>
          <w:rFonts w:cs="Arial"/>
          <w:b/>
          <w:szCs w:val="22"/>
          <w:u w:val="single"/>
        </w:rPr>
      </w:r>
    </w:p>
    <w:p>
      <w:pPr>
        <w:pStyle w:val="Normal"/>
        <w:jc w:val="both"/>
        <w:rPr>
          <w:rFonts w:ascii="Calibri" w:hAnsi="Calibri" w:cs="Calibri"/>
          <w:b/>
          <w:b/>
          <w:szCs w:val="22"/>
        </w:rPr>
      </w:pPr>
      <w:r>
        <w:rPr>
          <w:rFonts w:cs="Calibri" w:ascii="Calibri" w:hAnsi="Calibri"/>
          <w:b/>
          <w:szCs w:val="22"/>
        </w:rPr>
        <w:t>Entre les soussignés :</w:t>
      </w:r>
    </w:p>
    <w:p>
      <w:pPr>
        <w:pStyle w:val="Normal"/>
        <w:jc w:val="both"/>
        <w:rPr>
          <w:rFonts w:ascii="Calibri" w:hAnsi="Calibri" w:cs="Calibri"/>
          <w:b/>
          <w:b/>
          <w:szCs w:val="22"/>
        </w:rPr>
      </w:pPr>
      <w:r>
        <w:rPr>
          <w:rFonts w:cs="Calibri" w:ascii="Calibri" w:hAnsi="Calibri"/>
          <w:b/>
          <w:szCs w:val="22"/>
        </w:rPr>
      </w:r>
    </w:p>
    <w:p>
      <w:pPr>
        <w:pStyle w:val="Normal"/>
        <w:jc w:val="both"/>
        <w:rPr>
          <w:rFonts w:ascii="Calibri" w:hAnsi="Calibri" w:cs="Calibri"/>
          <w:b/>
          <w:b/>
          <w:szCs w:val="22"/>
        </w:rPr>
      </w:pPr>
      <w:r>
        <w:rPr>
          <w:rFonts w:cs="Calibri" w:ascii="Calibri" w:hAnsi="Calibri"/>
          <w:b/>
          <w:szCs w:val="22"/>
        </w:rPr>
      </w:r>
    </w:p>
    <w:p>
      <w:pPr>
        <w:pStyle w:val="Normal"/>
        <w:numPr>
          <w:ilvl w:val="0"/>
          <w:numId w:val="4"/>
        </w:numPr>
        <w:ind w:left="1134" w:hanging="360"/>
        <w:jc w:val="both"/>
        <w:rPr>
          <w:rFonts w:ascii="Calibri" w:hAnsi="Calibri" w:cs="Calibri"/>
          <w:b/>
          <w:b/>
          <w:szCs w:val="22"/>
          <w:lang w:val="en-GB" w:eastAsia="en-GB"/>
        </w:rPr>
      </w:pPr>
      <w:r>
        <w:rPr>
          <w:rFonts w:cs="Calibri" w:ascii="Calibri" w:hAnsi="Calibri"/>
          <w:b/>
          <w:szCs w:val="22"/>
        </w:rPr>
        <w:t>La SASU POUPIN</w:t>
      </w:r>
    </w:p>
    <w:p>
      <w:pPr>
        <w:pStyle w:val="Normal"/>
        <w:ind w:left="1134" w:hanging="0"/>
        <w:jc w:val="both"/>
        <w:rPr>
          <w:rFonts w:ascii="Calibri" w:hAnsi="Calibri" w:cs="Calibri"/>
          <w:szCs w:val="22"/>
          <w:lang w:val="en-GB" w:eastAsia="en-GB"/>
        </w:rPr>
      </w:pPr>
      <w:r>
        <w:rPr>
          <w:rFonts w:cs="Calibri" w:ascii="Calibri" w:hAnsi="Calibri"/>
          <w:szCs w:val="22"/>
        </w:rPr>
        <w:t>SAS</w:t>
      </w:r>
      <w:r>
        <w:rPr>
          <w:rFonts w:cs="Calibri" w:ascii="Calibri" w:hAnsi="Calibri"/>
          <w:szCs w:val="22"/>
          <w:lang w:val="en-GB" w:eastAsia="en-GB"/>
        </w:rPr>
        <w:t xml:space="preserve"> </w:t>
      </w:r>
      <w:r>
        <w:rPr>
          <w:rFonts w:cs="Calibri" w:ascii="Calibri" w:hAnsi="Calibri"/>
          <w:szCs w:val="22"/>
        </w:rPr>
        <w:t xml:space="preserve">au capital de 250.000,00 € </w:t>
      </w:r>
    </w:p>
    <w:p>
      <w:pPr>
        <w:pStyle w:val="Normal"/>
        <w:ind w:left="1134" w:hanging="0"/>
        <w:jc w:val="both"/>
        <w:rPr>
          <w:rFonts w:ascii="Calibri" w:hAnsi="Calibri" w:cs="Calibri"/>
          <w:szCs w:val="22"/>
        </w:rPr>
      </w:pPr>
      <w:r>
        <w:rPr>
          <w:rFonts w:cs="Calibri" w:ascii="Calibri" w:hAnsi="Calibri"/>
          <w:szCs w:val="22"/>
        </w:rPr>
        <w:t>Dont le siège social est à LOIRON-RUILLE (53320)</w:t>
      </w:r>
    </w:p>
    <w:p>
      <w:pPr>
        <w:pStyle w:val="Normal"/>
        <w:ind w:left="1134" w:hanging="0"/>
        <w:jc w:val="both"/>
        <w:rPr>
          <w:rFonts w:ascii="Calibri" w:hAnsi="Calibri" w:cs="Calibri"/>
          <w:szCs w:val="22"/>
        </w:rPr>
      </w:pPr>
      <w:r>
        <w:rPr>
          <w:rFonts w:cs="Calibri" w:ascii="Calibri" w:hAnsi="Calibri"/>
          <w:szCs w:val="22"/>
        </w:rPr>
        <w:t>22 Rue Principale</w:t>
      </w:r>
    </w:p>
    <w:p>
      <w:pPr>
        <w:pStyle w:val="Paragraphedeliste"/>
        <w:spacing w:lineRule="auto" w:line="240" w:before="0" w:after="0"/>
        <w:ind w:left="720" w:firstLine="426"/>
        <w:contextualSpacing/>
        <w:rPr>
          <w:rFonts w:cs="Calibri"/>
        </w:rPr>
      </w:pPr>
      <w:r>
        <w:rPr>
          <w:rFonts w:cs="Calibri"/>
        </w:rPr>
        <w:t xml:space="preserve">Représentée par </w:t>
      </w:r>
    </w:p>
    <w:p>
      <w:pPr>
        <w:pStyle w:val="Paragraphedeliste"/>
        <w:spacing w:lineRule="auto" w:line="240" w:before="0" w:after="0"/>
        <w:ind w:left="720" w:firstLine="426"/>
        <w:contextualSpacing/>
        <w:rPr/>
      </w:pPr>
      <w:r>
        <w:rPr>
          <w:rFonts w:cs="Calibri"/>
        </w:rPr>
        <w:t>Président de la SAS HOLDING POUPIN, elle-même Présidente de la société SASU POUPIN</w:t>
      </w:r>
    </w:p>
    <w:p>
      <w:pPr>
        <w:pStyle w:val="Normal"/>
        <w:widowControl w:val="false"/>
        <w:ind w:left="425" w:firstLine="709"/>
        <w:jc w:val="both"/>
        <w:rPr>
          <w:rFonts w:ascii="Calibri" w:hAnsi="Calibri" w:cs="Arial"/>
          <w:szCs w:val="22"/>
        </w:rPr>
      </w:pPr>
      <w:r>
        <w:rPr>
          <w:rFonts w:cs="Arial" w:ascii="Calibri" w:hAnsi="Calibri"/>
          <w:szCs w:val="22"/>
        </w:rPr>
        <w:t>Code NAF : 2223Z</w:t>
      </w:r>
    </w:p>
    <w:p>
      <w:pPr>
        <w:pStyle w:val="Normal"/>
        <w:widowControl w:val="false"/>
        <w:ind w:left="425" w:firstLine="709"/>
        <w:jc w:val="both"/>
        <w:rPr>
          <w:rFonts w:ascii="Calibri" w:hAnsi="Calibri" w:cs="Arial"/>
          <w:szCs w:val="22"/>
        </w:rPr>
      </w:pPr>
      <w:r>
        <w:rPr>
          <w:rFonts w:cs="Arial" w:ascii="Calibri" w:hAnsi="Calibri"/>
          <w:szCs w:val="22"/>
        </w:rPr>
        <w:t>Immatriculée au R.C.S. de LAVAL sous le n° SIRET : 32296023800010</w:t>
      </w:r>
    </w:p>
    <w:p>
      <w:pPr>
        <w:pStyle w:val="Normal"/>
        <w:widowControl w:val="false"/>
        <w:jc w:val="both"/>
        <w:rPr>
          <w:rFonts w:ascii="Calibri" w:hAnsi="Calibri" w:cs="Calibri"/>
          <w:szCs w:val="22"/>
        </w:rPr>
      </w:pPr>
      <w:r>
        <w:rPr>
          <w:rFonts w:cs="Calibri" w:ascii="Calibri" w:hAnsi="Calibri"/>
          <w:szCs w:val="22"/>
        </w:rPr>
      </w:r>
    </w:p>
    <w:p>
      <w:pPr>
        <w:pStyle w:val="Normal"/>
        <w:ind w:left="7080" w:firstLine="708"/>
        <w:jc w:val="both"/>
        <w:rPr>
          <w:rFonts w:ascii="Calibri" w:hAnsi="Calibri" w:cs="Calibri"/>
          <w:szCs w:val="22"/>
        </w:rPr>
      </w:pPr>
      <w:r>
        <w:rPr>
          <w:rFonts w:cs="Calibri" w:ascii="Calibri" w:hAnsi="Calibri"/>
          <w:szCs w:val="22"/>
        </w:rPr>
      </w:r>
    </w:p>
    <w:p>
      <w:pPr>
        <w:pStyle w:val="Normal"/>
        <w:ind w:left="7080" w:firstLine="708"/>
        <w:jc w:val="both"/>
        <w:rPr>
          <w:rFonts w:ascii="Calibri" w:hAnsi="Calibri" w:cs="Calibri"/>
          <w:szCs w:val="22"/>
        </w:rPr>
      </w:pPr>
      <w:r>
        <w:rPr>
          <w:rFonts w:cs="Calibri" w:ascii="Calibri" w:hAnsi="Calibri"/>
          <w:szCs w:val="22"/>
        </w:rPr>
        <w:t>d'une part,</w:t>
      </w:r>
    </w:p>
    <w:p>
      <w:pPr>
        <w:pStyle w:val="Normal"/>
        <w:jc w:val="both"/>
        <w:rPr>
          <w:rFonts w:ascii="Calibri" w:hAnsi="Calibri" w:cs="Calibri"/>
          <w:b/>
          <w:b/>
          <w:sz w:val="24"/>
          <w:szCs w:val="22"/>
        </w:rPr>
      </w:pPr>
      <w:r>
        <w:rPr>
          <w:rFonts w:cs="Calibri" w:ascii="Calibri" w:hAnsi="Calibri"/>
          <w:b/>
          <w:sz w:val="24"/>
          <w:szCs w:val="22"/>
        </w:rPr>
      </w:r>
    </w:p>
    <w:p>
      <w:pPr>
        <w:pStyle w:val="Normal"/>
        <w:jc w:val="both"/>
        <w:rPr>
          <w:rFonts w:ascii="Calibri" w:hAnsi="Calibri" w:cs="Calibri"/>
          <w:sz w:val="24"/>
        </w:rPr>
      </w:pPr>
      <w:r>
        <w:rPr>
          <w:rFonts w:cs="Calibri" w:ascii="Calibri" w:hAnsi="Calibri"/>
          <w:b/>
          <w:sz w:val="24"/>
        </w:rPr>
        <w:t>et</w:t>
      </w:r>
      <w:r>
        <w:rPr>
          <w:rFonts w:cs="Calibri" w:ascii="Calibri" w:hAnsi="Calibri"/>
          <w:sz w:val="24"/>
        </w:rPr>
        <w:t> :</w:t>
      </w:r>
    </w:p>
    <w:p>
      <w:pPr>
        <w:pStyle w:val="Normal"/>
        <w:jc w:val="both"/>
        <w:rPr>
          <w:rFonts w:ascii="Calibri" w:hAnsi="Calibri" w:cs="Calibri"/>
          <w:sz w:val="24"/>
        </w:rPr>
      </w:pPr>
      <w:r>
        <w:rPr>
          <w:rFonts w:cs="Calibri" w:ascii="Calibri" w:hAnsi="Calibri"/>
          <w:sz w:val="24"/>
        </w:rPr>
      </w:r>
    </w:p>
    <w:p>
      <w:pPr>
        <w:pStyle w:val="Normal"/>
        <w:jc w:val="both"/>
        <w:rPr>
          <w:rFonts w:ascii="Calibri" w:hAnsi="Calibri" w:cs="Calibri"/>
          <w:sz w:val="24"/>
        </w:rPr>
      </w:pPr>
      <w:r>
        <w:rPr>
          <w:rFonts w:cs="Calibri" w:ascii="Calibri" w:hAnsi="Calibri"/>
          <w:sz w:val="24"/>
        </w:rPr>
      </w:r>
    </w:p>
    <w:p>
      <w:pPr>
        <w:pStyle w:val="Normal"/>
        <w:numPr>
          <w:ilvl w:val="0"/>
          <w:numId w:val="4"/>
        </w:numPr>
        <w:ind w:left="1134" w:hanging="360"/>
        <w:jc w:val="both"/>
        <w:rPr>
          <w:rFonts w:ascii="Calibri" w:hAnsi="Calibri" w:cs="Calibri"/>
          <w:szCs w:val="22"/>
          <w:lang w:val="en-GB" w:eastAsia="en-GB"/>
        </w:rPr>
      </w:pPr>
      <w:r>
        <w:rPr>
          <w:rFonts w:cs="Calibri" w:ascii="Calibri" w:hAnsi="Calibri"/>
          <w:b/>
          <w:szCs w:val="22"/>
        </w:rPr>
        <w:t>Les membres titulaires du Comité Social et Economique</w:t>
      </w:r>
    </w:p>
    <w:p>
      <w:pPr>
        <w:pStyle w:val="Normal"/>
        <w:ind w:left="1134" w:hanging="0"/>
        <w:jc w:val="both"/>
        <w:rPr>
          <w:rFonts w:ascii="Calibri" w:hAnsi="Calibri" w:cs="Calibri"/>
          <w:szCs w:val="22"/>
          <w:lang w:val="en-GB" w:eastAsia="en-GB"/>
        </w:rPr>
      </w:pPr>
      <w:r>
        <w:rPr>
          <w:rFonts w:cs="Calibri" w:ascii="Calibri" w:hAnsi="Calibri"/>
          <w:szCs w:val="22"/>
          <w:lang w:val="en-GB" w:eastAsia="en-GB"/>
        </w:rPr>
      </w:r>
    </w:p>
    <w:p>
      <w:pPr>
        <w:pStyle w:val="Normal"/>
        <w:numPr>
          <w:ilvl w:val="0"/>
          <w:numId w:val="2"/>
        </w:numPr>
        <w:rPr/>
      </w:pPr>
      <w:r>
        <w:rPr>
          <w:rFonts w:cs="Arial" w:ascii="Calibri" w:hAnsi="Calibri"/>
          <w:sz w:val="24"/>
          <w:szCs w:val="24"/>
        </w:rPr>
        <w:t xml:space="preserve">M </w:t>
      </w:r>
    </w:p>
    <w:p>
      <w:pPr>
        <w:pStyle w:val="Normal"/>
        <w:numPr>
          <w:ilvl w:val="0"/>
          <w:numId w:val="2"/>
        </w:numPr>
        <w:rPr>
          <w:rFonts w:ascii="Calibri" w:hAnsi="Calibri" w:cs="Arial"/>
          <w:sz w:val="24"/>
          <w:szCs w:val="24"/>
        </w:rPr>
      </w:pPr>
      <w:r>
        <w:rPr>
          <w:rFonts w:cs="Arial" w:ascii="Calibri" w:hAnsi="Calibri"/>
          <w:sz w:val="24"/>
          <w:szCs w:val="24"/>
        </w:rPr>
        <w:t>M</w:t>
      </w:r>
    </w:p>
    <w:p>
      <w:pPr>
        <w:pStyle w:val="Normal"/>
        <w:numPr>
          <w:ilvl w:val="0"/>
          <w:numId w:val="2"/>
        </w:numPr>
        <w:rPr>
          <w:rFonts w:ascii="Calibri" w:hAnsi="Calibri" w:cs="Arial"/>
          <w:sz w:val="24"/>
          <w:szCs w:val="24"/>
        </w:rPr>
      </w:pPr>
      <w:r>
        <w:rPr>
          <w:rFonts w:cs="Arial" w:ascii="Calibri" w:hAnsi="Calibri"/>
          <w:sz w:val="24"/>
          <w:szCs w:val="24"/>
        </w:rPr>
        <w:t>M</w:t>
      </w:r>
    </w:p>
    <w:p>
      <w:pPr>
        <w:pStyle w:val="Normal"/>
        <w:numPr>
          <w:ilvl w:val="0"/>
          <w:numId w:val="2"/>
        </w:numPr>
        <w:rPr>
          <w:rFonts w:ascii="Calibri" w:hAnsi="Calibri" w:cs="Arial"/>
          <w:sz w:val="24"/>
          <w:szCs w:val="24"/>
        </w:rPr>
      </w:pPr>
      <w:r>
        <w:rPr>
          <w:rFonts w:cs="Arial" w:ascii="Calibri" w:hAnsi="Calibri"/>
          <w:sz w:val="24"/>
          <w:szCs w:val="24"/>
        </w:rPr>
        <w:t>M</w:t>
      </w:r>
    </w:p>
    <w:p>
      <w:pPr>
        <w:pStyle w:val="Normal"/>
        <w:numPr>
          <w:ilvl w:val="0"/>
          <w:numId w:val="2"/>
        </w:numPr>
        <w:rPr/>
      </w:pPr>
      <w:r>
        <w:rPr>
          <w:rFonts w:cs="Arial" w:ascii="Calibri" w:hAnsi="Calibri"/>
          <w:sz w:val="24"/>
          <w:szCs w:val="24"/>
        </w:rPr>
        <w:t>M</w:t>
      </w:r>
      <w:r>
        <w:rPr>
          <w:rFonts w:cs="Arial" w:ascii="Calibri" w:hAnsi="Calibri"/>
          <w:b/>
          <w:sz w:val="24"/>
          <w:szCs w:val="24"/>
        </w:rPr>
        <w:tab/>
        <w:tab/>
        <w:t xml:space="preserve"> </w:t>
        <w:tab/>
        <w:tab/>
      </w:r>
    </w:p>
    <w:p>
      <w:pPr>
        <w:pStyle w:val="Normal"/>
        <w:rPr>
          <w:rFonts w:ascii="Calibri" w:hAnsi="Calibri" w:cs="Arial"/>
          <w:b/>
          <w:b/>
          <w:color w:val="FF0000"/>
          <w:sz w:val="24"/>
          <w:szCs w:val="24"/>
        </w:rPr>
      </w:pPr>
      <w:r>
        <w:rPr>
          <w:rFonts w:cs="Arial" w:ascii="Calibri" w:hAnsi="Calibri"/>
          <w:b/>
          <w:color w:val="FF0000"/>
          <w:sz w:val="24"/>
          <w:szCs w:val="24"/>
        </w:rPr>
      </w:r>
    </w:p>
    <w:p>
      <w:pPr>
        <w:pStyle w:val="Normal"/>
        <w:jc w:val="both"/>
        <w:rPr>
          <w:rFonts w:ascii="Calibri" w:hAnsi="Calibri" w:cs="Calibri"/>
          <w:color w:val="FF0000"/>
          <w:sz w:val="24"/>
          <w:szCs w:val="22"/>
        </w:rPr>
      </w:pPr>
      <w:r>
        <w:rPr>
          <w:rFonts w:cs="Calibri" w:ascii="Calibri" w:hAnsi="Calibri"/>
          <w:color w:val="FF0000"/>
          <w:sz w:val="24"/>
          <w:szCs w:val="22"/>
        </w:rPr>
      </w:r>
    </w:p>
    <w:p>
      <w:pPr>
        <w:pStyle w:val="Normal"/>
        <w:ind w:left="7080" w:firstLine="708"/>
        <w:jc w:val="both"/>
        <w:rPr>
          <w:rFonts w:ascii="Calibri" w:hAnsi="Calibri" w:cs="Calibri"/>
          <w:szCs w:val="22"/>
        </w:rPr>
      </w:pPr>
      <w:r>
        <w:rPr>
          <w:rFonts w:cs="Calibri" w:ascii="Calibri" w:hAnsi="Calibri"/>
          <w:szCs w:val="22"/>
        </w:rPr>
        <w:t>d'autre part,</w:t>
      </w:r>
    </w:p>
    <w:p>
      <w:pPr>
        <w:pStyle w:val="Normal"/>
        <w:jc w:val="both"/>
        <w:rPr>
          <w:rFonts w:ascii="Calibri" w:hAnsi="Calibri" w:cs="Calibri"/>
          <w:sz w:val="24"/>
          <w:szCs w:val="22"/>
        </w:rPr>
      </w:pPr>
      <w:r>
        <w:rPr>
          <w:rFonts w:cs="Calibri" w:ascii="Calibri" w:hAnsi="Calibri"/>
          <w:sz w:val="24"/>
          <w:szCs w:val="22"/>
        </w:rPr>
      </w:r>
    </w:p>
    <w:p>
      <w:pPr>
        <w:pStyle w:val="Normal"/>
        <w:jc w:val="both"/>
        <w:rPr>
          <w:rFonts w:ascii="Calibri" w:hAnsi="Calibri" w:cs="Calibri"/>
          <w:sz w:val="24"/>
        </w:rPr>
      </w:pPr>
      <w:r>
        <w:rPr>
          <w:rFonts w:cs="Calibri" w:ascii="Calibri" w:hAnsi="Calibri"/>
          <w:sz w:val="24"/>
        </w:rPr>
      </w:r>
    </w:p>
    <w:p>
      <w:pPr>
        <w:pStyle w:val="Normal"/>
        <w:jc w:val="both"/>
        <w:rPr>
          <w:rFonts w:ascii="Calibri" w:hAnsi="Calibri" w:cs="Calibri"/>
          <w:sz w:val="24"/>
        </w:rPr>
      </w:pPr>
      <w:r>
        <w:rPr>
          <w:rFonts w:cs="Calibri" w:ascii="Calibri" w:hAnsi="Calibri"/>
          <w:sz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t>Il est convenu ce qui suit :</w:t>
      </w:r>
    </w:p>
    <w:p>
      <w:pPr>
        <w:pStyle w:val="Normal"/>
        <w:jc w:val="both"/>
        <w:rPr>
          <w:rFonts w:ascii="Calibri" w:hAnsi="Calibri" w:cs="Calibri"/>
          <w:b/>
          <w:b/>
          <w:sz w:val="24"/>
          <w:szCs w:val="24"/>
        </w:rPr>
      </w:pPr>
      <w:r>
        <w:rPr>
          <w:rFonts w:cs="Calibri" w:ascii="Calibri" w:hAnsi="Calibri"/>
          <w:b/>
          <w:sz w:val="24"/>
          <w:szCs w:val="24"/>
        </w:rPr>
      </w:r>
    </w:p>
    <w:p>
      <w:pPr>
        <w:pStyle w:val="Normal"/>
        <w:jc w:val="center"/>
        <w:rPr>
          <w:rFonts w:ascii="Calibri" w:hAnsi="Calibri" w:cs="Calibri"/>
          <w:b/>
          <w:b/>
          <w:sz w:val="40"/>
          <w:szCs w:val="40"/>
        </w:rPr>
      </w:pPr>
      <w:r>
        <w:rPr>
          <w:rFonts w:cs="Calibri" w:ascii="Calibri" w:hAnsi="Calibri"/>
          <w:b/>
          <w:sz w:val="40"/>
          <w:szCs w:val="40"/>
        </w:rPr>
        <w:t>Préambule</w:t>
      </w:r>
    </w:p>
    <w:p>
      <w:pPr>
        <w:pStyle w:val="Normal"/>
        <w:rPr>
          <w:rFonts w:ascii="Calibri" w:hAnsi="Calibri" w:cs="Calibri"/>
          <w:b/>
          <w:b/>
          <w:sz w:val="40"/>
          <w:szCs w:val="40"/>
        </w:rPr>
      </w:pPr>
      <w:r>
        <w:rPr>
          <w:rFonts w:cs="Calibri" w:ascii="Calibri" w:hAnsi="Calibri"/>
          <w:b/>
          <w:sz w:val="40"/>
          <w:szCs w:val="40"/>
        </w:rPr>
      </w:r>
    </w:p>
    <w:p>
      <w:pPr>
        <w:pStyle w:val="Normal"/>
        <w:tabs>
          <w:tab w:val="left" w:pos="5670" w:leader="dot"/>
        </w:tabs>
        <w:jc w:val="both"/>
        <w:rPr>
          <w:rFonts w:ascii="Calibri" w:hAnsi="Calibri" w:cs="Calibri"/>
          <w:szCs w:val="22"/>
        </w:rPr>
      </w:pPr>
      <w:r>
        <w:rPr>
          <w:rFonts w:cs="Calibri" w:ascii="Calibri" w:hAnsi="Calibri"/>
          <w:szCs w:val="22"/>
        </w:rPr>
      </w:r>
    </w:p>
    <w:p>
      <w:pPr>
        <w:pStyle w:val="TextBody"/>
        <w:tabs>
          <w:tab w:val="left" w:pos="1270" w:leader="dot"/>
        </w:tabs>
        <w:autoSpaceDE w:val="true"/>
        <w:spacing w:before="0" w:after="0"/>
        <w:rPr/>
      </w:pPr>
      <w:r>
        <w:rPr>
          <w:rFonts w:cs="Calibri" w:ascii="Calibri" w:hAnsi="Calibri"/>
          <w:sz w:val="22"/>
          <w:szCs w:val="22"/>
        </w:rPr>
        <w:t xml:space="preserve">Le </w:t>
      </w:r>
      <w:r>
        <w:rPr>
          <w:rFonts w:cs="Calibri" w:ascii="Calibri" w:hAnsi="Calibri"/>
          <w:sz w:val="22"/>
          <w:szCs w:val="22"/>
          <w:lang w:val="fr-FR"/>
        </w:rPr>
        <w:t>29 juin 1999, la société POUPIN a signé un accord collectif d’entreprise de réduction du temps de travail qui, ne s’avère plus applicable et appliqué, à la signature du présent avenant. Il convient par ailleurs de le mettre en conformité avec la législation.</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t>Il est convenu entre les parties que, même s’il s’agit d’un avenant à l’avenant cité au paragraphe précédent, celui-ci reprend l’ensemble des dispositions encore en vigueur de l’accord initial et les nouvelles dispositions qui y sont insérées afin de n’avoir qu’un seul et unique document à consulter pour en faciliter la lecture.</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t xml:space="preserve">Le </w:t>
      </w:r>
      <w:r>
        <w:rPr>
          <w:rFonts w:cs="Calibri" w:ascii="Calibri" w:hAnsi="Calibri"/>
          <w:sz w:val="22"/>
          <w:szCs w:val="22"/>
        </w:rPr>
        <w:t>présent avenant a été négocié et conclu dans le cadre</w:t>
      </w:r>
      <w:r>
        <w:rPr>
          <w:rFonts w:cs="Calibri" w:ascii="Calibri" w:hAnsi="Calibri"/>
          <w:sz w:val="22"/>
          <w:szCs w:val="22"/>
          <w:lang w:val="fr-FR"/>
        </w:rPr>
        <w:t xml:space="preserve"> de la législation en vigueur, soit</w:t>
      </w:r>
      <w:r>
        <w:rPr>
          <w:rFonts w:cs="Calibri" w:ascii="Calibri" w:hAnsi="Calibri"/>
          <w:sz w:val="22"/>
          <w:szCs w:val="22"/>
        </w:rPr>
        <w:t xml:space="preserve"> des dispositions de</w:t>
      </w:r>
      <w:r>
        <w:rPr>
          <w:rFonts w:cs="Calibri" w:ascii="Calibri" w:hAnsi="Calibri"/>
          <w:sz w:val="22"/>
          <w:szCs w:val="22"/>
          <w:lang w:val="fr-FR"/>
        </w:rPr>
        <w:t xml:space="preserve">s </w:t>
      </w:r>
      <w:r>
        <w:rPr>
          <w:rFonts w:cs="Calibri" w:ascii="Calibri" w:hAnsi="Calibri"/>
          <w:sz w:val="22"/>
          <w:szCs w:val="22"/>
        </w:rPr>
        <w:t>article</w:t>
      </w:r>
      <w:r>
        <w:rPr>
          <w:rFonts w:cs="Calibri" w:ascii="Calibri" w:hAnsi="Calibri"/>
          <w:sz w:val="22"/>
          <w:szCs w:val="22"/>
          <w:lang w:val="fr-FR"/>
        </w:rPr>
        <w:t>s</w:t>
      </w:r>
      <w:r>
        <w:rPr>
          <w:rFonts w:cs="Calibri" w:ascii="Calibri" w:hAnsi="Calibri"/>
          <w:sz w:val="22"/>
          <w:szCs w:val="22"/>
        </w:rPr>
        <w:t xml:space="preserve"> L. 2232-2</w:t>
      </w:r>
      <w:r>
        <w:rPr>
          <w:rFonts w:cs="Calibri" w:ascii="Calibri" w:hAnsi="Calibri"/>
          <w:sz w:val="22"/>
          <w:szCs w:val="22"/>
          <w:lang w:val="fr-FR"/>
        </w:rPr>
        <w:t>4 et suivants</w:t>
      </w:r>
      <w:r>
        <w:rPr>
          <w:rFonts w:cs="Calibri" w:ascii="Calibri" w:hAnsi="Calibri"/>
          <w:sz w:val="22"/>
          <w:szCs w:val="22"/>
        </w:rPr>
        <w:t xml:space="preserve"> du Code du travail issus de la loi n° 2018-217 du 29 mars 2018.</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t>Il</w:t>
      </w:r>
      <w:r>
        <w:rPr>
          <w:rFonts w:cs="Calibri" w:ascii="Calibri" w:hAnsi="Calibri"/>
          <w:sz w:val="22"/>
          <w:szCs w:val="22"/>
        </w:rPr>
        <w:t xml:space="preserve"> fixe les modalités d'aménagement du temps de travail au sein de la société </w:t>
      </w:r>
      <w:r>
        <w:rPr>
          <w:rFonts w:cs="Calibri" w:ascii="Calibri" w:hAnsi="Calibri"/>
          <w:sz w:val="22"/>
          <w:szCs w:val="22"/>
          <w:lang w:val="fr-FR"/>
        </w:rPr>
        <w:t>POUPIN.</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Normal"/>
        <w:tabs>
          <w:tab w:val="left" w:pos="5670" w:leader="dot"/>
        </w:tabs>
        <w:jc w:val="both"/>
        <w:rPr>
          <w:rFonts w:ascii="Calibri" w:hAnsi="Calibri" w:cs="Calibri"/>
          <w:szCs w:val="22"/>
        </w:rPr>
      </w:pPr>
      <w:r>
        <w:rPr>
          <w:rFonts w:cs="Calibri" w:ascii="Calibri" w:hAnsi="Calibri"/>
          <w:szCs w:val="22"/>
        </w:rPr>
        <w:t>Outre l’aménagement du temps de travail, le présent avenant a également notamment pour objet le forfait jours, du droit à la déconnexion, etc…</w:t>
      </w:r>
    </w:p>
    <w:p>
      <w:pPr>
        <w:pStyle w:val="Normal"/>
        <w:tabs>
          <w:tab w:val="left" w:pos="5670" w:leader="dot"/>
        </w:tabs>
        <w:jc w:val="both"/>
        <w:rPr>
          <w:rFonts w:ascii="Calibri" w:hAnsi="Calibri" w:cs="Calibri"/>
          <w:szCs w:val="22"/>
        </w:rPr>
      </w:pPr>
      <w:r>
        <w:rPr>
          <w:rFonts w:cs="Calibri" w:ascii="Calibri" w:hAnsi="Calibri"/>
          <w:szCs w:val="22"/>
        </w:rPr>
      </w:r>
    </w:p>
    <w:p>
      <w:pPr>
        <w:pStyle w:val="Normal"/>
        <w:tabs>
          <w:tab w:val="left" w:pos="5670" w:leader="dot"/>
        </w:tabs>
        <w:jc w:val="both"/>
        <w:rPr/>
      </w:pPr>
      <w:r>
        <w:rPr>
          <w:rFonts w:cs="Calibri" w:ascii="Calibri" w:hAnsi="Calibri"/>
          <w:szCs w:val="22"/>
        </w:rPr>
        <w:t>Il est rappelé que la société POUPIN applique la convention collective nationale du bâtiment.</w:t>
      </w:r>
    </w:p>
    <w:p>
      <w:pPr>
        <w:pStyle w:val="Normal"/>
        <w:tabs>
          <w:tab w:val="left" w:pos="5670" w:leader="dot"/>
        </w:tabs>
        <w:jc w:val="both"/>
        <w:rPr>
          <w:rFonts w:ascii="Calibri" w:hAnsi="Calibri" w:cs="Calibri"/>
          <w:szCs w:val="22"/>
        </w:rPr>
      </w:pPr>
      <w:r>
        <w:rPr>
          <w:rFonts w:eastAsia="Calibri" w:cs="Calibri" w:ascii="Calibri" w:hAnsi="Calibri"/>
          <w:szCs w:val="22"/>
        </w:rPr>
        <w:t xml:space="preserve"> </w:t>
      </w:r>
    </w:p>
    <w:p>
      <w:pPr>
        <w:pStyle w:val="TextBody"/>
        <w:tabs>
          <w:tab w:val="left" w:pos="1270" w:leader="dot"/>
        </w:tabs>
        <w:autoSpaceDE w:val="true"/>
        <w:spacing w:before="0" w:after="0"/>
        <w:rPr/>
      </w:pPr>
      <w:r>
        <w:rPr>
          <w:rFonts w:cs="Calibri" w:ascii="Calibri" w:hAnsi="Calibri"/>
          <w:sz w:val="22"/>
          <w:szCs w:val="22"/>
        </w:rPr>
        <w:t>Il est également précisé qu’un changement de numéro d’article du Code du travail visé dans le présent avenant, ainsi que son contenu</w:t>
      </w:r>
      <w:r>
        <w:rPr>
          <w:rFonts w:cs="Calibri" w:ascii="Calibri" w:hAnsi="Calibri"/>
          <w:sz w:val="22"/>
          <w:szCs w:val="22"/>
          <w:lang w:val="fr-FR"/>
        </w:rPr>
        <w:t xml:space="preserve"> ne remettront pas en cause le présent avenant, celui-ci étant antérieur aux éventuels changements</w:t>
      </w:r>
      <w:r>
        <w:rPr>
          <w:rFonts w:cs="Calibri" w:ascii="Calibri" w:hAnsi="Calibri"/>
          <w:sz w:val="22"/>
          <w:szCs w:val="22"/>
        </w:rPr>
        <w:t>.</w:t>
      </w:r>
    </w:p>
    <w:p>
      <w:pPr>
        <w:pStyle w:val="TextBody"/>
        <w:tabs>
          <w:tab w:val="left" w:pos="1270" w:leader="dot"/>
        </w:tabs>
        <w:autoSpaceDE w:val="true"/>
        <w:spacing w:before="0" w:after="0"/>
        <w:rPr>
          <w:rFonts w:ascii="Calibri" w:hAnsi="Calibri" w:cs="Calibri"/>
          <w:sz w:val="22"/>
          <w:szCs w:val="22"/>
        </w:rPr>
      </w:pPr>
      <w:r>
        <w:rPr>
          <w:rFonts w:cs="Calibri" w:ascii="Calibri" w:hAnsi="Calibri"/>
          <w:sz w:val="22"/>
          <w:szCs w:val="22"/>
        </w:rPr>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t xml:space="preserve">De même, le </w:t>
      </w:r>
      <w:r>
        <w:rPr>
          <w:rFonts w:cs="Calibri" w:ascii="Calibri" w:hAnsi="Calibri"/>
          <w:sz w:val="22"/>
          <w:szCs w:val="22"/>
        </w:rPr>
        <w:t>changement d’une disposition de la convention collective</w:t>
      </w:r>
      <w:r>
        <w:rPr>
          <w:rFonts w:cs="Calibri" w:ascii="Calibri" w:hAnsi="Calibri"/>
          <w:sz w:val="22"/>
          <w:szCs w:val="22"/>
          <w:lang w:val="fr-FR"/>
        </w:rPr>
        <w:t xml:space="preserve"> applicable à la société ou le changement de convention collective</w:t>
      </w:r>
      <w:r>
        <w:rPr>
          <w:rFonts w:cs="Calibri" w:ascii="Calibri" w:hAnsi="Calibri"/>
          <w:sz w:val="22"/>
          <w:szCs w:val="22"/>
        </w:rPr>
        <w:t xml:space="preserve"> ne viendrait </w:t>
      </w:r>
      <w:r>
        <w:rPr>
          <w:rFonts w:cs="Calibri" w:ascii="Calibri" w:hAnsi="Calibri"/>
          <w:sz w:val="22"/>
          <w:szCs w:val="22"/>
          <w:lang w:val="fr-FR"/>
        </w:rPr>
        <w:t xml:space="preserve">pas </w:t>
      </w:r>
      <w:r>
        <w:rPr>
          <w:rFonts w:cs="Calibri" w:ascii="Calibri" w:hAnsi="Calibri"/>
          <w:sz w:val="22"/>
          <w:szCs w:val="22"/>
        </w:rPr>
        <w:t xml:space="preserve">remettre en cause le présent avenant et ses annexes, </w:t>
      </w:r>
      <w:r>
        <w:rPr>
          <w:rFonts w:cs="Calibri" w:ascii="Calibri" w:hAnsi="Calibri"/>
          <w:sz w:val="22"/>
          <w:szCs w:val="22"/>
          <w:lang w:val="fr-FR"/>
        </w:rPr>
        <w:t xml:space="preserve">la </w:t>
      </w:r>
      <w:r>
        <w:rPr>
          <w:rFonts w:cs="Calibri" w:ascii="Calibri" w:hAnsi="Calibri"/>
          <w:sz w:val="22"/>
          <w:szCs w:val="22"/>
        </w:rPr>
        <w:t>loi n° 2018-217 du 29 mars 2018</w:t>
      </w:r>
      <w:r>
        <w:rPr>
          <w:rFonts w:cs="Calibri" w:ascii="Calibri" w:hAnsi="Calibri"/>
          <w:sz w:val="22"/>
          <w:szCs w:val="22"/>
          <w:lang w:val="fr-FR"/>
        </w:rPr>
        <w:t xml:space="preserve"> entérinant le principe selon lequel l’avenant d’entreprise prévaut sur l’avenant interprofessionnel (avenant de branche) dans les domaines visés dans le présent avenant. </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Normal"/>
        <w:tabs>
          <w:tab w:val="left" w:pos="1270" w:leader="dot"/>
        </w:tabs>
        <w:jc w:val="both"/>
        <w:rPr>
          <w:rFonts w:ascii="Calibri" w:hAnsi="Calibri" w:cs="Arial"/>
          <w:szCs w:val="22"/>
          <w:lang w:val="en-GB"/>
        </w:rPr>
      </w:pPr>
      <w:r>
        <w:rPr>
          <w:rFonts w:cs="Arial" w:ascii="Calibri" w:hAnsi="Calibri"/>
          <w:szCs w:val="22"/>
        </w:rPr>
        <w:t xml:space="preserve">Il est également rappelé que, </w:t>
      </w:r>
      <w:r>
        <w:rPr>
          <w:rFonts w:cs="Arial" w:ascii="Calibri" w:hAnsi="Calibri"/>
          <w:szCs w:val="22"/>
          <w:lang w:val="en-GB"/>
        </w:rPr>
        <w:t xml:space="preserve">conformément à la loi n° 78-17 du 6 janvier 1978 modifiée par la loi n° 2018-493 du 20 juin 2018 relative à l’informatique, aux fichiers et aux libertés, </w:t>
      </w:r>
      <w:r>
        <w:rPr>
          <w:rFonts w:cs="Arial" w:ascii="Calibri" w:hAnsi="Calibri"/>
          <w:szCs w:val="22"/>
        </w:rPr>
        <w:t xml:space="preserve">chaque salarié de la société </w:t>
      </w:r>
      <w:r>
        <w:rPr>
          <w:rFonts w:cs="Arial" w:ascii="Calibri" w:hAnsi="Calibri"/>
          <w:szCs w:val="22"/>
          <w:lang w:val="en-GB"/>
        </w:rPr>
        <w:t xml:space="preserve">dispose d'un droit d'accès et de rectification aux informations qui </w:t>
      </w:r>
      <w:r>
        <w:rPr>
          <w:rFonts w:cs="Arial" w:ascii="Calibri" w:hAnsi="Calibri"/>
          <w:szCs w:val="22"/>
        </w:rPr>
        <w:t xml:space="preserve">pourront être enregistrés dans le cadre de la mise en place du présent avenant ou, lors de la mise en place des outils de gestion, notamment de temps de travail, repos, congés, …, qui pourraient découler de la mise en place dudit avenant ou, encore de l’enregistrement des données grâces auxdits outils, quels qu’ils soient.   </w:t>
      </w:r>
    </w:p>
    <w:p>
      <w:pPr>
        <w:pStyle w:val="TextBody"/>
        <w:tabs>
          <w:tab w:val="left" w:pos="1270" w:leader="dot"/>
        </w:tabs>
        <w:autoSpaceDE w:val="true"/>
        <w:spacing w:before="0" w:after="0"/>
        <w:rPr>
          <w:rFonts w:ascii="Calibri" w:hAnsi="Calibri" w:cs="Calibri"/>
          <w:sz w:val="22"/>
          <w:szCs w:val="22"/>
          <w:lang w:val="en-GB"/>
        </w:rPr>
      </w:pPr>
      <w:r>
        <w:rPr>
          <w:rFonts w:cs="Calibri" w:ascii="Calibri" w:hAnsi="Calibri"/>
          <w:sz w:val="22"/>
          <w:szCs w:val="22"/>
          <w:lang w:val="en-GB"/>
        </w:rPr>
      </w:r>
    </w:p>
    <w:p>
      <w:pPr>
        <w:pStyle w:val="Normal"/>
        <w:tabs>
          <w:tab w:val="left" w:pos="5670" w:leader="dot"/>
        </w:tabs>
        <w:jc w:val="both"/>
        <w:rPr>
          <w:rFonts w:ascii="Calibri" w:hAnsi="Calibri" w:cs="Calibri"/>
          <w:sz w:val="22"/>
          <w:szCs w:val="22"/>
        </w:rPr>
      </w:pPr>
      <w:r>
        <w:rPr>
          <w:rFonts w:cs="Calibri" w:ascii="Calibri" w:hAnsi="Calibri"/>
          <w:sz w:val="22"/>
          <w:szCs w:val="22"/>
        </w:rPr>
      </w:r>
      <w:r>
        <w:br w:type="page"/>
      </w:r>
    </w:p>
    <w:p>
      <w:pPr>
        <w:pStyle w:val="Normal"/>
        <w:rPr>
          <w:rFonts w:ascii="Calibri" w:hAnsi="Calibri" w:cs="Calibri"/>
          <w:sz w:val="24"/>
          <w:szCs w:val="24"/>
        </w:rPr>
      </w:pPr>
      <w:r>
        <w:rPr>
          <w:rFonts w:cs="Calibri" w:ascii="Calibri" w:hAnsi="Calibri"/>
          <w:sz w:val="24"/>
          <w:szCs w:val="24"/>
        </w:rPr>
      </w:r>
    </w:p>
    <w:p>
      <w:pPr>
        <w:pStyle w:val="Normal"/>
        <w:pBdr>
          <w:top w:val="single" w:sz="12" w:space="1" w:color="000000"/>
          <w:left w:val="single" w:sz="12" w:space="4" w:color="000000"/>
          <w:bottom w:val="single" w:sz="12" w:space="1" w:color="000000"/>
          <w:right w:val="single" w:sz="12" w:space="4" w:color="000000"/>
        </w:pBdr>
        <w:jc w:val="center"/>
        <w:rPr>
          <w:rFonts w:ascii="Calibri" w:hAnsi="Calibri" w:cs="Calibri"/>
          <w:sz w:val="32"/>
          <w:szCs w:val="32"/>
        </w:rPr>
      </w:pPr>
      <w:r>
        <w:rPr>
          <w:rFonts w:cs="Calibri" w:ascii="Calibri" w:hAnsi="Calibri"/>
          <w:sz w:val="32"/>
          <w:szCs w:val="32"/>
        </w:rPr>
        <w:t>SOMMAIRE</w:t>
      </w:r>
    </w:p>
    <w:p>
      <w:pPr>
        <w:pStyle w:val="Normal"/>
        <w:rPr>
          <w:rFonts w:ascii="Calibri" w:hAnsi="Calibri" w:cs="Calibri"/>
          <w:sz w:val="32"/>
          <w:szCs w:val="32"/>
        </w:rPr>
      </w:pPr>
      <w:r>
        <w:rPr>
          <w:rFonts w:cs="Calibri" w:ascii="Calibri" w:hAnsi="Calibri"/>
          <w:sz w:val="32"/>
          <w:szCs w:val="32"/>
        </w:rPr>
      </w:r>
    </w:p>
    <w:p>
      <w:pPr>
        <w:pStyle w:val="Contents1"/>
        <w:rPr>
          <w:rFonts w:cs="Times New Roman"/>
        </w:rPr>
      </w:pPr>
      <w:r>
        <w:fldChar w:fldCharType="begin"/>
      </w:r>
      <w:r>
        <w:instrText> TOC \o "1-3" \h \z \u </w:instrText>
      </w:r>
      <w:r>
        <w:fldChar w:fldCharType="separate"/>
      </w:r>
      <w:hyperlink w:anchor="__RefHeading___Toc90296641">
        <w:r>
          <w:rPr>
            <w:rStyle w:val="IndexLink"/>
          </w:rPr>
          <w:t>CHAPITRE I : VOLET « ORGANISATION DU TEMPS DE TRAVAIL »</w:t>
          <w:tab/>
          <w:t>6</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642">
        <w:r>
          <w:rPr>
            <w:rStyle w:val="IndexLink"/>
          </w:rPr>
          <w:t>A</w:t>
        </w:r>
        <w:r>
          <w:rPr>
            <w:rStyle w:val="IndexLink"/>
            <w:lang w:val="fr-FR" w:eastAsia="en-GB"/>
          </w:rPr>
          <w:t>rticle</w:t>
        </w:r>
        <w:r>
          <w:rPr>
            <w:rStyle w:val="IndexLink"/>
          </w:rPr>
          <w:t xml:space="preserve"> 1. Durée du travail</w:t>
          <w:tab/>
          <w:t>6</w:t>
        </w:r>
      </w:hyperlink>
    </w:p>
    <w:p>
      <w:pPr>
        <w:pStyle w:val="Contents3"/>
        <w:tabs>
          <w:tab w:val="right" w:pos="9060" w:leader="dot"/>
        </w:tabs>
        <w:rPr>
          <w:rFonts w:ascii="Calibri" w:hAnsi="Calibri" w:cs="Calibri"/>
          <w:szCs w:val="22"/>
          <w:lang w:val="en-GB" w:eastAsia="en-GB"/>
        </w:rPr>
      </w:pPr>
      <w:hyperlink w:anchor="__RefHeading___Toc90296643">
        <w:r>
          <w:rPr>
            <w:rStyle w:val="IndexLink"/>
            <w:rFonts w:cs="Calibri" w:ascii="Calibri" w:hAnsi="Calibri"/>
            <w:lang w:val="en-GB" w:eastAsia="en-GB"/>
          </w:rPr>
          <w:t>1.1. Durée légale du travail</w:t>
        </w:r>
        <w:r>
          <w:rPr>
            <w:rStyle w:val="IndexLink"/>
            <w:lang w:val="en-GB" w:eastAsia="en-GB"/>
          </w:rPr>
          <w:tab/>
          <w:t>6</w:t>
        </w:r>
      </w:hyperlink>
    </w:p>
    <w:p>
      <w:pPr>
        <w:pStyle w:val="Contents3"/>
        <w:tabs>
          <w:tab w:val="right" w:pos="9060" w:leader="dot"/>
        </w:tabs>
        <w:rPr>
          <w:rFonts w:ascii="Calibri" w:hAnsi="Calibri" w:cs="Calibri"/>
          <w:szCs w:val="22"/>
          <w:lang w:val="en-GB" w:eastAsia="en-GB"/>
        </w:rPr>
      </w:pPr>
      <w:hyperlink w:anchor="__RefHeading___Toc90296644">
        <w:r>
          <w:rPr>
            <w:rStyle w:val="IndexLink"/>
            <w:rFonts w:cs="Calibri" w:ascii="Calibri" w:hAnsi="Calibri"/>
            <w:lang w:val="en-GB" w:eastAsia="en-GB"/>
          </w:rPr>
          <w:t>1.2. Définition du temps de travail effectif</w:t>
        </w:r>
        <w:r>
          <w:rPr>
            <w:rStyle w:val="IndexLink"/>
            <w:lang w:val="en-GB" w:eastAsia="en-GB"/>
          </w:rPr>
          <w:tab/>
          <w:t>6</w:t>
        </w:r>
      </w:hyperlink>
    </w:p>
    <w:p>
      <w:pPr>
        <w:pStyle w:val="Contents3"/>
        <w:tabs>
          <w:tab w:val="right" w:pos="9060" w:leader="dot"/>
        </w:tabs>
        <w:rPr>
          <w:rFonts w:ascii="Calibri" w:hAnsi="Calibri" w:cs="Calibri"/>
          <w:szCs w:val="22"/>
          <w:lang w:val="en-GB" w:eastAsia="en-GB"/>
        </w:rPr>
      </w:pPr>
      <w:hyperlink w:anchor="__RefHeading___Toc90296645">
        <w:r>
          <w:rPr>
            <w:rStyle w:val="IndexLink"/>
            <w:lang w:val="en-GB" w:eastAsia="en-GB"/>
          </w:rPr>
          <w:t>1.3. Précisions spécifiques au contrôle du temps de travail, à la règlementation légale relative à la pause, aux heures supplémentaires et complémentaires.</w:t>
          <w:tab/>
          <w:t>6</w:t>
        </w:r>
      </w:hyperlink>
    </w:p>
    <w:p>
      <w:pPr>
        <w:pStyle w:val="Contents2"/>
        <w:rPr>
          <w:rFonts w:ascii="Calibri" w:hAnsi="Calibri" w:cs="Calibri"/>
          <w:szCs w:val="22"/>
          <w:lang w:val="en-GB" w:eastAsia="en-GB"/>
        </w:rPr>
      </w:pPr>
      <w:r>
        <w:rPr>
          <w:rFonts w:cs="Calibri"/>
          <w:szCs w:val="22"/>
          <w:lang w:val="en-GB" w:eastAsia="en-GB"/>
        </w:rPr>
      </w:r>
    </w:p>
    <w:p>
      <w:pPr>
        <w:pStyle w:val="Contents2"/>
        <w:rPr>
          <w:rFonts w:eastAsia="Times New Roman" w:cs="Times New Roman"/>
          <w:b w:val="false"/>
          <w:b w:val="false"/>
          <w:bCs w:val="false"/>
          <w:lang w:val="fr-FR" w:eastAsia="en-GB"/>
        </w:rPr>
      </w:pPr>
      <w:hyperlink w:anchor="__RefHeading___Toc90296646">
        <w:r>
          <w:rPr>
            <w:rStyle w:val="IndexLink"/>
          </w:rPr>
          <w:t>A</w:t>
        </w:r>
        <w:r>
          <w:rPr>
            <w:rStyle w:val="IndexLink"/>
            <w:lang w:val="fr-FR" w:eastAsia="en-GB"/>
          </w:rPr>
          <w:t>rticle</w:t>
        </w:r>
        <w:r>
          <w:rPr>
            <w:rStyle w:val="IndexLink"/>
          </w:rPr>
          <w:t xml:space="preserve"> 2. Aménagement du temps de travail</w:t>
          <w:tab/>
          <w:t>8</w:t>
        </w:r>
      </w:hyperlink>
    </w:p>
    <w:p>
      <w:pPr>
        <w:pStyle w:val="Contents3"/>
        <w:tabs>
          <w:tab w:val="right" w:pos="9060" w:leader="dot"/>
        </w:tabs>
        <w:rPr>
          <w:rFonts w:eastAsia="Times New Roman" w:cs="Times New Roman"/>
          <w:b/>
          <w:b/>
          <w:bCs/>
          <w:lang w:val="en-GB" w:eastAsia="en-GB"/>
        </w:rPr>
      </w:pPr>
      <w:r>
        <w:rPr>
          <w:rFonts w:eastAsia="Times New Roman" w:cs="Times New Roman"/>
          <w:b/>
          <w:bCs/>
          <w:lang w:val="en-GB" w:eastAsia="en-GB"/>
        </w:rPr>
      </w:r>
    </w:p>
    <w:p>
      <w:pPr>
        <w:pStyle w:val="Contents3"/>
        <w:tabs>
          <w:tab w:val="right" w:pos="9060" w:leader="dot"/>
        </w:tabs>
        <w:rPr>
          <w:rFonts w:ascii="Calibri" w:hAnsi="Calibri" w:cs="Calibri"/>
          <w:szCs w:val="22"/>
          <w:lang w:val="en-GB" w:eastAsia="en-GB"/>
        </w:rPr>
      </w:pPr>
      <w:hyperlink w:anchor="__RefHeading___Toc90296647">
        <w:r>
          <w:rPr>
            <w:rStyle w:val="IndexLink"/>
            <w:rFonts w:cs="Calibri" w:ascii="Calibri" w:hAnsi="Calibri"/>
            <w:lang w:val="en-GB" w:eastAsia="en-GB"/>
          </w:rPr>
          <w:t>2.1. Modalités générales</w:t>
        </w:r>
        <w:r>
          <w:rPr>
            <w:rStyle w:val="IndexLink"/>
            <w:lang w:val="en-GB" w:eastAsia="en-GB"/>
          </w:rPr>
          <w:tab/>
          <w:t>8</w:t>
        </w:r>
      </w:hyperlink>
    </w:p>
    <w:p>
      <w:pPr>
        <w:pStyle w:val="Contents3"/>
        <w:tabs>
          <w:tab w:val="right" w:pos="9060" w:leader="dot"/>
        </w:tabs>
        <w:rPr>
          <w:rFonts w:ascii="Calibri" w:hAnsi="Calibri" w:cs="Calibri"/>
          <w:szCs w:val="22"/>
          <w:lang w:val="en-GB" w:eastAsia="en-GB"/>
        </w:rPr>
      </w:pPr>
      <w:hyperlink w:anchor="__RefHeading___Toc90296648">
        <w:r>
          <w:rPr>
            <w:rStyle w:val="IndexLink"/>
            <w:lang w:val="en-GB" w:eastAsia="en-GB"/>
          </w:rPr>
          <w:t>2.1.1. Champ d'application de l'aménagement du temps de travail</w:t>
          <w:tab/>
          <w:t>8</w:t>
        </w:r>
      </w:hyperlink>
    </w:p>
    <w:p>
      <w:pPr>
        <w:pStyle w:val="Contents3"/>
        <w:tabs>
          <w:tab w:val="right" w:pos="9060" w:leader="dot"/>
        </w:tabs>
        <w:rPr>
          <w:rFonts w:ascii="Calibri" w:hAnsi="Calibri" w:cs="Calibri"/>
          <w:szCs w:val="22"/>
          <w:lang w:val="en-GB" w:eastAsia="en-GB"/>
        </w:rPr>
      </w:pPr>
      <w:hyperlink w:anchor="__RefHeading___Toc90296649">
        <w:r>
          <w:rPr>
            <w:rStyle w:val="IndexLink"/>
            <w:lang w:val="en-GB" w:eastAsia="en-GB"/>
          </w:rPr>
          <w:t>2.1.2. Nombre d'heures ou de jours travaillés dans le cadre de l’aménagement du temps de travail</w:t>
          <w:tab/>
          <w:t>8</w:t>
        </w:r>
      </w:hyperlink>
    </w:p>
    <w:p>
      <w:pPr>
        <w:pStyle w:val="Contents3"/>
        <w:tabs>
          <w:tab w:val="right" w:pos="9060" w:leader="dot"/>
        </w:tabs>
        <w:rPr>
          <w:rFonts w:ascii="Calibri" w:hAnsi="Calibri" w:cs="Calibri"/>
          <w:szCs w:val="22"/>
          <w:lang w:val="en-GB" w:eastAsia="en-GB"/>
        </w:rPr>
      </w:pPr>
      <w:r>
        <w:rPr>
          <w:rFonts w:cs="Calibri" w:ascii="Calibri" w:hAnsi="Calibri"/>
          <w:szCs w:val="22"/>
          <w:lang w:val="en-GB" w:eastAsia="en-GB"/>
        </w:rPr>
      </w:r>
    </w:p>
    <w:p>
      <w:pPr>
        <w:pStyle w:val="Contents3"/>
        <w:tabs>
          <w:tab w:val="right" w:pos="9060" w:leader="dot"/>
        </w:tabs>
        <w:rPr>
          <w:rFonts w:ascii="Calibri" w:hAnsi="Calibri" w:cs="Calibri"/>
          <w:szCs w:val="22"/>
          <w:lang w:val="en-GB" w:eastAsia="en-GB"/>
        </w:rPr>
      </w:pPr>
      <w:hyperlink w:anchor="__RefHeading___Toc90296650">
        <w:r>
          <w:rPr>
            <w:rStyle w:val="IndexLink"/>
            <w:rFonts w:cs="Calibri" w:ascii="Calibri" w:hAnsi="Calibri"/>
            <w:lang w:val="en-GB" w:eastAsia="en-GB"/>
          </w:rPr>
          <w:t>2.2. Modalités d'application par catégories</w:t>
        </w:r>
        <w:r>
          <w:rPr>
            <w:rStyle w:val="IndexLink"/>
            <w:lang w:val="en-GB" w:eastAsia="en-GB"/>
          </w:rPr>
          <w:tab/>
          <w:t>9</w:t>
        </w:r>
      </w:hyperlink>
    </w:p>
    <w:p>
      <w:pPr>
        <w:pStyle w:val="Contents3"/>
        <w:tabs>
          <w:tab w:val="right" w:pos="9060" w:leader="dot"/>
        </w:tabs>
        <w:rPr>
          <w:rFonts w:ascii="Calibri" w:hAnsi="Calibri" w:cs="Calibri"/>
          <w:szCs w:val="22"/>
          <w:lang w:val="en-GB" w:eastAsia="en-GB"/>
        </w:rPr>
      </w:pPr>
      <w:r>
        <w:rPr>
          <w:rFonts w:cs="Calibri" w:ascii="Calibri" w:hAnsi="Calibri"/>
          <w:szCs w:val="22"/>
          <w:lang w:val="en-GB" w:eastAsia="en-GB"/>
        </w:rPr>
      </w:r>
    </w:p>
    <w:p>
      <w:pPr>
        <w:pStyle w:val="Contents3"/>
        <w:tabs>
          <w:tab w:val="right" w:pos="9060" w:leader="dot"/>
        </w:tabs>
        <w:rPr>
          <w:rFonts w:ascii="Calibri" w:hAnsi="Calibri" w:cs="Calibri"/>
          <w:szCs w:val="22"/>
          <w:lang w:val="en-GB" w:eastAsia="en-GB"/>
        </w:rPr>
      </w:pPr>
      <w:hyperlink w:anchor="__RefHeading___Toc90296651">
        <w:r>
          <w:rPr>
            <w:rStyle w:val="IndexLink"/>
            <w:lang w:val="en-GB" w:eastAsia="en-GB"/>
          </w:rPr>
          <w:t>2.2.1. Salariés en CDI à temps plein</w:t>
          <w:tab/>
          <w:t>9</w:t>
        </w:r>
      </w:hyperlink>
    </w:p>
    <w:p>
      <w:pPr>
        <w:pStyle w:val="Contents3"/>
        <w:tabs>
          <w:tab w:val="right" w:pos="9060" w:leader="dot"/>
        </w:tabs>
        <w:rPr>
          <w:rFonts w:ascii="Calibri" w:hAnsi="Calibri" w:cs="Calibri"/>
          <w:szCs w:val="22"/>
          <w:lang w:val="en-GB" w:eastAsia="en-GB"/>
        </w:rPr>
      </w:pPr>
      <w:hyperlink w:anchor="__RefHeading___Toc90296652">
        <w:r>
          <w:rPr>
            <w:rStyle w:val="IndexLink"/>
            <w:lang w:val="en-GB" w:eastAsia="en-GB"/>
          </w:rPr>
          <w:t>a. Catégorie de salariés concernés</w:t>
          <w:tab/>
          <w:t>9</w:t>
        </w:r>
      </w:hyperlink>
    </w:p>
    <w:p>
      <w:pPr>
        <w:pStyle w:val="Contents3"/>
        <w:tabs>
          <w:tab w:val="right" w:pos="9060" w:leader="dot"/>
        </w:tabs>
        <w:rPr>
          <w:rFonts w:ascii="Calibri" w:hAnsi="Calibri" w:cs="Calibri"/>
          <w:szCs w:val="22"/>
          <w:lang w:val="en-GB" w:eastAsia="en-GB"/>
        </w:rPr>
      </w:pPr>
      <w:hyperlink w:anchor="__RefHeading___Toc90296653">
        <w:r>
          <w:rPr>
            <w:rStyle w:val="IndexLink"/>
            <w:lang w:val="en-GB" w:eastAsia="en-GB"/>
          </w:rPr>
          <w:t>b. Modalités d’aménagement du temps de travail</w:t>
          <w:tab/>
          <w:t>9</w:t>
        </w:r>
      </w:hyperlink>
    </w:p>
    <w:p>
      <w:pPr>
        <w:pStyle w:val="Contents3"/>
        <w:tabs>
          <w:tab w:val="right" w:pos="9060" w:leader="dot"/>
        </w:tabs>
        <w:rPr>
          <w:rFonts w:ascii="Calibri" w:hAnsi="Calibri" w:cs="Calibri"/>
          <w:szCs w:val="22"/>
          <w:lang w:val="en-GB" w:eastAsia="en-GB"/>
        </w:rPr>
      </w:pPr>
      <w:hyperlink w:anchor="__RefHeading___Toc90296654">
        <w:r>
          <w:rPr>
            <w:rStyle w:val="IndexLink"/>
            <w:lang w:val="en-GB" w:eastAsia="en-GB"/>
          </w:rPr>
          <w:t>c. L’aménagement du temps de travail sur une période annuelle dite « Annualisation du temps de travail »</w:t>
          <w:tab/>
          <w:t>9</w:t>
        </w:r>
      </w:hyperlink>
    </w:p>
    <w:p>
      <w:pPr>
        <w:pStyle w:val="Contents3"/>
        <w:tabs>
          <w:tab w:val="right" w:pos="9060" w:leader="dot"/>
        </w:tabs>
        <w:rPr>
          <w:rFonts w:ascii="Calibri" w:hAnsi="Calibri" w:cs="Calibri"/>
          <w:szCs w:val="22"/>
          <w:lang w:val="en-GB" w:eastAsia="en-GB"/>
        </w:rPr>
      </w:pPr>
      <w:hyperlink w:anchor="__RefHeading___Toc90296655">
        <w:r>
          <w:rPr>
            <w:rStyle w:val="IndexLink"/>
            <w:lang w:val="en-GB" w:eastAsia="en-GB"/>
          </w:rPr>
          <w:t>d. Répartition linéaire du temps de travail sur la semaine</w:t>
          <w:tab/>
          <w:t>12</w:t>
        </w:r>
      </w:hyperlink>
    </w:p>
    <w:p>
      <w:pPr>
        <w:pStyle w:val="Contents3"/>
        <w:tabs>
          <w:tab w:val="right" w:pos="9060" w:leader="dot"/>
        </w:tabs>
        <w:rPr>
          <w:rFonts w:ascii="Calibri" w:hAnsi="Calibri" w:cs="Calibri"/>
          <w:szCs w:val="22"/>
          <w:lang w:val="en-GB" w:eastAsia="en-GB"/>
        </w:rPr>
      </w:pPr>
      <w:r>
        <w:rPr>
          <w:rFonts w:cs="Calibri" w:ascii="Calibri" w:hAnsi="Calibri"/>
          <w:szCs w:val="22"/>
          <w:lang w:val="en-GB" w:eastAsia="en-GB"/>
        </w:rPr>
      </w:r>
    </w:p>
    <w:p>
      <w:pPr>
        <w:pStyle w:val="Contents3"/>
        <w:tabs>
          <w:tab w:val="right" w:pos="9060" w:leader="dot"/>
        </w:tabs>
        <w:rPr>
          <w:rFonts w:ascii="Calibri" w:hAnsi="Calibri" w:cs="Calibri"/>
          <w:szCs w:val="22"/>
          <w:lang w:val="en-GB" w:eastAsia="en-GB"/>
        </w:rPr>
      </w:pPr>
      <w:hyperlink w:anchor="__RefHeading___Toc90296656">
        <w:r>
          <w:rPr>
            <w:rStyle w:val="IndexLink"/>
            <w:lang w:val="en-GB" w:eastAsia="en-GB"/>
          </w:rPr>
          <w:t>2.2.2. Salariés en CDI à temps partiel</w:t>
          <w:tab/>
          <w:t>14</w:t>
        </w:r>
      </w:hyperlink>
    </w:p>
    <w:p>
      <w:pPr>
        <w:pStyle w:val="Contents3"/>
        <w:tabs>
          <w:tab w:val="right" w:pos="9060" w:leader="dot"/>
        </w:tabs>
        <w:rPr>
          <w:rFonts w:ascii="Calibri" w:hAnsi="Calibri" w:cs="Calibri"/>
          <w:szCs w:val="22"/>
          <w:lang w:val="en-GB" w:eastAsia="en-GB"/>
        </w:rPr>
      </w:pPr>
      <w:hyperlink w:anchor="__RefHeading___Toc90296657">
        <w:r>
          <w:rPr>
            <w:rStyle w:val="IndexLink"/>
            <w:lang w:val="en-GB" w:eastAsia="en-GB"/>
          </w:rPr>
          <w:t>a. Catégorie de salariés concernés</w:t>
          <w:tab/>
          <w:t>14</w:t>
        </w:r>
      </w:hyperlink>
    </w:p>
    <w:p>
      <w:pPr>
        <w:pStyle w:val="Contents3"/>
        <w:tabs>
          <w:tab w:val="right" w:pos="9060" w:leader="dot"/>
        </w:tabs>
        <w:rPr>
          <w:rFonts w:ascii="Calibri" w:hAnsi="Calibri" w:cs="Calibri"/>
          <w:szCs w:val="22"/>
          <w:lang w:val="en-GB" w:eastAsia="en-GB"/>
        </w:rPr>
      </w:pPr>
      <w:hyperlink w:anchor="__RefHeading___Toc90296658">
        <w:r>
          <w:rPr>
            <w:rStyle w:val="IndexLink"/>
            <w:lang w:val="en-GB" w:eastAsia="en-GB"/>
          </w:rPr>
          <w:t>b. Modalités d’aménagement du temps de travail</w:t>
          <w:tab/>
          <w:t>14</w:t>
        </w:r>
      </w:hyperlink>
    </w:p>
    <w:p>
      <w:pPr>
        <w:pStyle w:val="Contents3"/>
        <w:tabs>
          <w:tab w:val="right" w:pos="9060" w:leader="dot"/>
        </w:tabs>
        <w:rPr>
          <w:rFonts w:ascii="Calibri" w:hAnsi="Calibri" w:cs="Calibri"/>
          <w:szCs w:val="22"/>
          <w:lang w:val="en-GB" w:eastAsia="en-GB"/>
        </w:rPr>
      </w:pPr>
      <w:hyperlink w:anchor="__RefHeading___Toc90296659">
        <w:r>
          <w:rPr>
            <w:rStyle w:val="IndexLink"/>
            <w:lang w:val="en-GB" w:eastAsia="en-GB"/>
          </w:rPr>
          <w:t>c. L’aménagement du travail à temps partiel sur une période annuelle dite « Annualisation du temps de travail »</w:t>
          <w:tab/>
          <w:t>14</w:t>
        </w:r>
      </w:hyperlink>
    </w:p>
    <w:p>
      <w:pPr>
        <w:pStyle w:val="Contents3"/>
        <w:tabs>
          <w:tab w:val="right" w:pos="9060" w:leader="dot"/>
        </w:tabs>
        <w:rPr>
          <w:rFonts w:ascii="Calibri" w:hAnsi="Calibri" w:cs="Calibri"/>
          <w:szCs w:val="22"/>
          <w:lang w:val="en-GB" w:eastAsia="en-GB"/>
        </w:rPr>
      </w:pPr>
      <w:hyperlink w:anchor="__RefHeading___Toc90296660">
        <w:r>
          <w:rPr>
            <w:rStyle w:val="IndexLink"/>
            <w:lang w:val="en-GB" w:eastAsia="en-GB"/>
          </w:rPr>
          <w:t>d. Le temps partiel dans un cadre hebdomadaire ou mensuel</w:t>
          <w:tab/>
          <w:t>19</w:t>
        </w:r>
      </w:hyperlink>
    </w:p>
    <w:p>
      <w:pPr>
        <w:pStyle w:val="Contents3"/>
        <w:tabs>
          <w:tab w:val="right" w:pos="9060" w:leader="dot"/>
        </w:tabs>
        <w:rPr>
          <w:rFonts w:ascii="Calibri" w:hAnsi="Calibri" w:cs="Calibri"/>
          <w:szCs w:val="22"/>
          <w:lang w:val="en-GB" w:eastAsia="en-GB"/>
        </w:rPr>
      </w:pPr>
      <w:hyperlink w:anchor="__RefHeading___Toc90296661">
        <w:r>
          <w:rPr>
            <w:rStyle w:val="IndexLink"/>
            <w:lang w:val="en-GB" w:eastAsia="en-GB"/>
          </w:rPr>
          <w:t>e. L’organisation du temps de travail des salariés à temps partiel</w:t>
          <w:tab/>
          <w:t>20</w:t>
        </w:r>
      </w:hyperlink>
    </w:p>
    <w:p>
      <w:pPr>
        <w:pStyle w:val="Contents3"/>
        <w:tabs>
          <w:tab w:val="right" w:pos="9060" w:leader="dot"/>
        </w:tabs>
        <w:rPr>
          <w:rFonts w:ascii="Calibri" w:hAnsi="Calibri" w:cs="Calibri"/>
          <w:szCs w:val="22"/>
          <w:lang w:val="en-GB" w:eastAsia="en-GB"/>
        </w:rPr>
      </w:pPr>
      <w:hyperlink w:anchor="__RefHeading___Toc90296662">
        <w:r>
          <w:rPr>
            <w:rStyle w:val="IndexLink"/>
            <w:lang w:val="en-GB" w:eastAsia="en-GB"/>
          </w:rPr>
          <w:t>f. Garanties</w:t>
          <w:tab/>
          <w:t>20</w:t>
        </w:r>
      </w:hyperlink>
    </w:p>
    <w:p>
      <w:pPr>
        <w:pStyle w:val="Contents3"/>
        <w:tabs>
          <w:tab w:val="right" w:pos="9060" w:leader="dot"/>
        </w:tabs>
        <w:rPr>
          <w:rFonts w:ascii="Calibri" w:hAnsi="Calibri" w:cs="Calibri"/>
          <w:szCs w:val="22"/>
          <w:lang w:val="en-GB" w:eastAsia="en-GB"/>
        </w:rPr>
      </w:pPr>
      <w:r>
        <w:rPr>
          <w:rFonts w:cs="Calibri" w:ascii="Calibri" w:hAnsi="Calibri"/>
          <w:szCs w:val="22"/>
          <w:lang w:val="en-GB" w:eastAsia="en-GB"/>
        </w:rPr>
      </w:r>
    </w:p>
    <w:p>
      <w:pPr>
        <w:pStyle w:val="Contents3"/>
        <w:tabs>
          <w:tab w:val="right" w:pos="9060" w:leader="dot"/>
        </w:tabs>
        <w:rPr>
          <w:rFonts w:ascii="Calibri" w:hAnsi="Calibri" w:cs="Calibri"/>
          <w:szCs w:val="22"/>
          <w:lang w:val="en-GB" w:eastAsia="en-GB"/>
        </w:rPr>
      </w:pPr>
      <w:hyperlink w:anchor="__RefHeading___Toc90296663">
        <w:r>
          <w:rPr>
            <w:rStyle w:val="IndexLink"/>
            <w:lang w:val="en-GB" w:eastAsia="en-GB"/>
          </w:rPr>
          <w:t>2.2.3. Salariés en CDD et intérimaires</w:t>
          <w:tab/>
          <w:t>21</w:t>
        </w:r>
      </w:hyperlink>
    </w:p>
    <w:p>
      <w:pPr>
        <w:pStyle w:val="Contents3"/>
        <w:tabs>
          <w:tab w:val="right" w:pos="9060" w:leader="dot"/>
        </w:tabs>
        <w:rPr>
          <w:rFonts w:ascii="Calibri" w:hAnsi="Calibri" w:cs="Calibri"/>
          <w:szCs w:val="22"/>
          <w:lang w:val="en-GB" w:eastAsia="en-GB"/>
        </w:rPr>
      </w:pPr>
      <w:r>
        <w:rPr>
          <w:rFonts w:cs="Calibri" w:ascii="Calibri" w:hAnsi="Calibri"/>
          <w:szCs w:val="22"/>
          <w:lang w:val="en-GB" w:eastAsia="en-GB"/>
        </w:rPr>
      </w:r>
    </w:p>
    <w:p>
      <w:pPr>
        <w:pStyle w:val="Contents3"/>
        <w:tabs>
          <w:tab w:val="right" w:pos="9060" w:leader="dot"/>
        </w:tabs>
        <w:rPr>
          <w:rFonts w:ascii="Calibri" w:hAnsi="Calibri" w:cs="Calibri"/>
          <w:szCs w:val="22"/>
          <w:lang w:val="en-GB" w:eastAsia="en-GB"/>
        </w:rPr>
      </w:pPr>
      <w:hyperlink w:anchor="__RefHeading___Toc90296664">
        <w:r>
          <w:rPr>
            <w:rStyle w:val="IndexLink"/>
            <w:lang w:val="en-GB" w:eastAsia="en-GB"/>
          </w:rPr>
          <w:t>2.2.4. Salariés autonomes en forfait jours</w:t>
          <w:tab/>
          <w:t>22</w:t>
        </w:r>
      </w:hyperlink>
    </w:p>
    <w:p>
      <w:pPr>
        <w:pStyle w:val="Contents3"/>
        <w:tabs>
          <w:tab w:val="right" w:pos="9060" w:leader="dot"/>
        </w:tabs>
        <w:rPr>
          <w:rFonts w:ascii="Calibri" w:hAnsi="Calibri" w:cs="Calibri"/>
          <w:szCs w:val="22"/>
          <w:lang w:val="en-GB" w:eastAsia="en-GB"/>
        </w:rPr>
      </w:pPr>
      <w:hyperlink w:anchor="__RefHeading___Toc90296665">
        <w:r>
          <w:rPr>
            <w:rStyle w:val="IndexLink"/>
            <w:lang w:val="en-GB" w:eastAsia="en-GB"/>
          </w:rPr>
          <w:t>a. Champ d’application</w:t>
          <w:tab/>
          <w:t>22</w:t>
        </w:r>
      </w:hyperlink>
    </w:p>
    <w:p>
      <w:pPr>
        <w:pStyle w:val="Contents3"/>
        <w:tabs>
          <w:tab w:val="right" w:pos="9060" w:leader="dot"/>
        </w:tabs>
        <w:rPr>
          <w:rFonts w:ascii="Calibri" w:hAnsi="Calibri" w:cs="Calibri"/>
          <w:szCs w:val="22"/>
          <w:lang w:val="en-GB" w:eastAsia="en-GB"/>
        </w:rPr>
      </w:pPr>
      <w:hyperlink w:anchor="__RefHeading___Toc90296666">
        <w:r>
          <w:rPr>
            <w:rStyle w:val="IndexLink"/>
            <w:lang w:val="en-GB" w:eastAsia="en-GB"/>
          </w:rPr>
          <w:t xml:space="preserve">b. Convention individuelle de </w:t>
        </w:r>
        <w:r>
          <w:rPr>
            <w:rStyle w:val="IndexLink"/>
            <w:rFonts w:cs="Calibri"/>
            <w:lang w:val="en-GB" w:eastAsia="en-GB"/>
          </w:rPr>
          <w:t>f</w:t>
        </w:r>
        <w:r>
          <w:rPr>
            <w:rStyle w:val="IndexLink"/>
            <w:lang w:val="en-GB" w:eastAsia="en-GB"/>
          </w:rPr>
          <w:t>orfait en jours</w:t>
          <w:tab/>
          <w:t>22</w:t>
        </w:r>
      </w:hyperlink>
    </w:p>
    <w:p>
      <w:pPr>
        <w:pStyle w:val="Contents3"/>
        <w:tabs>
          <w:tab w:val="right" w:pos="9060" w:leader="dot"/>
        </w:tabs>
        <w:rPr>
          <w:rFonts w:ascii="Calibri" w:hAnsi="Calibri" w:cs="Calibri"/>
          <w:szCs w:val="22"/>
          <w:lang w:val="en-GB" w:eastAsia="en-GB"/>
        </w:rPr>
      </w:pPr>
      <w:hyperlink w:anchor="__RefHeading___Toc90296667">
        <w:r>
          <w:rPr>
            <w:rStyle w:val="IndexLink"/>
            <w:lang w:val="en-GB" w:eastAsia="en-GB"/>
          </w:rPr>
          <w:t>c. Organisation de l’activité et enregistrement des journées de travail</w:t>
          <w:tab/>
          <w:t>22</w:t>
        </w:r>
      </w:hyperlink>
    </w:p>
    <w:p>
      <w:pPr>
        <w:pStyle w:val="Contents3"/>
        <w:tabs>
          <w:tab w:val="right" w:pos="9060" w:leader="dot"/>
        </w:tabs>
        <w:rPr>
          <w:rFonts w:ascii="Calibri" w:hAnsi="Calibri" w:cs="Calibri"/>
          <w:szCs w:val="22"/>
          <w:lang w:val="en-GB" w:eastAsia="en-GB"/>
        </w:rPr>
      </w:pPr>
      <w:hyperlink w:anchor="__RefHeading___Toc90296668">
        <w:r>
          <w:rPr>
            <w:rStyle w:val="IndexLink"/>
            <w:lang w:val="en-GB" w:eastAsia="en-GB"/>
          </w:rPr>
          <w:t>d. Suivi de l’organisation du travail de chaque salarié et droit à la déconnexion</w:t>
          <w:tab/>
          <w:t>24</w:t>
        </w:r>
      </w:hyperlink>
    </w:p>
    <w:p>
      <w:pPr>
        <w:pStyle w:val="Contents3"/>
        <w:tabs>
          <w:tab w:val="right" w:pos="9060" w:leader="dot"/>
        </w:tabs>
        <w:rPr>
          <w:rFonts w:ascii="Calibri" w:hAnsi="Calibri" w:cs="Calibri"/>
          <w:szCs w:val="22"/>
          <w:lang w:val="en-GB" w:eastAsia="en-GB"/>
        </w:rPr>
      </w:pPr>
      <w:hyperlink w:anchor="__RefHeading___Toc90296669">
        <w:r>
          <w:rPr>
            <w:rStyle w:val="IndexLink"/>
            <w:lang w:val="en-GB" w:eastAsia="en-GB"/>
          </w:rPr>
          <w:t>e. Rémunération</w:t>
          <w:tab/>
          <w:t>25</w:t>
        </w:r>
      </w:hyperlink>
    </w:p>
    <w:p>
      <w:pPr>
        <w:pStyle w:val="Contents3"/>
        <w:tabs>
          <w:tab w:val="right" w:pos="9060" w:leader="dot"/>
        </w:tabs>
        <w:rPr>
          <w:rFonts w:ascii="Calibri" w:hAnsi="Calibri" w:cs="Calibri"/>
          <w:szCs w:val="22"/>
          <w:lang w:val="en-GB" w:eastAsia="en-GB"/>
        </w:rPr>
      </w:pPr>
      <w:hyperlink w:anchor="__RefHeading___Toc90296670">
        <w:r>
          <w:rPr>
            <w:rStyle w:val="IndexLink"/>
            <w:lang w:val="en-GB" w:eastAsia="en-GB"/>
          </w:rPr>
          <w:t>f. Absences</w:t>
          <w:tab/>
          <w:t>25</w:t>
        </w:r>
      </w:hyperlink>
    </w:p>
    <w:p>
      <w:pPr>
        <w:pStyle w:val="Contents3"/>
        <w:tabs>
          <w:tab w:val="right" w:pos="9060" w:leader="dot"/>
        </w:tabs>
        <w:rPr>
          <w:rFonts w:ascii="Calibri" w:hAnsi="Calibri" w:cs="Calibri"/>
          <w:szCs w:val="22"/>
          <w:lang w:val="en-GB" w:eastAsia="en-GB"/>
        </w:rPr>
      </w:pPr>
      <w:hyperlink w:anchor="__RefHeading___Toc90296671">
        <w:r>
          <w:rPr>
            <w:rStyle w:val="IndexLink"/>
            <w:lang w:val="en-GB" w:eastAsia="en-GB"/>
          </w:rPr>
          <w:t>g. Embauche ou rupture du contrat de travail au cours de la période de référence</w:t>
          <w:tab/>
          <w:t>26</w:t>
        </w:r>
      </w:hyperlink>
    </w:p>
    <w:p>
      <w:pPr>
        <w:pStyle w:val="Contents3"/>
        <w:tabs>
          <w:tab w:val="right" w:pos="9060" w:leader="dot"/>
        </w:tabs>
        <w:rPr>
          <w:rFonts w:ascii="Calibri" w:hAnsi="Calibri" w:cs="Calibri"/>
          <w:szCs w:val="22"/>
          <w:lang w:val="en-GB" w:eastAsia="en-GB"/>
        </w:rPr>
      </w:pPr>
      <w:hyperlink w:anchor="__RefHeading___Toc90296672">
        <w:r>
          <w:rPr>
            <w:rStyle w:val="IndexLink"/>
            <w:lang w:val="en-GB" w:eastAsia="en-GB"/>
          </w:rPr>
          <w:t>h. Contrat de travail</w:t>
          <w:tab/>
          <w:t>26</w:t>
        </w:r>
      </w:hyperlink>
    </w:p>
    <w:p>
      <w:pPr>
        <w:pStyle w:val="Contents1"/>
        <w:rPr>
          <w:rFonts w:ascii="Calibri" w:hAnsi="Calibri" w:cs="Calibri"/>
          <w:szCs w:val="22"/>
          <w:lang w:val="en-GB" w:eastAsia="en-GB"/>
        </w:rPr>
      </w:pPr>
      <w:r>
        <w:rPr>
          <w:rFonts w:cs="Calibri"/>
          <w:szCs w:val="22"/>
          <w:lang w:val="en-GB" w:eastAsia="en-GB"/>
        </w:rPr>
      </w:r>
    </w:p>
    <w:p>
      <w:pPr>
        <w:pStyle w:val="Contents1"/>
        <w:rPr>
          <w:rFonts w:cs="Times New Roman"/>
        </w:rPr>
      </w:pPr>
      <w:hyperlink w:anchor="__RefHeading___Toc90296673">
        <w:r>
          <w:rPr>
            <w:rStyle w:val="IndexLink"/>
          </w:rPr>
          <w:t>CHAPITRE II : VOLET « DROIT A LA DECONNEXION »</w:t>
          <w:tab/>
          <w:t>27</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674">
        <w:r>
          <w:rPr>
            <w:rStyle w:val="IndexLink"/>
          </w:rPr>
          <w:t>Article 1. Déconnexion – Définitions</w:t>
          <w:tab/>
          <w:t>27</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75">
        <w:r>
          <w:rPr>
            <w:rStyle w:val="IndexLink"/>
          </w:rPr>
          <w:t>Article 2. Champ d’application</w:t>
          <w:tab/>
          <w:t>27</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76">
        <w:r>
          <w:rPr>
            <w:rStyle w:val="IndexLink"/>
          </w:rPr>
          <w:t>Article 3. Sensibilisation et formation à la déconnexion</w:t>
          <w:tab/>
          <w:t>27</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77">
        <w:r>
          <w:rPr>
            <w:rStyle w:val="IndexLink"/>
          </w:rPr>
          <w:t>Article 4. Lutte contre la surcharge informationnelle liée à l’utilisation de la messagerie électronique professionnelle</w:t>
          <w:tab/>
          <w:t>28</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78">
        <w:r>
          <w:rPr>
            <w:rStyle w:val="IndexLink"/>
          </w:rPr>
          <w:t>Article 5. Lutte contre le stress lié à l’utilisation des outils numériques professionnels</w:t>
          <w:tab/>
          <w:t>28</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79">
        <w:r>
          <w:rPr>
            <w:rStyle w:val="IndexLink"/>
          </w:rPr>
          <w:t>Article 6. Droit à la déconnexion</w:t>
          <w:tab/>
          <w:t>28</w:t>
        </w:r>
      </w:hyperlink>
    </w:p>
    <w:p>
      <w:pPr>
        <w:pStyle w:val="Contents3"/>
        <w:tabs>
          <w:tab w:val="right" w:pos="9060" w:leader="dot"/>
        </w:tabs>
        <w:rPr>
          <w:rFonts w:ascii="Calibri" w:hAnsi="Calibri" w:cs="Calibri"/>
          <w:szCs w:val="22"/>
          <w:lang w:val="en-GB" w:eastAsia="en-GB"/>
        </w:rPr>
      </w:pPr>
      <w:hyperlink w:anchor="__RefHeading___Toc90296680">
        <w:r>
          <w:rPr>
            <w:rStyle w:val="IndexLink"/>
            <w:rFonts w:cs="Calibri" w:ascii="Calibri" w:hAnsi="Calibri"/>
            <w:lang w:val="en-GB" w:eastAsia="en-GB"/>
          </w:rPr>
          <w:t>6.1. 1ère modalité - Déconnexion haute</w:t>
        </w:r>
        <w:r>
          <w:rPr>
            <w:rStyle w:val="IndexLink"/>
            <w:lang w:val="en-GB" w:eastAsia="en-GB"/>
          </w:rPr>
          <w:tab/>
          <w:t>28</w:t>
        </w:r>
      </w:hyperlink>
    </w:p>
    <w:p>
      <w:pPr>
        <w:pStyle w:val="Contents3"/>
        <w:tabs>
          <w:tab w:val="right" w:pos="9060" w:leader="dot"/>
        </w:tabs>
        <w:rPr>
          <w:rFonts w:ascii="Calibri" w:hAnsi="Calibri" w:cs="Calibri"/>
          <w:szCs w:val="22"/>
          <w:lang w:val="en-GB" w:eastAsia="en-GB"/>
        </w:rPr>
      </w:pPr>
      <w:hyperlink w:anchor="__RefHeading___Toc90296681">
        <w:r>
          <w:rPr>
            <w:rStyle w:val="IndexLink"/>
            <w:rFonts w:cs="Calibri" w:ascii="Calibri" w:hAnsi="Calibri"/>
            <w:lang w:val="en-GB" w:eastAsia="en-GB"/>
          </w:rPr>
          <w:t>6.2. 2ème modalité - Déconnexion basse</w:t>
        </w:r>
        <w:r>
          <w:rPr>
            <w:rStyle w:val="IndexLink"/>
            <w:lang w:val="en-GB" w:eastAsia="en-GB"/>
          </w:rPr>
          <w:tab/>
          <w:t>29</w:t>
        </w:r>
      </w:hyperlink>
    </w:p>
    <w:p>
      <w:pPr>
        <w:pStyle w:val="Contents2"/>
        <w:rPr>
          <w:rFonts w:ascii="Calibri" w:hAnsi="Calibri" w:cs="Calibri"/>
          <w:szCs w:val="22"/>
          <w:lang w:val="en-GB" w:eastAsia="en-GB"/>
        </w:rPr>
      </w:pPr>
      <w:r>
        <w:rPr>
          <w:rFonts w:cs="Calibri"/>
          <w:szCs w:val="22"/>
          <w:lang w:val="en-GB" w:eastAsia="en-GB"/>
        </w:rPr>
      </w:r>
    </w:p>
    <w:p>
      <w:pPr>
        <w:pStyle w:val="Contents2"/>
        <w:rPr>
          <w:rFonts w:eastAsia="Times New Roman" w:cs="Times New Roman"/>
          <w:b w:val="false"/>
          <w:b w:val="false"/>
          <w:bCs w:val="false"/>
          <w:lang w:val="fr-FR" w:eastAsia="en-GB"/>
        </w:rPr>
      </w:pPr>
      <w:hyperlink w:anchor="__RefHeading___Toc90296682">
        <w:r>
          <w:rPr>
            <w:rStyle w:val="IndexLink"/>
          </w:rPr>
          <w:t>Article 7. Bilan annuel sur l’usage des outils numériques professionnels</w:t>
          <w:tab/>
          <w:t>29</w:t>
        </w:r>
      </w:hyperlink>
    </w:p>
    <w:p>
      <w:pPr>
        <w:pStyle w:val="Contents1"/>
        <w:rPr>
          <w:rFonts w:eastAsia="Times New Roman" w:cs="Times New Roman"/>
          <w:b/>
          <w:b/>
          <w:bCs/>
          <w:lang w:val="fr-FR" w:eastAsia="en-GB"/>
        </w:rPr>
      </w:pPr>
      <w:r>
        <w:rPr>
          <w:rFonts w:eastAsia="Times New Roman" w:cs="Times New Roman"/>
          <w:b/>
          <w:bCs/>
          <w:lang w:val="fr-FR" w:eastAsia="en-GB"/>
        </w:rPr>
      </w:r>
    </w:p>
    <w:p>
      <w:pPr>
        <w:pStyle w:val="Contents1"/>
        <w:rPr>
          <w:rFonts w:cs="Times New Roman"/>
        </w:rPr>
      </w:pPr>
      <w:hyperlink w:anchor="__RefHeading___Toc90296683">
        <w:r>
          <w:rPr>
            <w:rStyle w:val="IndexLink"/>
          </w:rPr>
          <w:t>CHAPITRE III : VOLET « DUREE MAXIMALE DE TRAVAIL»</w:t>
          <w:tab/>
          <w:t>30</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684">
        <w:r>
          <w:rPr>
            <w:rStyle w:val="IndexLink"/>
          </w:rPr>
          <w:t>A</w:t>
        </w:r>
        <w:r>
          <w:rPr>
            <w:rStyle w:val="IndexLink"/>
            <w:lang w:val="fr-FR" w:eastAsia="en-GB"/>
          </w:rPr>
          <w:t>rticle</w:t>
        </w:r>
        <w:r>
          <w:rPr>
            <w:rStyle w:val="IndexLink"/>
          </w:rPr>
          <w:t xml:space="preserve"> 1. </w:t>
        </w:r>
        <w:r>
          <w:rPr>
            <w:rStyle w:val="IndexLink"/>
            <w:lang w:val="fr-FR" w:eastAsia="en-GB"/>
          </w:rPr>
          <w:t>Champ d’application</w:t>
        </w:r>
        <w:r>
          <w:rPr>
            <w:rStyle w:val="IndexLink"/>
          </w:rPr>
          <w:tab/>
          <w:t>30</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85">
        <w:r>
          <w:rPr>
            <w:rStyle w:val="IndexLink"/>
          </w:rPr>
          <w:t>A</w:t>
        </w:r>
        <w:r>
          <w:rPr>
            <w:rStyle w:val="IndexLink"/>
            <w:lang w:val="fr-FR" w:eastAsia="en-GB"/>
          </w:rPr>
          <w:t>rticle</w:t>
        </w:r>
        <w:r>
          <w:rPr>
            <w:rStyle w:val="IndexLink"/>
          </w:rPr>
          <w:t xml:space="preserve"> </w:t>
        </w:r>
        <w:r>
          <w:rPr>
            <w:rStyle w:val="IndexLink"/>
            <w:lang w:val="fr-FR" w:eastAsia="en-GB"/>
          </w:rPr>
          <w:t>2</w:t>
        </w:r>
        <w:r>
          <w:rPr>
            <w:rStyle w:val="IndexLink"/>
          </w:rPr>
          <w:t>. Durée maximale quotidienne du travail</w:t>
          <w:tab/>
          <w:t>30</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86">
        <w:r>
          <w:rPr>
            <w:rStyle w:val="IndexLink"/>
          </w:rPr>
          <w:t>Article 3. Repos quotidien</w:t>
        </w:r>
        <w:r>
          <w:rPr>
            <w:rStyle w:val="IndexLink"/>
            <w:lang w:val="fr-FR" w:eastAsia="en-GB"/>
          </w:rPr>
          <w:t xml:space="preserve"> et hebdomadaire</w:t>
        </w:r>
        <w:r>
          <w:rPr>
            <w:rStyle w:val="IndexLink"/>
          </w:rPr>
          <w:tab/>
          <w:t>30</w:t>
        </w:r>
      </w:hyperlink>
    </w:p>
    <w:p>
      <w:pPr>
        <w:pStyle w:val="Contents1"/>
        <w:rPr>
          <w:rFonts w:eastAsia="Times New Roman" w:cs="Times New Roman"/>
          <w:b/>
          <w:b/>
          <w:bCs/>
          <w:lang w:val="fr-FR" w:eastAsia="en-GB"/>
        </w:rPr>
      </w:pPr>
      <w:r>
        <w:rPr>
          <w:rFonts w:eastAsia="Times New Roman" w:cs="Times New Roman"/>
          <w:b/>
          <w:bCs/>
          <w:lang w:val="fr-FR" w:eastAsia="en-GB"/>
        </w:rPr>
      </w:r>
    </w:p>
    <w:p>
      <w:pPr>
        <w:pStyle w:val="Contents1"/>
        <w:rPr>
          <w:rFonts w:cs="Times New Roman"/>
        </w:rPr>
      </w:pPr>
      <w:hyperlink w:anchor="__RefHeading___Toc90296687">
        <w:r>
          <w:rPr>
            <w:rStyle w:val="IndexLink"/>
          </w:rPr>
          <w:t>CHAPITRE IV : VOLET « CONTINGENT ANNUEL D’HEURES SUPPLEMENTAIRES ET CONTREPARTIE OBLIGATOIRE EN REPOS »</w:t>
          <w:tab/>
          <w:t>32</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688">
        <w:r>
          <w:rPr>
            <w:rStyle w:val="IndexLink"/>
          </w:rPr>
          <w:t>A</w:t>
        </w:r>
        <w:r>
          <w:rPr>
            <w:rStyle w:val="IndexLink"/>
            <w:lang w:val="fr-FR" w:eastAsia="en-GB"/>
          </w:rPr>
          <w:t>rticle</w:t>
        </w:r>
        <w:r>
          <w:rPr>
            <w:rStyle w:val="IndexLink"/>
          </w:rPr>
          <w:t xml:space="preserve"> 1. Champ d’application</w:t>
          <w:tab/>
          <w:t>32</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89">
        <w:r>
          <w:rPr>
            <w:rStyle w:val="IndexLink"/>
          </w:rPr>
          <w:t>A</w:t>
        </w:r>
        <w:r>
          <w:rPr>
            <w:rStyle w:val="IndexLink"/>
            <w:lang w:val="fr-FR" w:eastAsia="en-GB"/>
          </w:rPr>
          <w:t>rticle</w:t>
        </w:r>
        <w:r>
          <w:rPr>
            <w:rStyle w:val="IndexLink"/>
          </w:rPr>
          <w:t xml:space="preserve"> </w:t>
        </w:r>
        <w:r>
          <w:rPr>
            <w:rStyle w:val="IndexLink"/>
            <w:lang w:val="fr-FR" w:eastAsia="en-GB"/>
          </w:rPr>
          <w:t>2</w:t>
        </w:r>
        <w:r>
          <w:rPr>
            <w:rStyle w:val="IndexLink"/>
          </w:rPr>
          <w:t>. Décompte et définition des heures supplémentaires</w:t>
          <w:tab/>
          <w:t>32</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90">
        <w:r>
          <w:rPr>
            <w:rStyle w:val="IndexLink"/>
          </w:rPr>
          <w:t>A</w:t>
        </w:r>
        <w:r>
          <w:rPr>
            <w:rStyle w:val="IndexLink"/>
            <w:lang w:val="fr-FR" w:eastAsia="en-GB"/>
          </w:rPr>
          <w:t>rticle</w:t>
        </w:r>
        <w:r>
          <w:rPr>
            <w:rStyle w:val="IndexLink"/>
          </w:rPr>
          <w:t xml:space="preserve"> 3. Contingent annuel d’heures supplémentaires</w:t>
          <w:tab/>
          <w:t>32</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91">
        <w:r>
          <w:rPr>
            <w:rStyle w:val="IndexLink"/>
          </w:rPr>
          <w:t>A</w:t>
        </w:r>
        <w:r>
          <w:rPr>
            <w:rStyle w:val="IndexLink"/>
            <w:lang w:val="fr-FR" w:eastAsia="en-GB"/>
          </w:rPr>
          <w:t>rticle</w:t>
        </w:r>
        <w:r>
          <w:rPr>
            <w:rStyle w:val="IndexLink"/>
          </w:rPr>
          <w:t xml:space="preserve"> 4. Contrepartie obligatoire en repos</w:t>
          <w:tab/>
          <w:t>32</w:t>
        </w:r>
      </w:hyperlink>
    </w:p>
    <w:p>
      <w:pPr>
        <w:pStyle w:val="Contents3"/>
        <w:tabs>
          <w:tab w:val="right" w:pos="9060" w:leader="dot"/>
        </w:tabs>
        <w:rPr>
          <w:rFonts w:ascii="Calibri" w:hAnsi="Calibri" w:cs="Calibri"/>
          <w:szCs w:val="22"/>
          <w:lang w:val="en-GB" w:eastAsia="en-GB"/>
        </w:rPr>
      </w:pPr>
      <w:hyperlink w:anchor="__RefHeading___Toc90296692">
        <w:r>
          <w:rPr>
            <w:rStyle w:val="IndexLink"/>
            <w:rFonts w:cs="Calibri" w:ascii="Calibri" w:hAnsi="Calibri"/>
            <w:lang w:val="en-GB" w:eastAsia="en-GB"/>
          </w:rPr>
          <w:t>4.1. Contrepartie obligatoire en repos</w:t>
        </w:r>
        <w:r>
          <w:rPr>
            <w:rStyle w:val="IndexLink"/>
            <w:lang w:val="en-GB" w:eastAsia="en-GB"/>
          </w:rPr>
          <w:tab/>
          <w:t>33</w:t>
        </w:r>
      </w:hyperlink>
    </w:p>
    <w:p>
      <w:pPr>
        <w:pStyle w:val="Contents3"/>
        <w:tabs>
          <w:tab w:val="right" w:pos="9060" w:leader="dot"/>
        </w:tabs>
        <w:rPr>
          <w:rFonts w:ascii="Calibri" w:hAnsi="Calibri" w:cs="Calibri"/>
          <w:szCs w:val="22"/>
          <w:lang w:val="en-GB" w:eastAsia="en-GB"/>
        </w:rPr>
      </w:pPr>
      <w:hyperlink w:anchor="__RefHeading___Toc90296693">
        <w:r>
          <w:rPr>
            <w:rStyle w:val="IndexLink"/>
            <w:rFonts w:cs="Calibri" w:ascii="Calibri" w:hAnsi="Calibri"/>
            <w:lang w:val="en-GB" w:eastAsia="en-GB"/>
          </w:rPr>
          <w:t>4.2. Conditions et modalités de prise de la contrepartie obligatoire en repos</w:t>
        </w:r>
        <w:r>
          <w:rPr>
            <w:rStyle w:val="IndexLink"/>
            <w:lang w:val="en-GB" w:eastAsia="en-GB"/>
          </w:rPr>
          <w:tab/>
          <w:t>33</w:t>
        </w:r>
      </w:hyperlink>
    </w:p>
    <w:p>
      <w:pPr>
        <w:pStyle w:val="Contents2"/>
        <w:rPr>
          <w:rFonts w:ascii="Calibri" w:hAnsi="Calibri" w:cs="Calibri"/>
          <w:szCs w:val="22"/>
          <w:lang w:val="en-GB" w:eastAsia="en-GB"/>
        </w:rPr>
      </w:pPr>
      <w:r>
        <w:rPr>
          <w:rFonts w:cs="Calibri"/>
          <w:szCs w:val="22"/>
          <w:lang w:val="en-GB" w:eastAsia="en-GB"/>
        </w:rPr>
      </w:r>
    </w:p>
    <w:p>
      <w:pPr>
        <w:pStyle w:val="Contents2"/>
        <w:rPr>
          <w:rFonts w:eastAsia="Times New Roman" w:cs="Times New Roman"/>
          <w:b w:val="false"/>
          <w:b w:val="false"/>
          <w:bCs w:val="false"/>
          <w:lang w:val="fr-FR" w:eastAsia="en-GB"/>
        </w:rPr>
      </w:pPr>
      <w:hyperlink w:anchor="__RefHeading___Toc90296694">
        <w:r>
          <w:rPr>
            <w:rStyle w:val="IndexLink"/>
          </w:rPr>
          <w:t>A</w:t>
        </w:r>
        <w:r>
          <w:rPr>
            <w:rStyle w:val="IndexLink"/>
            <w:lang w:val="fr-FR" w:eastAsia="en-GB"/>
          </w:rPr>
          <w:t>rticle</w:t>
        </w:r>
        <w:r>
          <w:rPr>
            <w:rStyle w:val="IndexLink"/>
          </w:rPr>
          <w:t xml:space="preserve"> 5. Rupture du contrat de travail avant bénéfice d</w:t>
        </w:r>
        <w:r>
          <w:rPr>
            <w:rStyle w:val="IndexLink"/>
            <w:lang w:val="fr-FR" w:eastAsia="en-GB"/>
          </w:rPr>
          <w:t>e la contrepartie obligatoire en repos</w:t>
        </w:r>
        <w:r>
          <w:rPr>
            <w:rStyle w:val="IndexLink"/>
          </w:rPr>
          <w:tab/>
          <w:t>34</w:t>
        </w:r>
      </w:hyperlink>
    </w:p>
    <w:p>
      <w:pPr>
        <w:pStyle w:val="Contents1"/>
        <w:rPr>
          <w:rFonts w:eastAsia="Times New Roman" w:cs="Times New Roman"/>
          <w:b/>
          <w:b/>
          <w:bCs/>
          <w:lang w:val="fr-FR" w:eastAsia="en-GB"/>
        </w:rPr>
      </w:pPr>
      <w:r>
        <w:rPr>
          <w:rFonts w:eastAsia="Times New Roman" w:cs="Times New Roman"/>
          <w:b/>
          <w:bCs/>
          <w:lang w:val="fr-FR" w:eastAsia="en-GB"/>
        </w:rPr>
      </w:r>
    </w:p>
    <w:p>
      <w:pPr>
        <w:pStyle w:val="Contents1"/>
        <w:rPr>
          <w:rFonts w:cs="Times New Roman"/>
        </w:rPr>
      </w:pPr>
      <w:hyperlink w:anchor="__RefHeading___Toc90296695">
        <w:r>
          <w:rPr>
            <w:rStyle w:val="IndexLink"/>
          </w:rPr>
          <w:t>CHAPITRE V : VOLET « TRAVAIL LE SAMEDI ET/OU LE DIMANCHE»</w:t>
          <w:tab/>
          <w:t>35</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696">
        <w:r>
          <w:rPr>
            <w:rStyle w:val="IndexLink"/>
          </w:rPr>
          <w:t>A</w:t>
        </w:r>
        <w:r>
          <w:rPr>
            <w:rStyle w:val="IndexLink"/>
            <w:lang w:val="fr-FR" w:eastAsia="en-GB"/>
          </w:rPr>
          <w:t>rticle</w:t>
        </w:r>
        <w:r>
          <w:rPr>
            <w:rStyle w:val="IndexLink"/>
          </w:rPr>
          <w:t xml:space="preserve"> 1. Champ d’application</w:t>
          <w:tab/>
          <w:t>35</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97">
        <w:r>
          <w:rPr>
            <w:rStyle w:val="IndexLink"/>
          </w:rPr>
          <w:t>A</w:t>
        </w:r>
        <w:r>
          <w:rPr>
            <w:rStyle w:val="IndexLink"/>
            <w:lang w:val="fr-FR" w:eastAsia="en-GB"/>
          </w:rPr>
          <w:t>rticle</w:t>
        </w:r>
        <w:r>
          <w:rPr>
            <w:rStyle w:val="IndexLink"/>
          </w:rPr>
          <w:t xml:space="preserve"> 2. </w:t>
        </w:r>
        <w:r>
          <w:rPr>
            <w:rStyle w:val="IndexLink"/>
            <w:lang w:val="fr-FR" w:eastAsia="en-GB"/>
          </w:rPr>
          <w:t>Rappel de la règle légale</w:t>
        </w:r>
        <w:r>
          <w:rPr>
            <w:rStyle w:val="IndexLink"/>
          </w:rPr>
          <w:tab/>
          <w:t>35</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698">
        <w:r>
          <w:rPr>
            <w:rStyle w:val="IndexLink"/>
          </w:rPr>
          <w:t>A</w:t>
        </w:r>
        <w:r>
          <w:rPr>
            <w:rStyle w:val="IndexLink"/>
            <w:lang w:val="fr-FR" w:eastAsia="en-GB"/>
          </w:rPr>
          <w:t>rticle</w:t>
        </w:r>
        <w:r>
          <w:rPr>
            <w:rStyle w:val="IndexLink"/>
          </w:rPr>
          <w:t xml:space="preserve"> 3. </w:t>
        </w:r>
        <w:r>
          <w:rPr>
            <w:rStyle w:val="IndexLink"/>
            <w:lang w:val="fr-FR" w:eastAsia="en-GB"/>
          </w:rPr>
          <w:t>Rappel des règles relatives au repos quotidien et du repos hebdomadaire</w:t>
        </w:r>
        <w:r>
          <w:rPr>
            <w:rStyle w:val="IndexLink"/>
          </w:rPr>
          <w:tab/>
          <w:t>35</w:t>
        </w:r>
      </w:hyperlink>
    </w:p>
    <w:p>
      <w:pPr>
        <w:pStyle w:val="Contents1"/>
        <w:rPr>
          <w:rFonts w:eastAsia="Times New Roman" w:cs="Times New Roman"/>
          <w:b/>
          <w:b/>
          <w:bCs/>
          <w:lang w:val="fr-FR" w:eastAsia="en-GB"/>
        </w:rPr>
      </w:pPr>
      <w:r>
        <w:rPr>
          <w:rFonts w:eastAsia="Times New Roman" w:cs="Times New Roman"/>
          <w:b/>
          <w:bCs/>
          <w:lang w:val="fr-FR" w:eastAsia="en-GB"/>
        </w:rPr>
      </w:r>
    </w:p>
    <w:p>
      <w:pPr>
        <w:pStyle w:val="Contents1"/>
        <w:rPr>
          <w:rFonts w:cs="Times New Roman"/>
        </w:rPr>
      </w:pPr>
      <w:hyperlink w:anchor="__RefHeading___Toc90296699">
        <w:r>
          <w:rPr>
            <w:rStyle w:val="IndexLink"/>
          </w:rPr>
          <w:t>CHAPITRE VI : VOLET « DISPOSITIONS DIVERSES »</w:t>
          <w:tab/>
          <w:t>36</w:t>
        </w:r>
      </w:hyperlink>
    </w:p>
    <w:p>
      <w:pPr>
        <w:pStyle w:val="Contents2"/>
        <w:rPr>
          <w:rFonts w:cs="Times New Roman"/>
        </w:rPr>
      </w:pPr>
      <w:r>
        <w:rPr>
          <w:rFonts w:cs="Times New Roman"/>
        </w:rPr>
      </w:r>
    </w:p>
    <w:p>
      <w:pPr>
        <w:pStyle w:val="Contents2"/>
        <w:rPr>
          <w:rFonts w:eastAsia="Times New Roman" w:cs="Times New Roman"/>
          <w:b w:val="false"/>
          <w:b w:val="false"/>
          <w:bCs w:val="false"/>
          <w:lang w:val="fr-FR" w:eastAsia="en-GB"/>
        </w:rPr>
      </w:pPr>
      <w:hyperlink w:anchor="__RefHeading___Toc90296700">
        <w:r>
          <w:rPr>
            <w:rStyle w:val="IndexLink"/>
          </w:rPr>
          <w:t>A</w:t>
        </w:r>
        <w:r>
          <w:rPr>
            <w:rStyle w:val="IndexLink"/>
            <w:lang w:val="fr-FR" w:eastAsia="en-GB"/>
          </w:rPr>
          <w:t>rticle</w:t>
        </w:r>
        <w:r>
          <w:rPr>
            <w:rStyle w:val="IndexLink"/>
          </w:rPr>
          <w:t xml:space="preserve"> 1. Politique de l’emploi</w:t>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1">
        <w:r>
          <w:rPr>
            <w:rStyle w:val="IndexLink"/>
          </w:rPr>
          <w:t>A</w:t>
        </w:r>
        <w:r>
          <w:rPr>
            <w:rStyle w:val="IndexLink"/>
            <w:lang w:val="fr-FR" w:eastAsia="en-GB"/>
          </w:rPr>
          <w:t xml:space="preserve">rticle </w:t>
        </w:r>
        <w:r>
          <w:rPr>
            <w:rStyle w:val="IndexLink"/>
          </w:rPr>
          <w:t>2. Champ d’application</w:t>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2">
        <w:r>
          <w:rPr>
            <w:rStyle w:val="IndexLink"/>
          </w:rPr>
          <w:t>A</w:t>
        </w:r>
        <w:r>
          <w:rPr>
            <w:rStyle w:val="IndexLink"/>
            <w:lang w:val="fr-FR" w:eastAsia="en-GB"/>
          </w:rPr>
          <w:t>rticle</w:t>
        </w:r>
        <w:r>
          <w:rPr>
            <w:rStyle w:val="IndexLink"/>
          </w:rPr>
          <w:t xml:space="preserve"> 3. Suivi de l’avenant</w:t>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3">
        <w:r>
          <w:rPr>
            <w:rStyle w:val="IndexLink"/>
          </w:rPr>
          <w:t>A</w:t>
        </w:r>
        <w:r>
          <w:rPr>
            <w:rStyle w:val="IndexLink"/>
            <w:lang w:val="fr-FR" w:eastAsia="en-GB"/>
          </w:rPr>
          <w:t>rticle</w:t>
        </w:r>
        <w:r>
          <w:rPr>
            <w:rStyle w:val="IndexLink"/>
          </w:rPr>
          <w:t xml:space="preserve"> 4. Durée</w:t>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4">
        <w:r>
          <w:rPr>
            <w:rStyle w:val="IndexLink"/>
          </w:rPr>
          <w:t>A</w:t>
        </w:r>
        <w:r>
          <w:rPr>
            <w:rStyle w:val="IndexLink"/>
            <w:lang w:val="fr-FR" w:eastAsia="en-GB"/>
          </w:rPr>
          <w:t>rticle</w:t>
        </w:r>
        <w:r>
          <w:rPr>
            <w:rStyle w:val="IndexLink"/>
          </w:rPr>
          <w:t xml:space="preserve"> 5. Révision</w:t>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5">
        <w:r>
          <w:rPr>
            <w:rStyle w:val="IndexLink"/>
            <w:shd w:fill="FFFFFF" w:val="clear"/>
          </w:rPr>
          <w:t xml:space="preserve">Article 6. </w:t>
        </w:r>
        <w:r>
          <w:rPr>
            <w:rStyle w:val="IndexLink"/>
          </w:rPr>
          <w:t>Modification</w:t>
        </w:r>
        <w:r>
          <w:rPr>
            <w:rStyle w:val="IndexLink"/>
            <w:shd w:fill="FFFFFF" w:val="clear"/>
          </w:rPr>
          <w:t xml:space="preserve"> de l'avenant</w:t>
        </w:r>
        <w:r>
          <w:rPr>
            <w:rStyle w:val="IndexLink"/>
          </w:rPr>
          <w:tab/>
          <w:t>36</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6">
        <w:r>
          <w:rPr>
            <w:rStyle w:val="IndexLink"/>
          </w:rPr>
          <w:t>A</w:t>
        </w:r>
        <w:r>
          <w:rPr>
            <w:rStyle w:val="IndexLink"/>
            <w:lang w:val="fr-FR" w:eastAsia="en-GB"/>
          </w:rPr>
          <w:t>rticle</w:t>
        </w:r>
        <w:r>
          <w:rPr>
            <w:rStyle w:val="IndexLink"/>
          </w:rPr>
          <w:t xml:space="preserve"> </w:t>
        </w:r>
        <w:r>
          <w:rPr>
            <w:rStyle w:val="IndexLink"/>
            <w:lang w:val="fr-FR" w:eastAsia="en-GB"/>
          </w:rPr>
          <w:t>7</w:t>
        </w:r>
        <w:r>
          <w:rPr>
            <w:rStyle w:val="IndexLink"/>
          </w:rPr>
          <w:t>. Interprétation de l’avenant</w:t>
          <w:tab/>
          <w:t>37</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7">
        <w:r>
          <w:rPr>
            <w:rStyle w:val="IndexLink"/>
          </w:rPr>
          <w:t>A</w:t>
        </w:r>
        <w:r>
          <w:rPr>
            <w:rStyle w:val="IndexLink"/>
            <w:lang w:val="fr-FR" w:eastAsia="en-GB"/>
          </w:rPr>
          <w:t>rticle</w:t>
        </w:r>
        <w:r>
          <w:rPr>
            <w:rStyle w:val="IndexLink"/>
          </w:rPr>
          <w:t xml:space="preserve"> 8. Dénonciation</w:t>
          <w:tab/>
          <w:t>37</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bCs w:val="false"/>
          <w:lang w:val="fr-FR" w:eastAsia="en-GB"/>
        </w:rPr>
      </w:pPr>
      <w:hyperlink w:anchor="__RefHeading___Toc90296708">
        <w:r>
          <w:rPr>
            <w:rStyle w:val="IndexLink"/>
          </w:rPr>
          <w:t>Ar</w:t>
        </w:r>
        <w:r>
          <w:rPr>
            <w:rStyle w:val="IndexLink"/>
            <w:shd w:fill="FFFFFF" w:val="clear"/>
          </w:rPr>
          <w:t>ticle 9.  Conditions de validité</w:t>
        </w:r>
        <w:r>
          <w:rPr>
            <w:rStyle w:val="IndexLink"/>
          </w:rPr>
          <w:tab/>
          <w:t>38</w:t>
        </w:r>
      </w:hyperlink>
    </w:p>
    <w:p>
      <w:pPr>
        <w:pStyle w:val="Contents2"/>
        <w:rPr>
          <w:rFonts w:eastAsia="Times New Roman" w:cs="Times New Roman"/>
          <w:b w:val="false"/>
          <w:b w:val="false"/>
          <w:bCs w:val="false"/>
          <w:lang w:val="fr-FR" w:eastAsia="en-GB"/>
        </w:rPr>
      </w:pPr>
      <w:r>
        <w:rPr>
          <w:rFonts w:eastAsia="Times New Roman" w:cs="Times New Roman"/>
          <w:b w:val="false"/>
          <w:bCs w:val="false"/>
          <w:lang w:val="fr-FR" w:eastAsia="en-GB"/>
        </w:rPr>
      </w:r>
    </w:p>
    <w:p>
      <w:pPr>
        <w:pStyle w:val="Contents2"/>
        <w:rPr>
          <w:rFonts w:eastAsia="Times New Roman" w:cs="Times New Roman"/>
          <w:b w:val="false"/>
          <w:b w:val="false"/>
          <w:lang w:val="fr-FR" w:eastAsia="en-GB"/>
        </w:rPr>
      </w:pPr>
      <w:hyperlink w:anchor="__RefHeading___Toc90296709">
        <w:r>
          <w:rPr>
            <w:rStyle w:val="IndexLink"/>
            <w:bCs w:val="false"/>
          </w:rPr>
          <w:t>A</w:t>
        </w:r>
        <w:r>
          <w:rPr>
            <w:rStyle w:val="IndexLink"/>
            <w:bCs w:val="false"/>
            <w:lang w:val="fr-FR" w:eastAsia="en-GB"/>
          </w:rPr>
          <w:t>rticle</w:t>
        </w:r>
        <w:r>
          <w:rPr>
            <w:rStyle w:val="IndexLink"/>
            <w:bCs w:val="false"/>
          </w:rPr>
          <w:t xml:space="preserve"> 10. Dépôt légal</w:t>
        </w:r>
        <w:r>
          <w:rPr>
            <w:rStyle w:val="IndexLink"/>
            <w:bCs w:val="false"/>
            <w:lang w:val="fr-FR" w:eastAsia="en-GB"/>
          </w:rPr>
          <w:t xml:space="preserve"> et </w:t>
        </w:r>
        <w:r>
          <w:rPr>
            <w:rStyle w:val="IndexLink"/>
            <w:bCs w:val="false"/>
          </w:rPr>
          <w:t>publicité</w:t>
          <w:tab/>
          <w:t>38</w:t>
        </w:r>
      </w:hyperlink>
      <w:r>
        <w:fldChar w:fldCharType="end"/>
      </w:r>
    </w:p>
    <w:p>
      <w:pPr>
        <w:pStyle w:val="Heading1"/>
        <w:numPr>
          <w:ilvl w:val="0"/>
          <w:numId w:val="0"/>
        </w:numPr>
        <w:rPr>
          <w:rFonts w:ascii="Calibri" w:hAnsi="Calibri" w:eastAsia="Times New Roman" w:cs="Calibri"/>
          <w:b w:val="false"/>
          <w:b w:val="false"/>
          <w:bCs/>
          <w:sz w:val="22"/>
          <w:szCs w:val="22"/>
          <w:lang w:val="fr-FR" w:eastAsia="en-GB"/>
        </w:rPr>
      </w:pPr>
      <w:r>
        <w:rPr>
          <w:rFonts w:eastAsia="Times New Roman" w:cs="Calibri" w:ascii="Calibri" w:hAnsi="Calibri"/>
          <w:b w:val="false"/>
          <w:bCs/>
          <w:sz w:val="22"/>
          <w:szCs w:val="22"/>
          <w:lang w:val="fr-FR" w:eastAsia="en-GB"/>
        </w:rPr>
      </w:r>
      <w:r>
        <w:br w:type="page"/>
      </w:r>
    </w:p>
    <w:p>
      <w:pPr>
        <w:pStyle w:val="Heading1"/>
        <w:numPr>
          <w:ilvl w:val="0"/>
          <w:numId w:val="1"/>
        </w:numPr>
        <w:rPr>
          <w:rFonts w:ascii="Calibri" w:hAnsi="Calibri" w:cs="Calibri"/>
        </w:rPr>
      </w:pPr>
      <w:bookmarkStart w:id="0" w:name="__RefHeading___Toc90296641"/>
      <w:bookmarkEnd w:id="0"/>
      <w:r>
        <w:rPr>
          <w:rFonts w:cs="Calibri" w:ascii="Calibri" w:hAnsi="Calibri"/>
        </w:rPr>
        <w:t>CHAPITRE I : VOLET « ORGANISATION DU TEMPS DE TRAVAIL »</w:t>
      </w:r>
    </w:p>
    <w:p>
      <w:pPr>
        <w:pStyle w:val="TextBody"/>
        <w:tabs>
          <w:tab w:val="left" w:pos="1270" w:leader="dot"/>
        </w:tabs>
        <w:autoSpaceDE w:val="true"/>
        <w:spacing w:before="0" w:after="0"/>
        <w:rPr>
          <w:rFonts w:ascii="Calibri" w:hAnsi="Calibri" w:cs="Calibri"/>
          <w:sz w:val="22"/>
          <w:szCs w:val="22"/>
        </w:rPr>
      </w:pPr>
      <w:r>
        <w:rPr>
          <w:rFonts w:cs="Calibri" w:ascii="Calibri" w:hAnsi="Calibri"/>
          <w:sz w:val="22"/>
          <w:szCs w:val="22"/>
        </w:rPr>
      </w:r>
    </w:p>
    <w:p>
      <w:pPr>
        <w:pStyle w:val="Normal"/>
        <w:jc w:val="both"/>
        <w:rPr/>
      </w:pPr>
      <w:r>
        <w:rPr>
          <w:rFonts w:cs="Calibri" w:ascii="Calibri" w:hAnsi="Calibri"/>
          <w:szCs w:val="22"/>
        </w:rPr>
        <w:t>Le présent chapitre fixe les modalités d'organisation et d’aménagement du temps de travail au sein de la société.</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Normal"/>
        <w:jc w:val="both"/>
        <w:rPr/>
      </w:pPr>
      <w:r>
        <w:rPr>
          <w:rFonts w:cs="Calibri" w:ascii="Calibri" w:hAnsi="Calibri"/>
          <w:szCs w:val="22"/>
        </w:rPr>
        <w:t>Il est rappelé que les aménagements du temps de travail doivent être organisés de telle sorte qu'ils permettent à la société de poursuivre son activité dans un cadre optimal en tenant compte à la fois de ses spécificités et de la nécessité d’améliorer le service à la clientèle et de répondre aux attentes et aspirations des salariés.</w:t>
      </w:r>
    </w:p>
    <w:p>
      <w:pPr>
        <w:pStyle w:val="Normal"/>
        <w:jc w:val="both"/>
        <w:rPr>
          <w:rFonts w:ascii="Calibri" w:hAnsi="Calibri" w:cs="Calibri"/>
          <w:szCs w:val="22"/>
        </w:rPr>
      </w:pPr>
      <w:r>
        <w:rPr>
          <w:rFonts w:cs="Calibri" w:ascii="Calibri" w:hAnsi="Calibri"/>
          <w:szCs w:val="22"/>
        </w:rPr>
      </w:r>
    </w:p>
    <w:p>
      <w:pPr>
        <w:pStyle w:val="Heading2"/>
        <w:numPr>
          <w:ilvl w:val="1"/>
          <w:numId w:val="1"/>
        </w:numPr>
        <w:spacing w:before="0" w:after="0"/>
        <w:rPr>
          <w:rFonts w:ascii="Calibri" w:hAnsi="Calibri" w:cs="Calibri"/>
          <w:szCs w:val="22"/>
        </w:rPr>
      </w:pPr>
      <w:bookmarkStart w:id="1" w:name="__RefHeading___Toc90296642"/>
      <w:bookmarkEnd w:id="1"/>
      <w:r>
        <w:rPr>
          <w:rFonts w:cs="Calibri" w:ascii="Calibri" w:hAnsi="Calibri"/>
        </w:rPr>
        <w:t>A</w:t>
      </w:r>
      <w:r>
        <w:rPr>
          <w:rFonts w:cs="Calibri" w:ascii="Calibri" w:hAnsi="Calibri"/>
          <w:lang w:val="fr-FR"/>
        </w:rPr>
        <w:t>rticle</w:t>
      </w:r>
      <w:r>
        <w:rPr>
          <w:rFonts w:cs="Calibri" w:ascii="Calibri" w:hAnsi="Calibri"/>
        </w:rPr>
        <w:t xml:space="preserve"> 1. Durée du travail</w:t>
      </w:r>
    </w:p>
    <w:p>
      <w:pPr>
        <w:pStyle w:val="Normal"/>
        <w:numPr>
          <w:ilvl w:val="0"/>
          <w:numId w:val="0"/>
        </w:numPr>
        <w:jc w:val="both"/>
        <w:outlineLvl w:val="4"/>
        <w:rPr>
          <w:rFonts w:ascii="Calibri" w:hAnsi="Calibri" w:cs="Calibri"/>
          <w:b/>
          <w:b/>
          <w:szCs w:val="22"/>
        </w:rPr>
      </w:pPr>
      <w:r>
        <w:rPr>
          <w:rFonts w:cs="Calibri" w:ascii="Calibri" w:hAnsi="Calibri"/>
          <w:b/>
          <w:szCs w:val="22"/>
        </w:rPr>
      </w:r>
    </w:p>
    <w:p>
      <w:pPr>
        <w:pStyle w:val="Heading3"/>
        <w:numPr>
          <w:ilvl w:val="2"/>
          <w:numId w:val="1"/>
        </w:numPr>
        <w:spacing w:before="0" w:after="0"/>
        <w:ind w:left="0" w:firstLine="709"/>
        <w:rPr>
          <w:rFonts w:ascii="Calibri" w:hAnsi="Calibri" w:cs="Calibri"/>
        </w:rPr>
      </w:pPr>
      <w:bookmarkStart w:id="2" w:name="__RefHeading___Toc90296643"/>
      <w:bookmarkEnd w:id="2"/>
      <w:r>
        <w:rPr>
          <w:rFonts w:cs="Calibri" w:ascii="Calibri" w:hAnsi="Calibri"/>
        </w:rPr>
        <w:t>1.1. Durée légale du travail</w:t>
      </w:r>
    </w:p>
    <w:p>
      <w:pPr>
        <w:pStyle w:val="Normal"/>
        <w:tabs>
          <w:tab w:val="left" w:pos="1270" w:leader="dot"/>
        </w:tabs>
        <w:rPr>
          <w:rFonts w:ascii="Calibri" w:hAnsi="Calibri" w:cs="Calibri"/>
          <w:szCs w:val="22"/>
        </w:rPr>
      </w:pPr>
      <w:r>
        <w:rPr>
          <w:rFonts w:cs="Calibri" w:ascii="Calibri" w:hAnsi="Calibri"/>
          <w:szCs w:val="22"/>
        </w:rPr>
      </w:r>
    </w:p>
    <w:p>
      <w:pPr>
        <w:pStyle w:val="TextBody"/>
        <w:tabs>
          <w:tab w:val="left" w:pos="1270" w:leader="dot"/>
        </w:tabs>
        <w:autoSpaceDE w:val="true"/>
        <w:spacing w:before="0" w:after="0"/>
        <w:rPr/>
      </w:pPr>
      <w:r>
        <w:rPr>
          <w:rFonts w:cs="Calibri" w:ascii="Calibri" w:hAnsi="Calibri"/>
          <w:sz w:val="22"/>
          <w:szCs w:val="22"/>
        </w:rPr>
        <w:t>La durée légale du travail effectif des salariés à temps complet est fixée</w:t>
      </w:r>
      <w:r>
        <w:rPr>
          <w:rFonts w:cs="Calibri" w:ascii="Calibri" w:hAnsi="Calibri"/>
          <w:sz w:val="22"/>
          <w:szCs w:val="22"/>
          <w:lang w:val="fr-FR"/>
        </w:rPr>
        <w:t>, conformément à la législation en vigueur,</w:t>
      </w:r>
      <w:r>
        <w:rPr>
          <w:rFonts w:cs="Calibri" w:ascii="Calibri" w:hAnsi="Calibri"/>
          <w:sz w:val="22"/>
          <w:szCs w:val="22"/>
        </w:rPr>
        <w:t xml:space="preserve"> à 35 heures hebdomadaires. </w:t>
      </w:r>
    </w:p>
    <w:p>
      <w:pPr>
        <w:pStyle w:val="Normal"/>
        <w:numPr>
          <w:ilvl w:val="0"/>
          <w:numId w:val="0"/>
        </w:numPr>
        <w:jc w:val="both"/>
        <w:outlineLvl w:val="5"/>
        <w:rPr>
          <w:rFonts w:ascii="Calibri" w:hAnsi="Calibri" w:cs="Calibri"/>
          <w:i/>
          <w:i/>
          <w:sz w:val="22"/>
          <w:szCs w:val="22"/>
        </w:rPr>
      </w:pPr>
      <w:r>
        <w:rPr>
          <w:rFonts w:cs="Calibri" w:ascii="Calibri" w:hAnsi="Calibri"/>
          <w:i/>
          <w:sz w:val="22"/>
          <w:szCs w:val="22"/>
        </w:rPr>
      </w:r>
    </w:p>
    <w:p>
      <w:pPr>
        <w:pStyle w:val="Heading3"/>
        <w:numPr>
          <w:ilvl w:val="2"/>
          <w:numId w:val="1"/>
        </w:numPr>
        <w:spacing w:before="0" w:after="0"/>
        <w:ind w:left="0" w:firstLine="709"/>
        <w:rPr>
          <w:rFonts w:ascii="Calibri" w:hAnsi="Calibri" w:cs="Calibri"/>
          <w:i/>
          <w:i/>
        </w:rPr>
      </w:pPr>
      <w:bookmarkStart w:id="3" w:name="__RefHeading___Toc90296644"/>
      <w:bookmarkEnd w:id="3"/>
      <w:r>
        <w:rPr>
          <w:rFonts w:cs="Calibri" w:ascii="Calibri" w:hAnsi="Calibri"/>
        </w:rPr>
        <w:t>1.2. Définition du temps de travail effectif</w:t>
      </w:r>
    </w:p>
    <w:p>
      <w:pPr>
        <w:pStyle w:val="Normal"/>
        <w:numPr>
          <w:ilvl w:val="0"/>
          <w:numId w:val="0"/>
        </w:numPr>
        <w:jc w:val="both"/>
        <w:outlineLvl w:val="5"/>
        <w:rPr>
          <w:rFonts w:ascii="Calibri" w:hAnsi="Calibri" w:cs="Calibri"/>
          <w:i/>
          <w:i/>
          <w:szCs w:val="22"/>
        </w:rPr>
      </w:pPr>
      <w:r>
        <w:rPr>
          <w:rFonts w:cs="Calibri" w:ascii="Calibri" w:hAnsi="Calibri"/>
          <w:i/>
          <w:szCs w:val="22"/>
        </w:rPr>
      </w:r>
    </w:p>
    <w:p>
      <w:pPr>
        <w:pStyle w:val="Normal"/>
        <w:tabs>
          <w:tab w:val="left" w:pos="1270" w:leader="dot"/>
        </w:tabs>
        <w:jc w:val="both"/>
        <w:rPr>
          <w:rFonts w:ascii="Calibri" w:hAnsi="Calibri" w:cs="Calibri"/>
          <w:szCs w:val="22"/>
        </w:rPr>
      </w:pPr>
      <w:r>
        <w:rPr>
          <w:rFonts w:cs="Calibri" w:ascii="Calibri" w:hAnsi="Calibri"/>
          <w:szCs w:val="22"/>
        </w:rPr>
        <w:t xml:space="preserve">Conformément à l’article L.3121-1 du Code du travail, </w:t>
      </w:r>
      <w:r>
        <w:rPr>
          <w:rFonts w:cs="Calibri" w:ascii="Calibri" w:hAnsi="Calibri"/>
          <w:i/>
          <w:szCs w:val="22"/>
        </w:rPr>
        <w:t>« la durée du travail effectif est le temps pendant lequel le salarié est à la disposition de l'employeur et se conforme à ses directives sans pouvoir vaquer librement à des occupations personnelles ».</w:t>
      </w:r>
      <w:r>
        <w:rPr>
          <w:rFonts w:cs="Calibri" w:ascii="Calibri" w:hAnsi="Calibri"/>
          <w:szCs w:val="22"/>
        </w:rPr>
        <w:t xml:space="preserve"> </w:t>
      </w:r>
    </w:p>
    <w:p>
      <w:pPr>
        <w:pStyle w:val="Normal"/>
        <w:tabs>
          <w:tab w:val="left" w:pos="1270" w:leader="dot"/>
        </w:tabs>
        <w:jc w:val="both"/>
        <w:rPr>
          <w:rFonts w:ascii="Calibri" w:hAnsi="Calibri" w:cs="Calibri"/>
          <w:szCs w:val="22"/>
        </w:rPr>
      </w:pPr>
      <w:r>
        <w:rPr>
          <w:rFonts w:cs="Calibri" w:ascii="Calibri" w:hAnsi="Calibri"/>
          <w:szCs w:val="22"/>
        </w:rPr>
      </w:r>
    </w:p>
    <w:p>
      <w:pPr>
        <w:pStyle w:val="Normal"/>
        <w:jc w:val="both"/>
        <w:rPr>
          <w:rFonts w:ascii="Calibri" w:hAnsi="Calibri" w:cs="Calibri"/>
          <w:szCs w:val="22"/>
        </w:rPr>
      </w:pPr>
      <w:r>
        <w:rPr>
          <w:rFonts w:cs="Calibri" w:ascii="Calibri" w:hAnsi="Calibri"/>
          <w:szCs w:val="22"/>
        </w:rPr>
        <w:t xml:space="preserve">Sont notamment exclus de la durée du temps de travail effectif les temps de pause notamment la pause déjeuner. </w:t>
      </w:r>
    </w:p>
    <w:p>
      <w:pPr>
        <w:pStyle w:val="Normal"/>
        <w:jc w:val="both"/>
        <w:rPr>
          <w:rFonts w:ascii="Calibri" w:hAnsi="Calibri" w:cs="Calibri"/>
          <w:strike/>
          <w:color w:val="FF0000"/>
          <w:szCs w:val="22"/>
        </w:rPr>
      </w:pPr>
      <w:r>
        <w:rPr>
          <w:rFonts w:cs="Calibri" w:ascii="Calibri" w:hAnsi="Calibri"/>
          <w:strike/>
          <w:color w:val="FF0000"/>
          <w:szCs w:val="22"/>
        </w:rPr>
      </w:r>
    </w:p>
    <w:p>
      <w:pPr>
        <w:pStyle w:val="Normal"/>
        <w:jc w:val="both"/>
        <w:rPr>
          <w:rFonts w:ascii="Calibri" w:hAnsi="Calibri" w:cs="Calibri"/>
          <w:szCs w:val="22"/>
          <w:highlight w:val="yellow"/>
        </w:rPr>
      </w:pPr>
      <w:r>
        <w:rPr>
          <w:rFonts w:cs="Calibri" w:ascii="Calibri" w:hAnsi="Calibri"/>
          <w:szCs w:val="22"/>
        </w:rPr>
        <w:t xml:space="preserve">Sous réserve de ce qui est prévu à l'alinéa précédent, il est expressément convenu que la mise en place de l’aménagement du temps de travail suppose que chaque salarié consacre à du travail effectif ses heures de présence au sein de la société. </w:t>
      </w:r>
    </w:p>
    <w:p>
      <w:pPr>
        <w:pStyle w:val="Normal"/>
        <w:jc w:val="both"/>
        <w:rPr>
          <w:rFonts w:ascii="Calibri" w:hAnsi="Calibri" w:cs="Calibri"/>
          <w:szCs w:val="22"/>
          <w:highlight w:val="yellow"/>
        </w:rPr>
      </w:pPr>
      <w:r>
        <w:rPr>
          <w:rFonts w:cs="Calibri" w:ascii="Calibri" w:hAnsi="Calibri"/>
          <w:szCs w:val="22"/>
          <w:highlight w:val="yellow"/>
        </w:rPr>
      </w:r>
    </w:p>
    <w:p>
      <w:pPr>
        <w:pStyle w:val="Normal"/>
        <w:tabs>
          <w:tab w:val="left" w:pos="1270" w:leader="dot"/>
        </w:tabs>
        <w:jc w:val="both"/>
        <w:rPr/>
      </w:pPr>
      <w:r>
        <w:rPr>
          <w:rFonts w:cs="Calibri" w:ascii="Calibri" w:hAnsi="Calibri"/>
          <w:szCs w:val="22"/>
        </w:rPr>
        <w:t>A ce titre, l’utilisation du téléphone portable personnel est admise à condition qu’elle soit raisonnable et raisonnée et qu’elle ne perturbe en aucun cas le bon fonctionnement de l’entreprise</w:t>
      </w:r>
      <w:r>
        <w:rPr>
          <w:rStyle w:val="Marquedecommentaire"/>
          <w:rFonts w:cs="Calibri" w:ascii="Calibri" w:hAnsi="Calibri"/>
          <w:sz w:val="22"/>
          <w:szCs w:val="22"/>
        </w:rPr>
        <w:t xml:space="preserve"> et </w:t>
      </w:r>
      <w:r>
        <w:rPr>
          <w:rFonts w:cs="Calibri" w:ascii="Calibri" w:hAnsi="Calibri"/>
          <w:szCs w:val="22"/>
        </w:rPr>
        <w:t xml:space="preserve">l’exécution de la prestation de travail, c’est-à-dire : </w:t>
      </w:r>
    </w:p>
    <w:p>
      <w:pPr>
        <w:pStyle w:val="Normal"/>
        <w:numPr>
          <w:ilvl w:val="0"/>
          <w:numId w:val="3"/>
        </w:numPr>
        <w:overflowPunct w:val="false"/>
        <w:autoSpaceDE w:val="false"/>
        <w:jc w:val="both"/>
        <w:textAlignment w:val="baseline"/>
        <w:rPr>
          <w:rFonts w:ascii="Calibri" w:hAnsi="Calibri" w:cs="Calibri"/>
          <w:szCs w:val="22"/>
        </w:rPr>
      </w:pPr>
      <w:r>
        <w:rPr>
          <w:rFonts w:cs="Calibri" w:ascii="Calibri" w:hAnsi="Calibri"/>
          <w:szCs w:val="22"/>
        </w:rPr>
        <w:t>que cette utilisation soit occasionnelle et réservée aux situations d’urgence ;</w:t>
      </w:r>
    </w:p>
    <w:p>
      <w:pPr>
        <w:pStyle w:val="Normal"/>
        <w:numPr>
          <w:ilvl w:val="0"/>
          <w:numId w:val="3"/>
        </w:numPr>
        <w:overflowPunct w:val="false"/>
        <w:autoSpaceDE w:val="false"/>
        <w:jc w:val="both"/>
        <w:textAlignment w:val="baseline"/>
        <w:rPr>
          <w:rFonts w:ascii="Calibri" w:hAnsi="Calibri" w:cs="Calibri"/>
          <w:szCs w:val="22"/>
        </w:rPr>
      </w:pPr>
      <w:r>
        <w:rPr>
          <w:rFonts w:cs="Calibri" w:ascii="Calibri" w:hAnsi="Calibri"/>
          <w:szCs w:val="22"/>
        </w:rPr>
        <w:t>ou qu’elle s’effectue pendant les temps de pause.</w:t>
      </w:r>
    </w:p>
    <w:p>
      <w:pPr>
        <w:pStyle w:val="Normal"/>
        <w:jc w:val="both"/>
        <w:rPr>
          <w:rFonts w:ascii="Calibri" w:hAnsi="Calibri" w:cs="Calibri"/>
          <w:szCs w:val="22"/>
        </w:rPr>
      </w:pPr>
      <w:r>
        <w:rPr>
          <w:rFonts w:cs="Calibri" w:ascii="Calibri" w:hAnsi="Calibri"/>
          <w:szCs w:val="22"/>
        </w:rPr>
      </w:r>
    </w:p>
    <w:p>
      <w:pPr>
        <w:pStyle w:val="Heading3"/>
        <w:numPr>
          <w:ilvl w:val="2"/>
          <w:numId w:val="1"/>
        </w:numPr>
        <w:spacing w:before="0" w:after="0"/>
        <w:ind w:left="709" w:hanging="0"/>
        <w:rPr>
          <w:i/>
          <w:i/>
        </w:rPr>
      </w:pPr>
      <w:bookmarkStart w:id="4" w:name="__RefHeading___Toc90296645"/>
      <w:r>
        <w:rPr/>
        <w:t>1.3. Précisions spécifiques au contrôle du temps de travail, à la règlementation légale relative à la pause, aux heures supplémentaires et complémentaires.</w:t>
      </w:r>
      <w:bookmarkEnd w:id="4"/>
      <w:r>
        <w:rPr/>
        <w:t xml:space="preserve"> </w:t>
      </w:r>
    </w:p>
    <w:p>
      <w:pPr>
        <w:pStyle w:val="Normal"/>
        <w:jc w:val="both"/>
        <w:rPr>
          <w:rFonts w:ascii="Calibri" w:hAnsi="Calibri" w:cs="Calibri"/>
          <w:i/>
          <w:i/>
          <w:szCs w:val="22"/>
        </w:rPr>
      </w:pPr>
      <w:r>
        <w:rPr>
          <w:rFonts w:cs="Calibri" w:ascii="Calibri" w:hAnsi="Calibri"/>
          <w:i/>
          <w:szCs w:val="22"/>
        </w:rPr>
      </w:r>
    </w:p>
    <w:p>
      <w:pPr>
        <w:pStyle w:val="Normal"/>
        <w:jc w:val="both"/>
        <w:rPr>
          <w:rFonts w:ascii="Calibri" w:hAnsi="Calibri" w:eastAsia="Arial" w:cs="Calibri"/>
          <w:szCs w:val="22"/>
          <w:lang w:val="en-GB" w:eastAsia="en-GB" w:bidi="en-GB"/>
        </w:rPr>
      </w:pPr>
      <w:r>
        <w:rPr>
          <w:rFonts w:eastAsia="Arial" w:cs="Calibri" w:ascii="Calibri" w:hAnsi="Calibri"/>
          <w:szCs w:val="22"/>
          <w:lang w:val="en-GB" w:eastAsia="en-GB" w:bidi="en-GB"/>
        </w:rPr>
        <w:t xml:space="preserve">Il est rappelé qu’un contrôle du respect du temps de travail effectif, de la(des) pause(s) notamment de la pause déjeuner, pourra être effectué à tout moment et, le cas échéant, en cas de non-respect, faire l’objet d’une sanction. </w:t>
      </w:r>
    </w:p>
    <w:p>
      <w:pPr>
        <w:pStyle w:val="Normal"/>
        <w:jc w:val="both"/>
        <w:rPr>
          <w:rFonts w:ascii="Calibri" w:hAnsi="Calibri" w:eastAsia="Arial" w:cs="Calibri"/>
          <w:szCs w:val="22"/>
          <w:lang w:val="en-GB" w:eastAsia="en-GB" w:bidi="en-GB"/>
        </w:rPr>
      </w:pPr>
      <w:r>
        <w:rPr>
          <w:rFonts w:eastAsia="Arial" w:cs="Calibri" w:ascii="Calibri" w:hAnsi="Calibri"/>
          <w:szCs w:val="22"/>
          <w:lang w:val="en-GB" w:eastAsia="en-GB" w:bidi="en-GB"/>
        </w:rPr>
      </w:r>
    </w:p>
    <w:p>
      <w:pPr>
        <w:pStyle w:val="Normal"/>
        <w:shd w:fill="FFFFFF" w:val="clear"/>
        <w:jc w:val="both"/>
        <w:rPr>
          <w:rFonts w:ascii="Calibri" w:hAnsi="Calibri" w:eastAsia="Arial" w:cs="Calibri"/>
          <w:szCs w:val="22"/>
          <w:lang w:val="en-GB" w:eastAsia="en-GB" w:bidi="en-GB"/>
        </w:rPr>
      </w:pPr>
      <w:r>
        <w:rPr>
          <w:rFonts w:eastAsia="Arial" w:cs="Calibri" w:ascii="Calibri" w:hAnsi="Calibri"/>
          <w:szCs w:val="22"/>
          <w:lang w:val="en-GB" w:eastAsia="en-GB" w:bidi="en-GB"/>
        </w:rPr>
        <w:t xml:space="preserve">Il est rappelé que conformément à l’article L.3121-16 du Code du travail : </w:t>
      </w:r>
    </w:p>
    <w:p>
      <w:pPr>
        <w:pStyle w:val="Normal"/>
        <w:shd w:fill="FFFFFF" w:val="clear"/>
        <w:jc w:val="both"/>
        <w:rPr>
          <w:rFonts w:ascii="Calibri" w:hAnsi="Calibri" w:eastAsia="Arial" w:cs="Calibri"/>
          <w:szCs w:val="22"/>
          <w:lang w:val="en-GB" w:eastAsia="en-GB" w:bidi="en-GB"/>
        </w:rPr>
      </w:pPr>
      <w:r>
        <w:rPr>
          <w:rFonts w:eastAsia="Arial" w:cs="Calibri" w:ascii="Calibri" w:hAnsi="Calibri"/>
          <w:szCs w:val="22"/>
          <w:lang w:val="en-GB" w:eastAsia="en-GB" w:bidi="en-GB"/>
        </w:rPr>
      </w:r>
    </w:p>
    <w:p>
      <w:pPr>
        <w:pStyle w:val="Normal"/>
        <w:shd w:fill="FFFFFF" w:val="clear"/>
        <w:jc w:val="both"/>
        <w:rPr/>
      </w:pPr>
      <w:r>
        <w:rPr>
          <w:rFonts w:eastAsia="Arial" w:cs="Calibri" w:ascii="Calibri" w:hAnsi="Calibri"/>
          <w:i/>
          <w:szCs w:val="22"/>
          <w:lang w:val="en-GB" w:eastAsia="en-GB" w:bidi="en-GB"/>
        </w:rPr>
        <w:t>« D</w:t>
      </w:r>
      <w:r>
        <w:rPr>
          <w:rFonts w:cs="Calibri" w:ascii="Calibri" w:hAnsi="Calibri"/>
          <w:i/>
          <w:szCs w:val="22"/>
        </w:rPr>
        <w:t>ès que le temps de travail quotidien atteint six heures (s’entendant consécutives), le salarié bénéficie d’un temps de pause d’une durée minimale de vingt minutes consécutives</w:t>
      </w:r>
      <w:r>
        <w:rPr>
          <w:rFonts w:cs="Calibri" w:ascii="Calibri" w:hAnsi="Calibri"/>
          <w:i/>
          <w:iCs/>
          <w:szCs w:val="22"/>
        </w:rPr>
        <w:t>. »</w:t>
      </w:r>
    </w:p>
    <w:p>
      <w:pPr>
        <w:pStyle w:val="Normal"/>
        <w:shd w:fill="FFFFFF" w:val="clear"/>
        <w:jc w:val="both"/>
        <w:rPr>
          <w:rFonts w:ascii="Calibri" w:hAnsi="Calibri" w:cs="Calibri"/>
          <w:i/>
          <w:i/>
          <w:iCs/>
          <w:szCs w:val="22"/>
        </w:rPr>
      </w:pPr>
      <w:r>
        <w:rPr>
          <w:rFonts w:cs="Calibri" w:ascii="Calibri" w:hAnsi="Calibri"/>
          <w:i/>
          <w:iCs/>
          <w:szCs w:val="22"/>
        </w:rPr>
      </w:r>
    </w:p>
    <w:p>
      <w:pPr>
        <w:pStyle w:val="Normal"/>
        <w:shd w:fill="FFFFFF" w:val="clear"/>
        <w:jc w:val="both"/>
        <w:rPr>
          <w:rFonts w:ascii="Calibri" w:hAnsi="Calibri" w:cs="Calibri"/>
          <w:iCs/>
          <w:szCs w:val="22"/>
        </w:rPr>
      </w:pPr>
      <w:r>
        <w:rPr>
          <w:rFonts w:cs="Calibri" w:ascii="Calibri" w:hAnsi="Calibri"/>
          <w:iCs/>
          <w:szCs w:val="22"/>
        </w:rPr>
        <w:t xml:space="preserve">Ainsi, la seule pause légalement imposée par le Code du travail est celle prévue au bout de 6 heures de travail effectif continu. </w:t>
      </w:r>
    </w:p>
    <w:p>
      <w:pPr>
        <w:pStyle w:val="Normal"/>
        <w:shd w:fill="FFFFFF" w:val="clear"/>
        <w:jc w:val="both"/>
        <w:rPr>
          <w:rFonts w:ascii="Calibri" w:hAnsi="Calibri" w:cs="Calibri"/>
          <w:iCs/>
          <w:szCs w:val="22"/>
        </w:rPr>
      </w:pPr>
      <w:r>
        <w:rPr>
          <w:rFonts w:cs="Calibri" w:ascii="Calibri" w:hAnsi="Calibri"/>
          <w:iCs/>
          <w:szCs w:val="22"/>
        </w:rPr>
      </w:r>
    </w:p>
    <w:p>
      <w:pPr>
        <w:pStyle w:val="Normal"/>
        <w:shd w:fill="FFFFFF" w:val="clear"/>
        <w:jc w:val="both"/>
        <w:rPr>
          <w:rFonts w:ascii="Calibri" w:hAnsi="Calibri" w:cs="Calibri"/>
          <w:iCs/>
          <w:szCs w:val="22"/>
        </w:rPr>
      </w:pPr>
      <w:r>
        <w:rPr>
          <w:rFonts w:cs="Calibri" w:ascii="Calibri" w:hAnsi="Calibri"/>
          <w:iCs/>
          <w:szCs w:val="22"/>
        </w:rPr>
        <w:t>En dehors de ce cas spécifique visé au paragraphe précédent, qui ne rend pas obligatoire la pause en matinée, ni en après-midi, il est rappelé que la pause déjeuner doit, au minimum, être de 30 minutes.</w:t>
      </w:r>
    </w:p>
    <w:p>
      <w:pPr>
        <w:pStyle w:val="Normal"/>
        <w:shd w:fill="FFFFFF" w:val="clear"/>
        <w:jc w:val="both"/>
        <w:rPr>
          <w:rFonts w:ascii="Calibri" w:hAnsi="Calibri" w:cs="Calibri"/>
          <w:iCs/>
          <w:szCs w:val="22"/>
        </w:rPr>
      </w:pPr>
      <w:r>
        <w:rPr>
          <w:rFonts w:cs="Calibri" w:ascii="Calibri" w:hAnsi="Calibri"/>
          <w:iCs/>
          <w:szCs w:val="22"/>
        </w:rPr>
      </w:r>
    </w:p>
    <w:p>
      <w:pPr>
        <w:pStyle w:val="Normal"/>
        <w:shd w:fill="FFFFFF" w:val="clear"/>
        <w:jc w:val="both"/>
        <w:rPr>
          <w:rFonts w:ascii="Calibri" w:hAnsi="Calibri" w:cs="Calibri"/>
          <w:szCs w:val="22"/>
        </w:rPr>
      </w:pPr>
      <w:r>
        <w:rPr>
          <w:rFonts w:eastAsia="Arial" w:cs="Calibri" w:ascii="Calibri" w:hAnsi="Calibri"/>
          <w:szCs w:val="22"/>
          <w:lang w:val="en-GB" w:eastAsia="en-GB" w:bidi="en-GB"/>
        </w:rPr>
        <w:t xml:space="preserve">Enfin, il est rappelé que seules les heures supplémentaires ou complémentaire effectuées au-delà de la durée du travail prévue au contrat de travail, avec l’avenant du supérieur hiérarchique et/ou de la Direction, seront considérées comme des heures supplémentaires ou complémentaires, sachant qu’il n’y a pas de délai de prévenance à respecter par le supérieur hiérarchique et/ou la Direction pour demander à faire des heures supplémentaires ou complémentaires (sous réserves des dispositions spécifiques prévues à l’article </w:t>
      </w:r>
      <w:r>
        <w:rPr>
          <w:rFonts w:cs="Calibri" w:ascii="Calibri" w:hAnsi="Calibri"/>
          <w:szCs w:val="22"/>
        </w:rPr>
        <w:t>2.2.2. « Salariés en CDI à temps partiel » ci-dessous)</w:t>
      </w:r>
      <w:r>
        <w:rPr>
          <w:rFonts w:eastAsia="Arial" w:cs="Calibri" w:ascii="Calibri" w:hAnsi="Calibri"/>
          <w:szCs w:val="22"/>
          <w:lang w:val="en-GB" w:eastAsia="en-GB" w:bidi="en-GB"/>
        </w:rPr>
        <w:t>.</w:t>
      </w:r>
    </w:p>
    <w:p>
      <w:pPr>
        <w:pStyle w:val="Normal"/>
        <w:shd w:fill="FFFFFF" w:val="clear"/>
        <w:jc w:val="both"/>
        <w:rPr>
          <w:rFonts w:ascii="Calibri" w:hAnsi="Calibri" w:eastAsia="Arial" w:cs="Calibri"/>
          <w:szCs w:val="22"/>
          <w:lang w:val="en-GB" w:eastAsia="en-GB" w:bidi="en-GB"/>
        </w:rPr>
      </w:pPr>
      <w:r>
        <w:rPr>
          <w:rFonts w:eastAsia="Arial" w:cs="Calibri" w:ascii="Calibri" w:hAnsi="Calibri"/>
          <w:szCs w:val="22"/>
          <w:lang w:val="en-GB" w:eastAsia="en-GB" w:bidi="en-GB"/>
        </w:rPr>
      </w:r>
    </w:p>
    <w:p>
      <w:pPr>
        <w:pStyle w:val="Normal"/>
        <w:shd w:fill="FFFFFF" w:val="clear"/>
        <w:jc w:val="both"/>
        <w:rPr>
          <w:rFonts w:ascii="Calibri" w:hAnsi="Calibri" w:eastAsia="Arial" w:cs="Calibri"/>
          <w:iCs/>
          <w:szCs w:val="22"/>
          <w:lang w:val="en-GB" w:eastAsia="en-GB" w:bidi="en-GB"/>
        </w:rPr>
      </w:pPr>
      <w:r>
        <w:rPr>
          <w:rFonts w:eastAsia="Arial" w:cs="Calibri" w:ascii="Calibri" w:hAnsi="Calibri"/>
          <w:iCs/>
          <w:szCs w:val="22"/>
          <w:lang w:val="en-GB" w:eastAsia="en-GB" w:bidi="en-GB"/>
        </w:rPr>
      </w:r>
    </w:p>
    <w:p>
      <w:pPr>
        <w:pStyle w:val="Normal"/>
        <w:shd w:fill="FFFFFF" w:val="clear"/>
        <w:jc w:val="both"/>
        <w:rPr>
          <w:rFonts w:ascii="Calibri" w:hAnsi="Calibri" w:cs="Calibri"/>
          <w:iCs/>
          <w:szCs w:val="22"/>
        </w:rPr>
      </w:pPr>
      <w:r>
        <w:rPr>
          <w:rFonts w:cs="Calibri" w:ascii="Calibri" w:hAnsi="Calibri"/>
          <w:iCs/>
          <w:szCs w:val="22"/>
        </w:rPr>
      </w:r>
    </w:p>
    <w:p>
      <w:pPr>
        <w:pStyle w:val="Normal"/>
        <w:shd w:fill="FFFFFF" w:val="clear"/>
        <w:jc w:val="both"/>
        <w:rPr>
          <w:rFonts w:ascii="Calibri" w:hAnsi="Calibri" w:cs="Calibri"/>
          <w:iCs/>
          <w:szCs w:val="22"/>
        </w:rPr>
      </w:pPr>
      <w:r>
        <w:rPr>
          <w:rFonts w:cs="Calibri" w:ascii="Calibri" w:hAnsi="Calibri"/>
          <w:iCs/>
          <w:szCs w:val="22"/>
        </w:rPr>
      </w:r>
    </w:p>
    <w:p>
      <w:pPr>
        <w:pStyle w:val="Normal"/>
        <w:jc w:val="both"/>
        <w:rPr>
          <w:rFonts w:ascii="Calibri" w:hAnsi="Calibri" w:eastAsia="Arial" w:cs="Calibri"/>
          <w:iCs/>
          <w:szCs w:val="22"/>
          <w:highlight w:val="cyan"/>
          <w:lang w:val="en-GB" w:eastAsia="en-GB" w:bidi="en-GB"/>
        </w:rPr>
      </w:pPr>
      <w:r>
        <w:rPr>
          <w:rFonts w:eastAsia="Arial" w:cs="Calibri" w:ascii="Calibri" w:hAnsi="Calibri"/>
          <w:iCs/>
          <w:szCs w:val="22"/>
          <w:highlight w:val="cyan"/>
          <w:lang w:val="en-GB" w:eastAsia="en-GB" w:bidi="en-GB"/>
        </w:rPr>
      </w:r>
    </w:p>
    <w:p>
      <w:pPr>
        <w:pStyle w:val="Normal"/>
        <w:jc w:val="both"/>
        <w:rPr>
          <w:rFonts w:ascii="Calibri" w:hAnsi="Calibri" w:eastAsia="Arial" w:cs="Calibri"/>
          <w:szCs w:val="22"/>
          <w:highlight w:val="cyan"/>
          <w:lang w:val="en-GB" w:eastAsia="en-GB" w:bidi="en-GB"/>
        </w:rPr>
      </w:pPr>
      <w:r>
        <w:rPr>
          <w:rFonts w:eastAsia="Arial" w:cs="Calibri" w:ascii="Calibri" w:hAnsi="Calibri"/>
          <w:szCs w:val="22"/>
          <w:highlight w:val="cyan"/>
          <w:lang w:val="en-GB" w:eastAsia="en-GB" w:bidi="en-GB"/>
        </w:rPr>
      </w:r>
    </w:p>
    <w:p>
      <w:pPr>
        <w:pStyle w:val="Normal"/>
        <w:jc w:val="both"/>
        <w:rPr>
          <w:rFonts w:ascii="Calibri" w:hAnsi="Calibri" w:cs="Calibri"/>
          <w:szCs w:val="22"/>
        </w:rPr>
      </w:pPr>
      <w:r>
        <w:rPr>
          <w:rFonts w:cs="Calibri" w:ascii="Calibri" w:hAnsi="Calibri"/>
          <w:szCs w:val="22"/>
        </w:rPr>
      </w:r>
      <w:r>
        <w:br w:type="page"/>
      </w:r>
    </w:p>
    <w:p>
      <w:pPr>
        <w:pStyle w:val="Heading2"/>
        <w:numPr>
          <w:ilvl w:val="1"/>
          <w:numId w:val="1"/>
        </w:numPr>
        <w:spacing w:before="0" w:after="0"/>
        <w:rPr>
          <w:rFonts w:ascii="Calibri" w:hAnsi="Calibri" w:eastAsia="Calibri" w:cs="Calibri"/>
          <w:u w:val="none"/>
        </w:rPr>
      </w:pPr>
      <w:bookmarkStart w:id="5" w:name="__RefHeading___Toc90296683"/>
      <w:bookmarkEnd w:id="5"/>
      <w:r>
        <w:rPr>
          <w:rFonts w:eastAsia="Calibri" w:cs="Calibri" w:ascii="Calibri" w:hAnsi="Calibri"/>
          <w:u w:val="none"/>
        </w:rPr>
        <w:t xml:space="preserve"> </w:t>
      </w:r>
    </w:p>
    <w:p>
      <w:pPr>
        <w:pStyle w:val="Heading1"/>
        <w:numPr>
          <w:ilvl w:val="0"/>
          <w:numId w:val="1"/>
        </w:numPr>
        <w:rPr>
          <w:rFonts w:ascii="Calibri" w:hAnsi="Calibri" w:cs="Calibri"/>
          <w:u w:val="none"/>
        </w:rPr>
      </w:pPr>
      <w:bookmarkStart w:id="6" w:name="__RefHeading___Toc90296683"/>
      <w:bookmarkStart w:id="7" w:name="__RefHeading___Toc90296699"/>
      <w:bookmarkStart w:id="8" w:name="__RefHeading___Toc90296683"/>
      <w:bookmarkStart w:id="9" w:name="__RefHeading___Toc90296699"/>
      <w:bookmarkEnd w:id="8"/>
      <w:r>
        <w:rPr>
          <w:rFonts w:cs="Calibri" w:ascii="Calibri" w:hAnsi="Calibri"/>
          <w:u w:val="none"/>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rFonts w:ascii="Calibri" w:hAnsi="Calibri" w:cs="Calibri"/>
        </w:rPr>
      </w:pPr>
      <w:r>
        <w:rPr>
          <w:rFonts w:cs="Calibri" w:ascii="Calibri" w:hAnsi="Calibri"/>
        </w:rPr>
      </w:r>
    </w:p>
    <w:p>
      <w:pPr>
        <w:pStyle w:val="Heading1"/>
        <w:numPr>
          <w:ilvl w:val="0"/>
          <w:numId w:val="1"/>
        </w:numPr>
        <w:rPr/>
      </w:pPr>
      <w:bookmarkStart w:id="10" w:name="__RefHeading___Toc90296699"/>
      <w:bookmarkEnd w:id="10"/>
      <w:r>
        <w:rPr>
          <w:rFonts w:cs="Calibri" w:ascii="Calibri" w:hAnsi="Calibri"/>
        </w:rPr>
        <w:t>CHAPITRE VI : VOLET « DISPOSITIONS DIVERSES »</w:t>
      </w:r>
    </w:p>
    <w:p>
      <w:pPr>
        <w:pStyle w:val="Heading2"/>
        <w:numPr>
          <w:ilvl w:val="1"/>
          <w:numId w:val="1"/>
        </w:numPr>
        <w:spacing w:before="0" w:after="0"/>
        <w:rPr>
          <w:rFonts w:ascii="Calibri" w:hAnsi="Calibri" w:cs="Calibri"/>
        </w:rPr>
      </w:pPr>
      <w:r>
        <w:rPr>
          <w:rFonts w:cs="Calibri" w:ascii="Calibri" w:hAnsi="Calibri"/>
        </w:rPr>
      </w:r>
    </w:p>
    <w:p>
      <w:pPr>
        <w:pStyle w:val="Heading2"/>
        <w:numPr>
          <w:ilvl w:val="1"/>
          <w:numId w:val="1"/>
        </w:numPr>
        <w:spacing w:before="0" w:after="0"/>
        <w:rPr/>
      </w:pPr>
      <w:bookmarkStart w:id="11" w:name="__RefHeading___Toc90296700"/>
      <w:bookmarkEnd w:id="11"/>
      <w:r>
        <w:rPr>
          <w:rFonts w:cs="Calibri" w:ascii="Calibri" w:hAnsi="Calibri"/>
        </w:rPr>
        <w:t>A</w:t>
      </w:r>
      <w:r>
        <w:rPr>
          <w:rFonts w:cs="Calibri" w:ascii="Calibri" w:hAnsi="Calibri"/>
          <w:lang w:val="fr-FR"/>
        </w:rPr>
        <w:t>rticle</w:t>
      </w:r>
      <w:r>
        <w:rPr>
          <w:rFonts w:cs="Calibri" w:ascii="Calibri" w:hAnsi="Calibri"/>
        </w:rPr>
        <w:t xml:space="preserve"> 1. Politique de l’emploi</w:t>
      </w:r>
    </w:p>
    <w:p>
      <w:pPr>
        <w:pStyle w:val="Normal"/>
        <w:rPr>
          <w:rFonts w:ascii="Calibri" w:hAnsi="Calibri" w:cs="Arial"/>
          <w:szCs w:val="22"/>
        </w:rPr>
      </w:pPr>
      <w:r>
        <w:rPr>
          <w:rFonts w:cs="Arial" w:ascii="Calibri" w:hAnsi="Calibri"/>
          <w:szCs w:val="22"/>
        </w:rPr>
      </w:r>
    </w:p>
    <w:p>
      <w:pPr>
        <w:pStyle w:val="Normal"/>
        <w:tabs>
          <w:tab w:val="left" w:pos="1270" w:leader="dot"/>
        </w:tabs>
        <w:jc w:val="both"/>
        <w:rPr>
          <w:rFonts w:ascii="Calibri" w:hAnsi="Calibri" w:cs="Arial"/>
          <w:szCs w:val="22"/>
        </w:rPr>
      </w:pPr>
      <w:r>
        <w:rPr>
          <w:rFonts w:cs="Arial" w:ascii="Calibri" w:hAnsi="Calibri"/>
          <w:szCs w:val="22"/>
        </w:rPr>
        <w:t xml:space="preserve">La direction s'engage à tout mettre en œuvre pour favoriser l'égalité professionnelle entre les hommes et les femmes conformément à la législation en vigueur et en fonction de son évolution en la matière. </w:t>
      </w:r>
    </w:p>
    <w:p>
      <w:pPr>
        <w:pStyle w:val="Heading2"/>
        <w:numPr>
          <w:ilvl w:val="1"/>
          <w:numId w:val="1"/>
        </w:numPr>
        <w:spacing w:before="0" w:after="0"/>
        <w:rPr>
          <w:rFonts w:ascii="Calibri" w:hAnsi="Calibri" w:cs="Calibri"/>
          <w:szCs w:val="22"/>
        </w:rPr>
      </w:pPr>
      <w:r>
        <w:rPr>
          <w:rFonts w:cs="Calibri" w:ascii="Calibri" w:hAnsi="Calibri"/>
          <w:szCs w:val="22"/>
        </w:rPr>
      </w:r>
    </w:p>
    <w:p>
      <w:pPr>
        <w:pStyle w:val="Heading2"/>
        <w:numPr>
          <w:ilvl w:val="1"/>
          <w:numId w:val="1"/>
        </w:numPr>
        <w:spacing w:before="0" w:after="0"/>
        <w:rPr>
          <w:rFonts w:ascii="Calibri" w:hAnsi="Calibri" w:cs="Calibri"/>
        </w:rPr>
      </w:pPr>
      <w:bookmarkStart w:id="12" w:name="__RefHeading___Toc90296701"/>
      <w:bookmarkEnd w:id="12"/>
      <w:r>
        <w:rPr>
          <w:rFonts w:cs="Calibri" w:ascii="Calibri" w:hAnsi="Calibri"/>
        </w:rPr>
        <w:t>A</w:t>
      </w:r>
      <w:r>
        <w:rPr>
          <w:rFonts w:cs="Calibri" w:ascii="Calibri" w:hAnsi="Calibri"/>
          <w:lang w:val="fr-FR"/>
        </w:rPr>
        <w:t xml:space="preserve">rticle </w:t>
      </w:r>
      <w:r>
        <w:rPr>
          <w:rFonts w:cs="Calibri" w:ascii="Calibri" w:hAnsi="Calibri"/>
        </w:rPr>
        <w:t>2. Champ d’application</w:t>
      </w:r>
    </w:p>
    <w:p>
      <w:pPr>
        <w:pStyle w:val="Normal"/>
        <w:tabs>
          <w:tab w:val="left" w:pos="1270" w:leader="dot"/>
        </w:tabs>
        <w:jc w:val="both"/>
        <w:rPr>
          <w:rFonts w:ascii="Calibri" w:hAnsi="Calibri" w:cs="Calibri"/>
          <w:szCs w:val="22"/>
        </w:rPr>
      </w:pPr>
      <w:r>
        <w:rPr>
          <w:rFonts w:cs="Calibri" w:ascii="Calibri" w:hAnsi="Calibri"/>
          <w:szCs w:val="22"/>
        </w:rPr>
      </w:r>
    </w:p>
    <w:p>
      <w:pPr>
        <w:pStyle w:val="Normal"/>
        <w:tabs>
          <w:tab w:val="left" w:pos="1270" w:leader="dot"/>
        </w:tabs>
        <w:jc w:val="both"/>
        <w:rPr>
          <w:rFonts w:ascii="Calibri" w:hAnsi="Calibri" w:cs="Calibri"/>
          <w:szCs w:val="22"/>
        </w:rPr>
      </w:pPr>
      <w:r>
        <w:rPr>
          <w:rFonts w:cs="Calibri" w:ascii="Calibri" w:hAnsi="Calibri"/>
          <w:szCs w:val="22"/>
        </w:rPr>
        <w:t>Les dispositions de chacun des chapitres du présent avenant s’appliquent à la catégorie de salariés définie dans chacun desdits chapitre, voire article, qu’ils soient rattachés ou non à un établissement secondaire actuel ou à venir ou au siège social de la société.</w:t>
      </w:r>
    </w:p>
    <w:p>
      <w:pPr>
        <w:pStyle w:val="Normal"/>
        <w:rPr>
          <w:rFonts w:ascii="Calibri" w:hAnsi="Calibri" w:cs="Calibri"/>
          <w:szCs w:val="22"/>
        </w:rPr>
      </w:pPr>
      <w:r>
        <w:rPr>
          <w:rFonts w:cs="Calibri" w:ascii="Calibri" w:hAnsi="Calibri"/>
          <w:szCs w:val="22"/>
        </w:rPr>
      </w:r>
    </w:p>
    <w:p>
      <w:pPr>
        <w:pStyle w:val="Heading2"/>
        <w:numPr>
          <w:ilvl w:val="1"/>
          <w:numId w:val="1"/>
        </w:numPr>
        <w:spacing w:before="0" w:after="0"/>
        <w:rPr>
          <w:rFonts w:ascii="Calibri" w:hAnsi="Calibri" w:cs="Calibri"/>
          <w:lang w:val="fr-FR"/>
        </w:rPr>
      </w:pPr>
      <w:bookmarkStart w:id="13" w:name="__RefHeading___Toc90296702"/>
      <w:bookmarkEnd w:id="13"/>
      <w:r>
        <w:rPr>
          <w:rFonts w:cs="Calibri" w:ascii="Calibri" w:hAnsi="Calibri"/>
        </w:rPr>
        <w:t>A</w:t>
      </w:r>
      <w:r>
        <w:rPr>
          <w:rFonts w:cs="Calibri" w:ascii="Calibri" w:hAnsi="Calibri"/>
          <w:lang w:val="fr-FR"/>
        </w:rPr>
        <w:t>rticle</w:t>
      </w:r>
      <w:r>
        <w:rPr>
          <w:rFonts w:cs="Calibri" w:ascii="Calibri" w:hAnsi="Calibri"/>
        </w:rPr>
        <w:t xml:space="preserve"> 3. Suivi de l’avenant</w:t>
      </w:r>
    </w:p>
    <w:p>
      <w:pPr>
        <w:pStyle w:val="Normal"/>
        <w:jc w:val="both"/>
        <w:rPr>
          <w:rFonts w:ascii="Calibri" w:hAnsi="Calibri" w:cs="Calibri"/>
          <w:szCs w:val="22"/>
          <w:lang w:val="fr-FR"/>
        </w:rPr>
      </w:pPr>
      <w:r>
        <w:rPr>
          <w:rFonts w:cs="Calibri" w:ascii="Calibri" w:hAnsi="Calibri"/>
          <w:szCs w:val="22"/>
          <w:lang w:val="fr-FR"/>
        </w:rPr>
      </w:r>
    </w:p>
    <w:p>
      <w:pPr>
        <w:pStyle w:val="Normal"/>
        <w:jc w:val="both"/>
        <w:rPr/>
      </w:pPr>
      <w:r>
        <w:rPr>
          <w:rFonts w:cs="Calibri" w:ascii="Calibri" w:hAnsi="Calibri"/>
          <w:szCs w:val="22"/>
        </w:rPr>
        <w:t>Le suivi du présent avenant fera l'objet d'une réunion annuelle à laquelle participeront un représentant de la direction et les représentants du personnel, pour autant qu’il en existe au sein de la société.</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Heading2"/>
        <w:numPr>
          <w:ilvl w:val="1"/>
          <w:numId w:val="1"/>
        </w:numPr>
        <w:spacing w:before="0" w:after="0"/>
        <w:rPr/>
      </w:pPr>
      <w:bookmarkStart w:id="14" w:name="__RefHeading___Toc90296703"/>
      <w:bookmarkEnd w:id="14"/>
      <w:r>
        <w:rPr>
          <w:rFonts w:cs="Calibri" w:ascii="Calibri" w:hAnsi="Calibri"/>
        </w:rPr>
        <w:t>A</w:t>
      </w:r>
      <w:r>
        <w:rPr>
          <w:rFonts w:cs="Calibri" w:ascii="Calibri" w:hAnsi="Calibri"/>
          <w:lang w:val="fr-FR"/>
        </w:rPr>
        <w:t>rticle</w:t>
      </w:r>
      <w:r>
        <w:rPr>
          <w:rFonts w:cs="Calibri" w:ascii="Calibri" w:hAnsi="Calibri"/>
        </w:rPr>
        <w:t xml:space="preserve"> 4. Durée</w:t>
      </w:r>
    </w:p>
    <w:p>
      <w:pPr>
        <w:pStyle w:val="TextBody"/>
        <w:tabs>
          <w:tab w:val="left" w:pos="1270" w:leader="dot"/>
        </w:tabs>
        <w:autoSpaceDE w:val="true"/>
        <w:spacing w:before="0" w:after="0"/>
        <w:rPr>
          <w:rFonts w:ascii="Calibri" w:hAnsi="Calibri" w:cs="Calibri"/>
          <w:sz w:val="22"/>
          <w:szCs w:val="22"/>
          <w:lang w:val="fr-FR"/>
        </w:rPr>
      </w:pPr>
      <w:r>
        <w:rPr>
          <w:rFonts w:cs="Calibri" w:ascii="Calibri" w:hAnsi="Calibri"/>
          <w:sz w:val="22"/>
          <w:szCs w:val="22"/>
          <w:lang w:val="fr-FR"/>
        </w:rPr>
      </w:r>
    </w:p>
    <w:p>
      <w:pPr>
        <w:pStyle w:val="TextBody"/>
        <w:tabs>
          <w:tab w:val="left" w:pos="1270" w:leader="dot"/>
        </w:tabs>
        <w:autoSpaceDE w:val="true"/>
        <w:spacing w:before="0" w:after="0"/>
        <w:rPr>
          <w:rFonts w:ascii="Calibri" w:hAnsi="Calibri" w:cs="Calibri"/>
          <w:bCs/>
          <w:sz w:val="22"/>
          <w:szCs w:val="22"/>
          <w:lang w:val="fr-FR"/>
        </w:rPr>
      </w:pPr>
      <w:r>
        <w:rPr>
          <w:rFonts w:cs="Calibri" w:ascii="Calibri" w:hAnsi="Calibri"/>
          <w:sz w:val="22"/>
          <w:szCs w:val="22"/>
        </w:rPr>
        <w:t xml:space="preserve">Le présent avenant est conclu pour une durée indéterminée. Il sera applicable </w:t>
      </w:r>
      <w:r>
        <w:rPr>
          <w:rFonts w:cs="Calibri" w:ascii="Calibri" w:hAnsi="Calibri"/>
          <w:bCs/>
          <w:sz w:val="22"/>
          <w:szCs w:val="22"/>
        </w:rPr>
        <w:t>à partir du jour qui suivra son dépôt auprès du service compétent</w:t>
      </w:r>
      <w:r>
        <w:rPr>
          <w:rFonts w:cs="Calibri" w:ascii="Calibri" w:hAnsi="Calibri"/>
          <w:bCs/>
          <w:sz w:val="22"/>
          <w:szCs w:val="22"/>
          <w:lang w:val="fr-FR"/>
        </w:rPr>
        <w:t>.</w:t>
      </w:r>
    </w:p>
    <w:p>
      <w:pPr>
        <w:pStyle w:val="TextBody"/>
        <w:tabs>
          <w:tab w:val="left" w:pos="1270" w:leader="dot"/>
        </w:tabs>
        <w:autoSpaceDE w:val="true"/>
        <w:spacing w:before="0" w:after="0"/>
        <w:rPr>
          <w:rFonts w:ascii="Calibri" w:hAnsi="Calibri" w:cs="Calibri"/>
          <w:bCs/>
          <w:sz w:val="22"/>
          <w:szCs w:val="22"/>
          <w:lang w:val="fr-FR"/>
        </w:rPr>
      </w:pPr>
      <w:r>
        <w:rPr>
          <w:rFonts w:cs="Calibri" w:ascii="Calibri" w:hAnsi="Calibri"/>
          <w:bCs/>
          <w:sz w:val="22"/>
          <w:szCs w:val="22"/>
          <w:lang w:val="fr-FR"/>
        </w:rPr>
      </w:r>
    </w:p>
    <w:p>
      <w:pPr>
        <w:pStyle w:val="Heading2"/>
        <w:numPr>
          <w:ilvl w:val="1"/>
          <w:numId w:val="1"/>
        </w:numPr>
        <w:spacing w:before="0" w:after="0"/>
        <w:rPr/>
      </w:pPr>
      <w:bookmarkStart w:id="15" w:name="__RefHeading___Toc90296704"/>
      <w:bookmarkEnd w:id="15"/>
      <w:r>
        <w:rPr>
          <w:rFonts w:cs="Calibri" w:ascii="Calibri" w:hAnsi="Calibri"/>
        </w:rPr>
        <w:t>A</w:t>
      </w:r>
      <w:r>
        <w:rPr>
          <w:rFonts w:cs="Calibri" w:ascii="Calibri" w:hAnsi="Calibri"/>
          <w:lang w:val="fr-FR"/>
        </w:rPr>
        <w:t>rticle</w:t>
      </w:r>
      <w:r>
        <w:rPr>
          <w:rFonts w:cs="Calibri" w:ascii="Calibri" w:hAnsi="Calibri"/>
        </w:rPr>
        <w:t xml:space="preserve"> 5. Révision</w:t>
      </w:r>
    </w:p>
    <w:p>
      <w:pPr>
        <w:pStyle w:val="Normal"/>
        <w:tabs>
          <w:tab w:val="left" w:pos="1270" w:leader="dot"/>
        </w:tabs>
        <w:jc w:val="both"/>
        <w:rPr>
          <w:rFonts w:ascii="Calibri" w:hAnsi="Calibri" w:cs="Calibri"/>
          <w:szCs w:val="22"/>
        </w:rPr>
      </w:pPr>
      <w:r>
        <w:rPr>
          <w:rFonts w:cs="Calibri" w:ascii="Calibri" w:hAnsi="Calibri"/>
          <w:szCs w:val="22"/>
        </w:rPr>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t>Chaque partie signataire peut demander la révision de tout ou partie du présent avenant, selon les modalités suivantes :</w:t>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toute demande de révision devra être adressée par lettre recommandé avec accusé de réception à l’autre partie signataire et comporter, outre l’indication des dispositions dont la révision est demandée, des propositions de remplacement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 xml:space="preserve">le plus rapidement possible et au plus tard dans un délai de 3 mois suivants la réception de cette lettre, les parties sus-indiquées devront ouvrir une négociation en vue de la rédaction d’un nouveau texte ;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 xml:space="preserve">les dispositions de l’avenant dont la révision est demandée resteront en vigueur jusqu’à la conclusion d’un nouvel avenant ou à défaut seront maintenues ;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les dispositions de l’avenant portant révision se substitueront de plein droit à celles de l’avenant qu’elles modifient soit à la date expressément prévue soit, à défaut, à partir du jour qui suivra son dépôt auprès du service compétent.</w:t>
      </w:r>
    </w:p>
    <w:p>
      <w:pPr>
        <w:pStyle w:val="Normal"/>
        <w:rPr>
          <w:rFonts w:ascii="Calibri" w:hAnsi="Calibri" w:cs="Calibri"/>
          <w:sz w:val="22"/>
          <w:szCs w:val="22"/>
          <w:lang w:val="fr-FR"/>
        </w:rPr>
      </w:pPr>
      <w:r>
        <w:rPr>
          <w:rFonts w:cs="Calibri" w:ascii="Calibri" w:hAnsi="Calibri"/>
          <w:sz w:val="22"/>
          <w:szCs w:val="22"/>
          <w:lang w:val="fr-FR"/>
        </w:rPr>
      </w:r>
    </w:p>
    <w:p>
      <w:pPr>
        <w:pStyle w:val="Heading2"/>
        <w:numPr>
          <w:ilvl w:val="1"/>
          <w:numId w:val="1"/>
        </w:numPr>
        <w:spacing w:before="0" w:after="0"/>
        <w:rPr>
          <w:rFonts w:ascii="Calibri" w:hAnsi="Calibri" w:cs="Calibri"/>
          <w:highlight w:val="white"/>
        </w:rPr>
      </w:pPr>
      <w:bookmarkStart w:id="16" w:name="__RefHeading___Toc90296705"/>
      <w:bookmarkEnd w:id="16"/>
      <w:r>
        <w:rPr>
          <w:rFonts w:cs="Calibri" w:ascii="Calibri" w:hAnsi="Calibri"/>
          <w:shd w:fill="FFFFFF" w:val="clear"/>
        </w:rPr>
        <w:t xml:space="preserve">Article 6. </w:t>
      </w:r>
      <w:r>
        <w:rPr>
          <w:rFonts w:cs="Calibri" w:ascii="Calibri" w:hAnsi="Calibri"/>
        </w:rPr>
        <w:t>Modification</w:t>
      </w:r>
      <w:r>
        <w:rPr>
          <w:rFonts w:cs="Calibri" w:ascii="Calibri" w:hAnsi="Calibri"/>
          <w:shd w:fill="FFFFFF" w:val="clear"/>
        </w:rPr>
        <w:t xml:space="preserve"> de l'avenant</w:t>
      </w:r>
    </w:p>
    <w:p>
      <w:pPr>
        <w:pStyle w:val="Normal"/>
        <w:rPr>
          <w:rFonts w:ascii="Calibri" w:hAnsi="Calibri" w:cs="Calibri"/>
          <w:shd w:fill="FFFFFF" w:val="clear"/>
        </w:rPr>
      </w:pPr>
      <w:r>
        <w:rPr>
          <w:rFonts w:cs="Calibri" w:ascii="Calibri" w:hAnsi="Calibri"/>
          <w:shd w:fill="FFFFFF" w:val="clear"/>
        </w:rPr>
      </w:r>
    </w:p>
    <w:p>
      <w:pPr>
        <w:pStyle w:val="Normal"/>
        <w:jc w:val="both"/>
        <w:rPr/>
      </w:pPr>
      <w:r>
        <w:rPr>
          <w:rFonts w:cs="Calibri" w:ascii="Calibri" w:hAnsi="Calibri"/>
          <w:shd w:fill="FFFFFF" w:val="clear"/>
        </w:rPr>
        <w:t>Toute disposition modifiant le statut des salariés tel qu'il résulte de la présente convention et qui ferait l'objet d'un avenant entre les parties signataires donnera lieu à l'établissement d'un avenant au présent avenant.</w:t>
      </w:r>
    </w:p>
    <w:p>
      <w:pPr>
        <w:pStyle w:val="Normal"/>
        <w:rPr>
          <w:rFonts w:ascii="Calibri" w:hAnsi="Calibri" w:cs="Calibri"/>
          <w:shd w:fill="FFFFFF" w:val="clear"/>
          <w:lang w:val="en-GB"/>
        </w:rPr>
      </w:pPr>
      <w:r>
        <w:rPr>
          <w:rFonts w:cs="Calibri" w:ascii="Calibri" w:hAnsi="Calibri"/>
          <w:shd w:fill="FFFFFF" w:val="clear"/>
          <w:lang w:val="en-GB"/>
        </w:rPr>
      </w:r>
    </w:p>
    <w:p>
      <w:pPr>
        <w:pStyle w:val="Heading2"/>
        <w:numPr>
          <w:ilvl w:val="1"/>
          <w:numId w:val="1"/>
        </w:numPr>
        <w:spacing w:before="0" w:after="0"/>
        <w:rPr>
          <w:rFonts w:ascii="Calibri" w:hAnsi="Calibri" w:cs="Calibri"/>
          <w:lang w:val="fr-FR"/>
        </w:rPr>
      </w:pPr>
      <w:bookmarkStart w:id="17" w:name="__RefHeading___Toc90296706"/>
      <w:bookmarkEnd w:id="17"/>
      <w:r>
        <w:rPr>
          <w:rFonts w:cs="Calibri" w:ascii="Calibri" w:hAnsi="Calibri"/>
        </w:rPr>
        <w:t>A</w:t>
      </w:r>
      <w:r>
        <w:rPr>
          <w:rFonts w:cs="Calibri" w:ascii="Calibri" w:hAnsi="Calibri"/>
          <w:lang w:val="fr-FR"/>
        </w:rPr>
        <w:t>rticle</w:t>
      </w:r>
      <w:r>
        <w:rPr>
          <w:rFonts w:cs="Calibri" w:ascii="Calibri" w:hAnsi="Calibri"/>
        </w:rPr>
        <w:t xml:space="preserve"> </w:t>
      </w:r>
      <w:r>
        <w:rPr>
          <w:rFonts w:cs="Calibri" w:ascii="Calibri" w:hAnsi="Calibri"/>
          <w:lang w:val="fr-FR"/>
        </w:rPr>
        <w:t>7</w:t>
      </w:r>
      <w:r>
        <w:rPr>
          <w:rFonts w:cs="Calibri" w:ascii="Calibri" w:hAnsi="Calibri"/>
        </w:rPr>
        <w:t>. Interprétation de l’avenant</w:t>
      </w:r>
    </w:p>
    <w:p>
      <w:pPr>
        <w:pStyle w:val="Normal"/>
        <w:tabs>
          <w:tab w:val="left" w:pos="1270" w:leader="dot"/>
        </w:tabs>
        <w:jc w:val="both"/>
        <w:rPr>
          <w:rFonts w:ascii="Calibri" w:hAnsi="Calibri" w:cs="Calibri"/>
          <w:szCs w:val="22"/>
          <w:lang w:val="fr-FR"/>
        </w:rPr>
      </w:pPr>
      <w:r>
        <w:rPr>
          <w:rFonts w:cs="Calibri" w:ascii="Calibri" w:hAnsi="Calibri"/>
          <w:szCs w:val="22"/>
          <w:lang w:val="fr-FR"/>
        </w:rPr>
      </w:r>
    </w:p>
    <w:p>
      <w:pPr>
        <w:pStyle w:val="Normal"/>
        <w:tabs>
          <w:tab w:val="left" w:pos="1270" w:leader="dot"/>
        </w:tabs>
        <w:jc w:val="both"/>
        <w:rPr/>
      </w:pPr>
      <w:r>
        <w:rPr>
          <w:rFonts w:cs="Calibri" w:ascii="Calibri" w:hAnsi="Calibri"/>
          <w:szCs w:val="22"/>
        </w:rPr>
        <w:t>Les parties signataires conviennent de se rencontrer à la requête de la partie la plus diligente dans le délai de 1 mois suivant la demande pour étudier et tenter de régler tout différend d'ordre individuel ou collectif né de l'application de présent avenant.</w:t>
      </w:r>
    </w:p>
    <w:p>
      <w:pPr>
        <w:pStyle w:val="Normal"/>
        <w:tabs>
          <w:tab w:val="left" w:pos="1270" w:leader="dot"/>
        </w:tabs>
        <w:jc w:val="both"/>
        <w:rPr>
          <w:rFonts w:ascii="Calibri" w:hAnsi="Calibri" w:cs="Calibri"/>
          <w:szCs w:val="22"/>
        </w:rPr>
      </w:pPr>
      <w:r>
        <w:rPr>
          <w:rFonts w:cs="Calibri" w:ascii="Calibri" w:hAnsi="Calibri"/>
          <w:szCs w:val="22"/>
        </w:rPr>
      </w:r>
    </w:p>
    <w:p>
      <w:pPr>
        <w:pStyle w:val="Normal"/>
        <w:tabs>
          <w:tab w:val="left" w:pos="1270" w:leader="dot"/>
        </w:tabs>
        <w:jc w:val="both"/>
        <w:rPr>
          <w:rFonts w:ascii="Calibri" w:hAnsi="Calibri" w:cs="Calibri"/>
          <w:szCs w:val="22"/>
        </w:rPr>
      </w:pPr>
      <w:r>
        <w:rPr>
          <w:rFonts w:cs="Calibri" w:ascii="Calibri" w:hAnsi="Calibri"/>
          <w:szCs w:val="22"/>
        </w:rPr>
        <w:t xml:space="preserve">La demande de réunion consigne l'exposé du différend. La position retenue en fin de réunion fait l'objet d'un procès-verbal rédigé par la direction. Le document est remis à chacune des parties signataires. </w:t>
      </w:r>
    </w:p>
    <w:p>
      <w:pPr>
        <w:pStyle w:val="Normal"/>
        <w:tabs>
          <w:tab w:val="left" w:pos="1270" w:leader="dot"/>
        </w:tabs>
        <w:jc w:val="both"/>
        <w:rPr>
          <w:rFonts w:ascii="Calibri" w:hAnsi="Calibri" w:cs="Calibri"/>
          <w:szCs w:val="22"/>
        </w:rPr>
      </w:pPr>
      <w:r>
        <w:rPr>
          <w:rFonts w:cs="Calibri" w:ascii="Calibri" w:hAnsi="Calibri"/>
          <w:szCs w:val="22"/>
        </w:rPr>
      </w:r>
    </w:p>
    <w:p>
      <w:pPr>
        <w:pStyle w:val="Normal"/>
        <w:tabs>
          <w:tab w:val="left" w:pos="1270" w:leader="dot"/>
        </w:tabs>
        <w:jc w:val="both"/>
        <w:rPr/>
      </w:pPr>
      <w:r>
        <w:rPr>
          <w:rFonts w:cs="Calibri" w:ascii="Calibri" w:hAnsi="Calibri"/>
          <w:szCs w:val="22"/>
        </w:rPr>
        <w:t xml:space="preserve">Si cela est nécessaire, une seconde réunion pourra être organisée dans les 15 jours calendaires suivants la première réunion. Jusqu'à l'expiration de ce délai, les parties contractantes s'engagent à ne susciter aucune forme d'action contentieuse liée au différend faisant l'objet de cette procédure. </w:t>
      </w:r>
    </w:p>
    <w:p>
      <w:pPr>
        <w:pStyle w:val="Normal"/>
        <w:rPr>
          <w:rFonts w:ascii="Calibri" w:hAnsi="Calibri" w:cs="Calibri"/>
          <w:szCs w:val="22"/>
          <w:lang w:val="en-GB"/>
        </w:rPr>
      </w:pPr>
      <w:r>
        <w:rPr>
          <w:rFonts w:cs="Calibri" w:ascii="Calibri" w:hAnsi="Calibri"/>
          <w:szCs w:val="22"/>
          <w:lang w:val="en-GB"/>
        </w:rPr>
      </w:r>
    </w:p>
    <w:p>
      <w:pPr>
        <w:pStyle w:val="Heading2"/>
        <w:numPr>
          <w:ilvl w:val="1"/>
          <w:numId w:val="1"/>
        </w:numPr>
        <w:spacing w:before="0" w:after="0"/>
        <w:rPr/>
      </w:pPr>
      <w:bookmarkStart w:id="18" w:name="__RefHeading___Toc90296707"/>
      <w:bookmarkEnd w:id="18"/>
      <w:r>
        <w:rPr>
          <w:rFonts w:cs="Calibri" w:ascii="Calibri" w:hAnsi="Calibri"/>
        </w:rPr>
        <w:t>A</w:t>
      </w:r>
      <w:r>
        <w:rPr>
          <w:rFonts w:cs="Calibri" w:ascii="Calibri" w:hAnsi="Calibri"/>
          <w:lang w:val="fr-FR"/>
        </w:rPr>
        <w:t>rticle</w:t>
      </w:r>
      <w:r>
        <w:rPr>
          <w:rFonts w:cs="Calibri" w:ascii="Calibri" w:hAnsi="Calibri"/>
        </w:rPr>
        <w:t xml:space="preserve"> 8. Dénonciation</w:t>
      </w:r>
    </w:p>
    <w:p>
      <w:pPr>
        <w:pStyle w:val="Normal"/>
        <w:tabs>
          <w:tab w:val="left" w:pos="1270" w:leader="dot"/>
        </w:tabs>
        <w:jc w:val="both"/>
        <w:rPr>
          <w:rFonts w:ascii="Calibri" w:hAnsi="Calibri" w:cs="Calibri"/>
          <w:szCs w:val="22"/>
        </w:rPr>
      </w:pPr>
      <w:r>
        <w:rPr>
          <w:rFonts w:cs="Calibri" w:ascii="Calibri" w:hAnsi="Calibri"/>
          <w:szCs w:val="22"/>
        </w:rPr>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t>Le présent avenant pourra être dénoncé par l’une ou l’autre des parties signataires, selon les modalités suivantes :</w:t>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sz w:val="22"/>
          <w:szCs w:val="22"/>
        </w:rPr>
        <w:t xml:space="preserve">la </w:t>
      </w:r>
      <w:r>
        <w:rPr>
          <w:rFonts w:cs="Calibri" w:ascii="Calibri" w:hAnsi="Calibri"/>
          <w:bCs/>
          <w:sz w:val="22"/>
          <w:szCs w:val="22"/>
        </w:rPr>
        <w:t>dénonciation sera notifiée par lettre recommandée avec A.R. à l’autre partie signataire et déposée auprès de la D.I.R.E.C.C.T.E.</w:t>
      </w:r>
      <w:r>
        <w:rPr>
          <w:rFonts w:cs="Calibri" w:ascii="Calibri" w:hAnsi="Calibri"/>
          <w:bCs/>
          <w:sz w:val="22"/>
          <w:szCs w:val="22"/>
          <w:lang w:val="fr-FR"/>
        </w:rPr>
        <w:t>, le cas échéant,</w:t>
      </w:r>
      <w:r>
        <w:rPr>
          <w:rFonts w:cs="Calibri" w:ascii="Calibri" w:hAnsi="Calibri"/>
          <w:bCs/>
          <w:sz w:val="22"/>
          <w:szCs w:val="22"/>
        </w:rPr>
        <w:t xml:space="preserve"> </w:t>
      </w:r>
      <w:r>
        <w:rPr>
          <w:rFonts w:cs="Calibri" w:ascii="Calibri" w:hAnsi="Calibri"/>
          <w:sz w:val="22"/>
          <w:szCs w:val="22"/>
        </w:rPr>
        <w:t xml:space="preserve">sur la plateforme en ligne TéléAvenants </w:t>
      </w:r>
      <w:r>
        <w:rPr>
          <w:rFonts w:cs="Calibri" w:ascii="Calibri" w:hAnsi="Calibri"/>
          <w:bCs/>
          <w:sz w:val="22"/>
          <w:szCs w:val="22"/>
        </w:rPr>
        <w:t>et au secrétariat du greffe du Conseil des prud’hommes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 xml:space="preserve">une nouvelle négociation devra être </w:t>
      </w:r>
      <w:r>
        <w:rPr>
          <w:rFonts w:cs="Calibri" w:ascii="Calibri" w:hAnsi="Calibri"/>
          <w:bCs/>
          <w:sz w:val="22"/>
          <w:szCs w:val="22"/>
          <w:lang w:val="fr-FR"/>
        </w:rPr>
        <w:t>engagée</w:t>
      </w:r>
      <w:r>
        <w:rPr>
          <w:rFonts w:cs="Calibri" w:ascii="Calibri" w:hAnsi="Calibri"/>
          <w:bCs/>
          <w:sz w:val="22"/>
          <w:szCs w:val="22"/>
        </w:rPr>
        <w:t>, à la demande de l’une des deux parties, le plus rapidement possible et au plus tard dans un délai de 3 mois suivants la réception de la lettre de dénonciation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durant les négociations, l’avenant restera applicable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à l’issue de ces dernières, sera établi soit un avenant ou un nouvel avenant constatant l’avenant intervenu, soit un procès-verbal de clôture constatant le désavenant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les dispositions du nouvel avenant se substitueront intégralement à celles de l’avenant dénoncé, avec pour prise d’effet soit la date qui aura été expressément convenue soit, à défaut, le jour qui suivra son dépôt auprès du service compétent ;</w:t>
      </w:r>
    </w:p>
    <w:p>
      <w:pPr>
        <w:pStyle w:val="TextBody"/>
        <w:numPr>
          <w:ilvl w:val="0"/>
          <w:numId w:val="4"/>
        </w:numPr>
        <w:tabs>
          <w:tab w:val="left" w:pos="1560" w:leader="none"/>
        </w:tabs>
        <w:spacing w:before="0" w:after="0"/>
        <w:rPr>
          <w:rFonts w:ascii="Calibri" w:hAnsi="Calibri" w:cs="Calibri"/>
          <w:sz w:val="22"/>
          <w:szCs w:val="22"/>
          <w:lang w:val="fr-FR"/>
        </w:rPr>
      </w:pPr>
      <w:r>
        <w:rPr>
          <w:rFonts w:cs="Calibri" w:ascii="Calibri" w:hAnsi="Calibri"/>
          <w:bCs/>
          <w:sz w:val="22"/>
          <w:szCs w:val="22"/>
        </w:rPr>
        <w:t xml:space="preserve">en cas de procès-verbal de clôture des négociations constatant le défaut d’avenant, l’avenant dénoncé restera applicable sans changement pendant une année qui commencera à courir à l’expiration du délai de 3 mois, sous réserve des dispositions relatives au salaire conformément à l’article L. 2261-14 du Code du travail selon lequel : </w:t>
      </w:r>
      <w:r>
        <w:rPr>
          <w:rFonts w:cs="Calibri" w:ascii="Calibri" w:hAnsi="Calibri"/>
          <w:bCs/>
          <w:i/>
          <w:sz w:val="22"/>
          <w:szCs w:val="22"/>
        </w:rPr>
        <w:t xml:space="preserve">« (…) </w:t>
      </w:r>
      <w:r>
        <w:rPr>
          <w:rFonts w:cs="Calibri" w:ascii="Calibri" w:hAnsi="Calibri"/>
          <w:i/>
          <w:sz w:val="22"/>
          <w:szCs w:val="22"/>
        </w:rPr>
        <w:t>Lorsque l'avenant qui a été mis en cause n'a pas été remplacé par un nouvel avenant (…), les salariés des entreprises concernées conservent, en application de l'avenant mis en cause, une rémunération dont le montant annuel, pour une durée de travail équivalente à celle prévue par leur contrat de travail, ne peut être inférieur à la rémunération versée lors des douze derniers mois. Cette rémunération s'entend au sens de l'article L. 242-1 du code de la sécurité sociale, à l'exception de la première phrase du deuxième alinéa du même article L. 242-1 (…) ».</w:t>
      </w:r>
      <w:r>
        <w:rPr>
          <w:rFonts w:cs="Calibri" w:ascii="Calibri" w:hAnsi="Calibri"/>
          <w:sz w:val="22"/>
          <w:szCs w:val="22"/>
        </w:rPr>
        <w:t xml:space="preserve"> </w:t>
      </w:r>
      <w:r>
        <w:rPr>
          <w:rFonts w:cs="Calibri" w:ascii="Calibri" w:hAnsi="Calibri"/>
          <w:bCs/>
          <w:sz w:val="22"/>
          <w:szCs w:val="22"/>
        </w:rPr>
        <w:t xml:space="preserve"> </w:t>
      </w:r>
    </w:p>
    <w:p>
      <w:pPr>
        <w:pStyle w:val="TextBody"/>
        <w:tabs>
          <w:tab w:val="left" w:pos="1270" w:leader="dot"/>
        </w:tabs>
        <w:autoSpaceDE w:val="true"/>
        <w:spacing w:before="0" w:after="0"/>
        <w:ind w:left="360" w:hanging="0"/>
        <w:rPr>
          <w:rFonts w:ascii="Calibri" w:hAnsi="Calibri" w:cs="Calibri"/>
          <w:bCs/>
          <w:sz w:val="22"/>
          <w:szCs w:val="22"/>
          <w:lang w:val="fr-FR"/>
        </w:rPr>
      </w:pPr>
      <w:r>
        <w:rPr>
          <w:rFonts w:cs="Calibri" w:ascii="Calibri" w:hAnsi="Calibri"/>
          <w:bCs/>
          <w:sz w:val="22"/>
          <w:szCs w:val="22"/>
          <w:lang w:val="fr-FR"/>
        </w:rPr>
      </w:r>
    </w:p>
    <w:p>
      <w:pPr>
        <w:pStyle w:val="TextBody"/>
        <w:tabs>
          <w:tab w:val="left" w:pos="1270" w:leader="dot"/>
        </w:tabs>
        <w:autoSpaceDE w:val="true"/>
        <w:spacing w:before="0" w:after="0"/>
        <w:rPr>
          <w:rFonts w:ascii="Calibri" w:hAnsi="Calibri" w:cs="Calibri"/>
          <w:bCs/>
          <w:sz w:val="22"/>
          <w:szCs w:val="22"/>
          <w:lang w:val="fr-FR"/>
        </w:rPr>
      </w:pPr>
      <w:r>
        <w:rPr>
          <w:rFonts w:cs="Calibri" w:ascii="Calibri" w:hAnsi="Calibri"/>
          <w:bCs/>
          <w:sz w:val="22"/>
          <w:szCs w:val="22"/>
        </w:rPr>
        <w:t>Pour l’application du présent article, sont considérés comme signataires d’une part</w:t>
      </w:r>
      <w:r>
        <w:rPr>
          <w:rFonts w:cs="Calibri" w:ascii="Calibri" w:hAnsi="Calibri"/>
          <w:bCs/>
          <w:sz w:val="22"/>
          <w:szCs w:val="22"/>
          <w:lang w:val="fr-FR"/>
        </w:rPr>
        <w:t>,</w:t>
      </w:r>
      <w:r>
        <w:rPr>
          <w:rFonts w:cs="Calibri" w:ascii="Calibri" w:hAnsi="Calibri"/>
          <w:bCs/>
          <w:sz w:val="22"/>
          <w:szCs w:val="22"/>
        </w:rPr>
        <w:t xml:space="preserve"> l’employeur et</w:t>
      </w:r>
      <w:r>
        <w:rPr>
          <w:rFonts w:cs="Calibri" w:ascii="Calibri" w:hAnsi="Calibri"/>
          <w:bCs/>
          <w:sz w:val="22"/>
          <w:szCs w:val="22"/>
          <w:lang w:val="fr-FR"/>
        </w:rPr>
        <w:t>,</w:t>
      </w:r>
      <w:r>
        <w:rPr>
          <w:rFonts w:cs="Calibri" w:ascii="Calibri" w:hAnsi="Calibri"/>
          <w:bCs/>
          <w:sz w:val="22"/>
          <w:szCs w:val="22"/>
        </w:rPr>
        <w:t xml:space="preserve"> d’autre part</w:t>
      </w:r>
      <w:r>
        <w:rPr>
          <w:rFonts w:cs="Calibri" w:ascii="Calibri" w:hAnsi="Calibri"/>
          <w:bCs/>
          <w:sz w:val="22"/>
          <w:szCs w:val="22"/>
          <w:lang w:val="fr-FR"/>
        </w:rPr>
        <w:t>,</w:t>
      </w:r>
      <w:r>
        <w:rPr>
          <w:rFonts w:cs="Calibri" w:ascii="Calibri" w:hAnsi="Calibri"/>
          <w:bCs/>
          <w:sz w:val="22"/>
          <w:szCs w:val="22"/>
        </w:rPr>
        <w:t xml:space="preserve"> les représentants du personnel, pour autant qu’il en existe au sein de la société.</w:t>
      </w:r>
    </w:p>
    <w:p>
      <w:pPr>
        <w:pStyle w:val="TextBody"/>
        <w:tabs>
          <w:tab w:val="left" w:pos="1270" w:leader="dot"/>
        </w:tabs>
        <w:autoSpaceDE w:val="true"/>
        <w:spacing w:before="0" w:after="0"/>
        <w:rPr>
          <w:rFonts w:ascii="Calibri" w:hAnsi="Calibri" w:cs="Calibri"/>
          <w:bCs/>
          <w:sz w:val="22"/>
          <w:szCs w:val="22"/>
          <w:lang w:val="fr-FR"/>
        </w:rPr>
      </w:pPr>
      <w:r>
        <w:rPr>
          <w:rFonts w:cs="Calibri" w:ascii="Calibri" w:hAnsi="Calibri"/>
          <w:bCs/>
          <w:sz w:val="22"/>
          <w:szCs w:val="22"/>
          <w:lang w:val="fr-FR"/>
        </w:rPr>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t xml:space="preserve">Toute décision de dénonciation ou de demande de révision émanant des </w:t>
      </w:r>
      <w:r>
        <w:rPr>
          <w:rFonts w:cs="Calibri" w:ascii="Calibri" w:hAnsi="Calibri"/>
          <w:bCs/>
          <w:sz w:val="22"/>
          <w:szCs w:val="22"/>
          <w:lang w:val="fr-FR"/>
        </w:rPr>
        <w:t xml:space="preserve">représentants du personnel, pour autant qu’il en existe au sein de la société, </w:t>
      </w:r>
      <w:r>
        <w:rPr>
          <w:rFonts w:cs="Calibri" w:ascii="Calibri" w:hAnsi="Calibri"/>
          <w:bCs/>
          <w:sz w:val="22"/>
          <w:szCs w:val="22"/>
        </w:rPr>
        <w:t>devra résulter d’une délibération de ces derniers.</w:t>
      </w:r>
    </w:p>
    <w:p>
      <w:pPr>
        <w:pStyle w:val="TextBody"/>
        <w:tabs>
          <w:tab w:val="left" w:pos="1270" w:leader="dot"/>
        </w:tabs>
        <w:autoSpaceDE w:val="true"/>
        <w:spacing w:before="0" w:after="0"/>
        <w:rPr>
          <w:rFonts w:ascii="Calibri" w:hAnsi="Calibri" w:cs="Calibri"/>
          <w:bCs/>
          <w:sz w:val="22"/>
          <w:szCs w:val="22"/>
        </w:rPr>
      </w:pPr>
      <w:r>
        <w:rPr>
          <w:rFonts w:cs="Calibri" w:ascii="Calibri" w:hAnsi="Calibri"/>
          <w:bCs/>
          <w:sz w:val="22"/>
          <w:szCs w:val="22"/>
        </w:rPr>
      </w:r>
    </w:p>
    <w:p>
      <w:pPr>
        <w:pStyle w:val="Heading2"/>
        <w:numPr>
          <w:ilvl w:val="1"/>
          <w:numId w:val="1"/>
        </w:numPr>
        <w:spacing w:before="0" w:after="0"/>
        <w:rPr>
          <w:rFonts w:ascii="Calibri" w:hAnsi="Calibri" w:cs="Calibri"/>
          <w:highlight w:val="white"/>
        </w:rPr>
      </w:pPr>
      <w:bookmarkStart w:id="19" w:name="__RefHeading___Toc90296708"/>
      <w:bookmarkEnd w:id="19"/>
      <w:r>
        <w:rPr>
          <w:rStyle w:val="Titre2Car"/>
          <w:rFonts w:cs="Calibri" w:ascii="Calibri" w:hAnsi="Calibri"/>
          <w:b w:val="false"/>
        </w:rPr>
        <w:t>Ar</w:t>
      </w:r>
      <w:r>
        <w:rPr>
          <w:rFonts w:cs="Calibri" w:ascii="Calibri" w:hAnsi="Calibri"/>
          <w:shd w:fill="FFFFFF" w:val="clear"/>
        </w:rPr>
        <w:t>ticle 9.  Conditions de validité</w:t>
      </w:r>
    </w:p>
    <w:p>
      <w:pPr>
        <w:pStyle w:val="TextBody"/>
        <w:tabs>
          <w:tab w:val="left" w:pos="1270" w:leader="dot"/>
        </w:tabs>
        <w:autoSpaceDE w:val="true"/>
        <w:spacing w:before="0" w:after="0"/>
        <w:rPr>
          <w:rFonts w:ascii="Calibri" w:hAnsi="Calibri" w:cs="Calibri"/>
          <w:shd w:fill="FFFFFF" w:val="clear"/>
        </w:rPr>
      </w:pPr>
      <w:r>
        <w:rPr>
          <w:rFonts w:cs="Calibri" w:ascii="Calibri" w:hAnsi="Calibri"/>
          <w:shd w:fill="FFFFFF" w:val="clear"/>
        </w:rPr>
      </w:r>
    </w:p>
    <w:p>
      <w:pPr>
        <w:pStyle w:val="TextBody"/>
        <w:tabs>
          <w:tab w:val="left" w:pos="1270" w:leader="dot"/>
        </w:tabs>
        <w:autoSpaceDE w:val="true"/>
        <w:spacing w:before="0" w:after="0"/>
        <w:rPr>
          <w:rFonts w:ascii="Calibri" w:hAnsi="Calibri" w:cs="Calibri"/>
          <w:bCs/>
          <w:sz w:val="22"/>
          <w:szCs w:val="22"/>
        </w:rPr>
      </w:pPr>
      <w:r>
        <w:rPr>
          <w:rFonts w:cs="Calibri" w:ascii="Calibri" w:hAnsi="Calibri"/>
          <w:sz w:val="22"/>
          <w:szCs w:val="22"/>
          <w:shd w:fill="FFFFFF" w:val="clear"/>
        </w:rPr>
        <w:t xml:space="preserve">Conformément à l’article L.2232-25 du Code du travail, issu de la loi n° 2018-217 du 29 mars 2018, le présent avenant n'acquerra la valeur d'avenant </w:t>
      </w:r>
      <w:r>
        <w:rPr>
          <w:rFonts w:cs="Calibri" w:ascii="Calibri" w:hAnsi="Calibri"/>
          <w:sz w:val="22"/>
          <w:szCs w:val="22"/>
          <w:shd w:fill="FFFFFF" w:val="clear"/>
          <w:lang w:val="fr-FR"/>
        </w:rPr>
        <w:t xml:space="preserve">à l’accord </w:t>
      </w:r>
      <w:r>
        <w:rPr>
          <w:rFonts w:cs="Calibri" w:ascii="Calibri" w:hAnsi="Calibri"/>
          <w:sz w:val="22"/>
          <w:szCs w:val="22"/>
          <w:shd w:fill="FFFFFF" w:val="clear"/>
        </w:rPr>
        <w:t xml:space="preserve">collectif </w:t>
      </w:r>
      <w:r>
        <w:rPr>
          <w:rFonts w:cs="Calibri" w:ascii="Calibri" w:hAnsi="Calibri"/>
          <w:sz w:val="22"/>
          <w:szCs w:val="22"/>
          <w:shd w:fill="FFFFFF" w:val="clear"/>
          <w:lang w:val="fr-FR"/>
        </w:rPr>
        <w:t xml:space="preserve">d’entreprise initial et visé en préambule </w:t>
      </w:r>
      <w:r>
        <w:rPr>
          <w:rFonts w:cs="Calibri" w:ascii="Calibri" w:hAnsi="Calibri"/>
          <w:sz w:val="22"/>
          <w:szCs w:val="22"/>
          <w:shd w:fill="FFFFFF" w:val="clear"/>
        </w:rPr>
        <w:t xml:space="preserve">que s'il est signé par un ou plusieurs élus titulaires représentant la majorité des suffrages exprimés lors des élections </w:t>
      </w:r>
      <w:r>
        <w:rPr>
          <w:rFonts w:cs="Calibri" w:ascii="Calibri" w:hAnsi="Calibri"/>
          <w:sz w:val="22"/>
          <w:szCs w:val="22"/>
          <w:shd w:fill="FFFFFF" w:val="clear"/>
          <w:lang w:val="fr-FR"/>
        </w:rPr>
        <w:t>du Comité Social et Economique</w:t>
      </w:r>
      <w:r>
        <w:rPr>
          <w:rFonts w:cs="Calibri" w:ascii="Calibri" w:hAnsi="Calibri"/>
          <w:sz w:val="22"/>
          <w:szCs w:val="22"/>
          <w:shd w:fill="FFFFFF" w:val="clear"/>
        </w:rPr>
        <w:t xml:space="preserve"> ayant eu lieu le</w:t>
      </w:r>
      <w:r>
        <w:rPr>
          <w:rFonts w:cs="Calibri" w:ascii="Calibri" w:hAnsi="Calibri"/>
          <w:sz w:val="22"/>
          <w:szCs w:val="22"/>
          <w:shd w:fill="FFFFFF" w:val="clear"/>
          <w:lang w:val="fr-FR"/>
        </w:rPr>
        <w:t xml:space="preserve"> 3 avril 2018.</w:t>
      </w:r>
    </w:p>
    <w:p>
      <w:pPr>
        <w:pStyle w:val="Normal"/>
        <w:jc w:val="both"/>
        <w:rPr>
          <w:rFonts w:ascii="Calibri" w:hAnsi="Calibri" w:cs="Calibri"/>
          <w:bCs/>
          <w:sz w:val="22"/>
          <w:szCs w:val="22"/>
        </w:rPr>
      </w:pPr>
      <w:r>
        <w:rPr>
          <w:rFonts w:cs="Calibri" w:ascii="Calibri" w:hAnsi="Calibri"/>
          <w:bCs/>
          <w:sz w:val="22"/>
          <w:szCs w:val="22"/>
        </w:rPr>
      </w:r>
    </w:p>
    <w:p>
      <w:pPr>
        <w:pStyle w:val="Heading2"/>
        <w:numPr>
          <w:ilvl w:val="1"/>
          <w:numId w:val="1"/>
        </w:numPr>
        <w:spacing w:before="0" w:after="0"/>
        <w:jc w:val="both"/>
        <w:rPr>
          <w:rFonts w:ascii="Calibri" w:hAnsi="Calibri" w:cs="Calibri"/>
          <w:lang w:val="fr-FR"/>
        </w:rPr>
      </w:pPr>
      <w:bookmarkStart w:id="20" w:name="__RefHeading___Toc90296709"/>
      <w:bookmarkEnd w:id="20"/>
      <w:r>
        <w:rPr>
          <w:rFonts w:cs="Calibri" w:ascii="Calibri" w:hAnsi="Calibri"/>
        </w:rPr>
        <w:t>A</w:t>
      </w:r>
      <w:r>
        <w:rPr>
          <w:rFonts w:cs="Calibri" w:ascii="Calibri" w:hAnsi="Calibri"/>
          <w:lang w:val="fr-FR"/>
        </w:rPr>
        <w:t>rticle</w:t>
      </w:r>
      <w:r>
        <w:rPr>
          <w:rFonts w:cs="Calibri" w:ascii="Calibri" w:hAnsi="Calibri"/>
        </w:rPr>
        <w:t xml:space="preserve"> 10. Dépôt légal</w:t>
      </w:r>
      <w:r>
        <w:rPr>
          <w:rFonts w:cs="Calibri" w:ascii="Calibri" w:hAnsi="Calibri"/>
          <w:lang w:val="fr-FR"/>
        </w:rPr>
        <w:t xml:space="preserve"> et </w:t>
      </w:r>
      <w:r>
        <w:rPr>
          <w:rFonts w:cs="Calibri" w:ascii="Calibri" w:hAnsi="Calibri"/>
        </w:rPr>
        <w:t>publicité</w:t>
      </w:r>
    </w:p>
    <w:p>
      <w:pPr>
        <w:pStyle w:val="Normal"/>
        <w:tabs>
          <w:tab w:val="left" w:pos="1270" w:leader="dot"/>
        </w:tabs>
        <w:jc w:val="both"/>
        <w:rPr>
          <w:rFonts w:ascii="Calibri" w:hAnsi="Calibri" w:cs="Calibri"/>
          <w:szCs w:val="22"/>
          <w:lang w:val="fr-FR"/>
        </w:rPr>
      </w:pPr>
      <w:r>
        <w:rPr>
          <w:rFonts w:cs="Calibri" w:ascii="Calibri" w:hAnsi="Calibri"/>
          <w:szCs w:val="22"/>
          <w:lang w:val="fr-FR"/>
        </w:rPr>
      </w:r>
    </w:p>
    <w:p>
      <w:pPr>
        <w:pStyle w:val="Normal"/>
        <w:tabs>
          <w:tab w:val="left" w:pos="1270" w:leader="dot"/>
        </w:tabs>
        <w:jc w:val="both"/>
        <w:rPr>
          <w:rFonts w:ascii="Calibri" w:hAnsi="Calibri" w:cs="Calibri"/>
          <w:szCs w:val="22"/>
        </w:rPr>
      </w:pPr>
      <w:r>
        <w:rPr>
          <w:rFonts w:cs="Calibri" w:ascii="Calibri" w:hAnsi="Calibri"/>
          <w:szCs w:val="22"/>
        </w:rPr>
        <w:t>Le présent avenant sera déposé sur la plateforme en ligne TéléAvenants qui transmettra à la DIRECCTE de LAVAL.</w:t>
      </w:r>
    </w:p>
    <w:p>
      <w:pPr>
        <w:pStyle w:val="Normal"/>
        <w:tabs>
          <w:tab w:val="left" w:pos="1270" w:leader="dot"/>
        </w:tabs>
        <w:jc w:val="both"/>
        <w:rPr>
          <w:rFonts w:ascii="Calibri" w:hAnsi="Calibri" w:cs="Calibri"/>
          <w:szCs w:val="22"/>
        </w:rPr>
      </w:pPr>
      <w:r>
        <w:rPr>
          <w:rFonts w:cs="Calibri" w:ascii="Calibri" w:hAnsi="Calibri"/>
          <w:szCs w:val="22"/>
        </w:rPr>
      </w:r>
    </w:p>
    <w:p>
      <w:pPr>
        <w:pStyle w:val="Normal"/>
        <w:tabs>
          <w:tab w:val="left" w:pos="1270" w:leader="dot"/>
        </w:tabs>
        <w:jc w:val="both"/>
        <w:rPr/>
      </w:pPr>
      <w:r>
        <w:rPr>
          <w:rFonts w:cs="Calibri" w:ascii="Calibri" w:hAnsi="Calibri"/>
          <w:szCs w:val="22"/>
        </w:rPr>
        <w:t>Un dépôt sera également fait auprès du Secrétariat du greffe du Conseil des Prud’hommes de LAVAL.</w:t>
      </w:r>
    </w:p>
    <w:p>
      <w:pPr>
        <w:pStyle w:val="Normal"/>
        <w:tabs>
          <w:tab w:val="left" w:pos="1270" w:leader="dot"/>
        </w:tabs>
        <w:jc w:val="both"/>
        <w:rPr>
          <w:rFonts w:ascii="Calibri" w:hAnsi="Calibri" w:cs="Calibri"/>
          <w:szCs w:val="22"/>
        </w:rPr>
      </w:pPr>
      <w:r>
        <w:rPr>
          <w:rFonts w:cs="Calibri" w:ascii="Calibri" w:hAnsi="Calibri"/>
          <w:szCs w:val="22"/>
        </w:rPr>
      </w:r>
    </w:p>
    <w:p>
      <w:pPr>
        <w:pStyle w:val="Normal"/>
        <w:tabs>
          <w:tab w:val="left" w:pos="1270" w:leader="dot"/>
        </w:tabs>
        <w:jc w:val="both"/>
        <w:rPr/>
      </w:pPr>
      <w:r>
        <w:rPr>
          <w:rFonts w:cs="Calibri" w:ascii="Calibri" w:hAnsi="Calibri"/>
          <w:szCs w:val="22"/>
        </w:rPr>
        <w:t>Son existence sera indiquée aux emplacements réservés à la communication avec les salariés.</w:t>
      </w:r>
    </w:p>
    <w:p>
      <w:pPr>
        <w:pStyle w:val="Normal"/>
        <w:tabs>
          <w:tab w:val="left" w:pos="1270" w:leader="dot"/>
        </w:tabs>
        <w:jc w:val="both"/>
        <w:rPr>
          <w:rFonts w:ascii="Calibri" w:hAnsi="Calibri" w:cs="Calibri"/>
          <w:i/>
          <w:i/>
          <w:szCs w:val="22"/>
        </w:rPr>
      </w:pPr>
      <w:r>
        <w:rPr>
          <w:rFonts w:cs="Calibri" w:ascii="Calibri" w:hAnsi="Calibri"/>
          <w:i/>
          <w:szCs w:val="22"/>
        </w:rPr>
      </w:r>
    </w:p>
    <w:p>
      <w:pPr>
        <w:pStyle w:val="Normal"/>
        <w:jc w:val="both"/>
        <w:rPr/>
      </w:pPr>
      <w:r>
        <w:rPr>
          <w:rFonts w:cs="Calibri" w:ascii="Calibri" w:hAnsi="Calibri"/>
          <w:szCs w:val="22"/>
        </w:rPr>
        <w:t>Fait à LOIRON-RUILLE,</w:t>
      </w:r>
    </w:p>
    <w:p>
      <w:pPr>
        <w:pStyle w:val="Normal"/>
        <w:jc w:val="both"/>
        <w:rPr>
          <w:rFonts w:ascii="Calibri" w:hAnsi="Calibri" w:cs="Calibri"/>
          <w:szCs w:val="22"/>
        </w:rPr>
      </w:pPr>
      <w:r>
        <w:rPr>
          <w:rFonts w:cs="Calibri" w:ascii="Calibri" w:hAnsi="Calibri"/>
          <w:szCs w:val="22"/>
        </w:rPr>
        <w:t>Le 21 décembre 2021</w:t>
      </w:r>
    </w:p>
    <w:p>
      <w:pPr>
        <w:pStyle w:val="TextBody"/>
        <w:spacing w:before="0" w:after="0"/>
        <w:rPr>
          <w:rFonts w:ascii="Calibri" w:hAnsi="Calibri" w:cs="Calibri"/>
          <w:sz w:val="22"/>
          <w:szCs w:val="22"/>
        </w:rPr>
      </w:pPr>
      <w:r>
        <w:rPr>
          <w:rFonts w:cs="Calibri" w:ascii="Calibri" w:hAnsi="Calibri"/>
          <w:sz w:val="22"/>
          <w:szCs w:val="22"/>
        </w:rPr>
        <w:t xml:space="preserve">Pour </w:t>
      </w:r>
      <w:r>
        <w:rPr>
          <w:rFonts w:cs="Calibri" w:ascii="Calibri" w:hAnsi="Calibri"/>
          <w:sz w:val="22"/>
          <w:szCs w:val="22"/>
          <w:lang w:val="fr-FR"/>
        </w:rPr>
        <w:t>l</w:t>
      </w:r>
      <w:r>
        <w:rPr>
          <w:rFonts w:cs="Calibri" w:ascii="Calibri" w:hAnsi="Calibri"/>
          <w:sz w:val="22"/>
          <w:szCs w:val="22"/>
        </w:rPr>
        <w:t>a</w:t>
      </w:r>
      <w:r>
        <w:rPr>
          <w:rFonts w:cs="Calibri" w:ascii="Calibri" w:hAnsi="Calibri"/>
          <w:b/>
          <w:sz w:val="22"/>
          <w:szCs w:val="22"/>
        </w:rPr>
        <w:t xml:space="preserve"> Société </w:t>
      </w:r>
      <w:r>
        <w:rPr>
          <w:rFonts w:cs="Calibri" w:ascii="Calibri" w:hAnsi="Calibri"/>
          <w:b/>
          <w:sz w:val="22"/>
          <w:szCs w:val="22"/>
          <w:lang w:val="fr-FR"/>
        </w:rPr>
        <w:t>POUPIN</w:t>
        <w:tab/>
        <w:tab/>
        <w:tab/>
        <w:tab/>
        <w:tab/>
      </w:r>
      <w:r>
        <w:rPr>
          <w:rFonts w:cs="Calibri" w:ascii="Calibri" w:hAnsi="Calibri"/>
          <w:sz w:val="22"/>
          <w:szCs w:val="22"/>
        </w:rPr>
        <w:t>Pour les salariés</w:t>
      </w:r>
    </w:p>
    <w:p>
      <w:pPr>
        <w:pStyle w:val="TextBody"/>
        <w:spacing w:before="0" w:after="0"/>
        <w:rPr>
          <w:rFonts w:ascii="Calibri" w:hAnsi="Calibri" w:cs="Calibri"/>
          <w:sz w:val="22"/>
          <w:szCs w:val="22"/>
          <w:highlight w:val="green"/>
          <w:lang w:val="fr-FR"/>
        </w:rPr>
      </w:pPr>
      <w:r>
        <w:rPr>
          <w:rFonts w:cs="Calibri" w:ascii="Calibri" w:hAnsi="Calibri"/>
          <w:sz w:val="22"/>
          <w:szCs w:val="22"/>
          <w:highlight w:val="green"/>
          <w:lang w:val="fr-FR"/>
        </w:rPr>
      </w:r>
    </w:p>
    <w:p>
      <w:pPr>
        <w:pStyle w:val="TextBody"/>
        <w:spacing w:before="0" w:after="0"/>
        <w:rPr>
          <w:rFonts w:ascii="Calibri" w:hAnsi="Calibri" w:cs="Arial"/>
          <w:szCs w:val="24"/>
          <w:lang w:val="fr-FR"/>
        </w:rPr>
      </w:pPr>
      <w:r>
        <w:rPr>
          <w:rFonts w:cs="Calibri" w:ascii="Calibri" w:hAnsi="Calibri"/>
          <w:sz w:val="22"/>
          <w:szCs w:val="22"/>
          <w:lang w:val="fr-FR"/>
        </w:rPr>
        <w:t>M</w:t>
        <w:tab/>
        <w:tab/>
        <w:tab/>
        <w:tab/>
        <w:tab/>
        <w:tab/>
        <w:tab/>
      </w:r>
      <w:r>
        <w:rPr>
          <w:rFonts w:cs="Arial" w:ascii="Calibri" w:hAnsi="Calibri"/>
          <w:szCs w:val="24"/>
        </w:rPr>
        <w:t>M</w:t>
      </w:r>
    </w:p>
    <w:p>
      <w:pPr>
        <w:pStyle w:val="TextBody"/>
        <w:spacing w:before="0" w:after="0"/>
        <w:rPr>
          <w:rFonts w:ascii="Calibri" w:hAnsi="Calibri" w:cs="Arial"/>
          <w:szCs w:val="24"/>
          <w:lang w:val="fr-FR"/>
        </w:rPr>
      </w:pPr>
      <w:r>
        <w:rPr>
          <w:rFonts w:cs="Arial" w:ascii="Calibri" w:hAnsi="Calibri"/>
          <w:szCs w:val="24"/>
          <w:lang w:val="fr-FR"/>
        </w:rPr>
      </w:r>
    </w:p>
    <w:p>
      <w:pPr>
        <w:pStyle w:val="TextBody"/>
        <w:spacing w:before="0" w:after="0"/>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t>M</w:t>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t>M</w:t>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t>M</w:t>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Arial"/>
          <w:szCs w:val="24"/>
        </w:rPr>
      </w:pPr>
      <w:r>
        <w:rPr>
          <w:rFonts w:cs="Arial" w:ascii="Calibri" w:hAnsi="Calibri"/>
          <w:szCs w:val="24"/>
        </w:rPr>
      </w:r>
    </w:p>
    <w:p>
      <w:pPr>
        <w:pStyle w:val="TextBody"/>
        <w:spacing w:before="0" w:after="0"/>
        <w:ind w:left="4254" w:firstLine="709"/>
        <w:rPr>
          <w:rFonts w:ascii="Calibri" w:hAnsi="Calibri" w:cs="Calibri"/>
          <w:sz w:val="22"/>
          <w:szCs w:val="22"/>
          <w:lang w:val="fr-FR"/>
        </w:rPr>
      </w:pPr>
      <w:r>
        <w:rPr>
          <w:rFonts w:cs="Arial" w:ascii="Calibri" w:hAnsi="Calibri"/>
          <w:szCs w:val="24"/>
        </w:rPr>
        <w:t>M</w:t>
      </w:r>
    </w:p>
    <w:p>
      <w:pPr>
        <w:pStyle w:val="TextBody"/>
        <w:spacing w:before="0" w:after="0"/>
        <w:rPr>
          <w:rFonts w:ascii="Calibri" w:hAnsi="Calibri" w:cs="Calibri"/>
          <w:sz w:val="22"/>
          <w:szCs w:val="22"/>
        </w:rPr>
      </w:pPr>
      <w:r>
        <w:rPr>
          <w:rFonts w:cs="Calibri" w:ascii="Calibri" w:hAnsi="Calibri"/>
          <w:sz w:val="22"/>
          <w:szCs w:val="22"/>
        </w:rPr>
        <w:tab/>
      </w:r>
    </w:p>
    <w:sectPr>
      <w:headerReference w:type="default" r:id="rId2"/>
      <w:footerReference w:type="default" r:id="rId3"/>
      <w:type w:val="nextPage"/>
      <w:pgSz w:w="11906" w:h="16838"/>
      <w:pgMar w:left="1418" w:right="1474" w:header="709" w:top="1474" w:footer="709" w:bottom="1418" w:gutter="0"/>
      <w:pgBorders w:display="allPages" w:offsetFrom="page">
        <w:top w:val="single" w:sz="4" w:space="24" w:color="000000" w:shadow="1"/>
        <w:left w:val="single" w:sz="4" w:space="21" w:color="000000" w:shadow="1"/>
        <w:bottom w:val="single" w:sz="4" w:space="24" w:color="000000" w:shadow="1"/>
        <w:right w:val="single" w:sz="4" w:space="26" w:color="000000" w:shadow="1"/>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Comic Sans MS" w:hAnsi="Comic Sans MS" w:cs="Comic Sans MS"/>
        <w:i/>
        <w:i/>
        <w:sz w:val="14"/>
        <w:szCs w:val="14"/>
        <w:lang w:val="fr-FR"/>
      </w:rPr>
    </w:pPr>
    <w:r>
      <mc:AlternateContent>
        <mc:Choice Requires="wps">
          <w:drawing>
            <wp:anchor behindDoc="1" distT="0" distB="0" distL="114935" distR="114935" simplePos="0" locked="0" layoutInCell="1" allowOverlap="1" relativeHeight="39">
              <wp:simplePos x="0" y="0"/>
              <wp:positionH relativeFrom="page">
                <wp:posOffset>6667500</wp:posOffset>
              </wp:positionH>
              <wp:positionV relativeFrom="page">
                <wp:posOffset>9858375</wp:posOffset>
              </wp:positionV>
              <wp:extent cx="368935" cy="274955"/>
              <wp:effectExtent l="0" t="0" r="0" b="0"/>
              <wp:wrapNone/>
              <wp:docPr id="1" name=""/>
              <a:graphic xmlns:a="http://schemas.openxmlformats.org/drawingml/2006/main">
                <a:graphicData uri="http://schemas.microsoft.com/office/word/2010/wordprocessingShape">
                  <wps:wsp>
                    <wps:cNvSpPr/>
                    <wps:spPr>
                      <a:xfrm>
                        <a:off x="0" y="0"/>
                        <a:ext cx="368280" cy="274320"/>
                      </a:xfrm>
                      <a:prstGeom prst="foldedCorner">
                        <a:avLst>
                          <a:gd name="adj" fmla="val 34560"/>
                        </a:avLst>
                      </a:prstGeom>
                      <a:solidFill>
                        <a:srgbClr val="ffffff"/>
                      </a:solidFill>
                      <a:ln w="3240">
                        <a:solidFill>
                          <a:srgbClr val="808080"/>
                        </a:solidFill>
                        <a:miter/>
                      </a:ln>
                    </wps:spPr>
                    <wps:style>
                      <a:lnRef idx="0"/>
                      <a:fillRef idx="0"/>
                      <a:effectRef idx="0"/>
                      <a:fontRef idx="minor"/>
                    </wps:style>
                    <wps:txbx>
                      <w:txbxContent>
                        <w:p>
                          <w:pPr>
                            <w:overflowPunct w:val="false"/>
                            <w:bidi w:val="0"/>
                            <w:jc w:val="center"/>
                            <w:rPr/>
                          </w:pPr>
                          <w:r>
                            <w:rPr>
                              <w:sz w:val="24"/>
                              <w:szCs w:val="24"/>
                              <w:rFonts w:ascii="Arial" w:hAnsi="Arial" w:cs="Arial" w:eastAsia="Times New Roman"/>
                              <w:color w:val="auto"/>
                              <w:lang w:val="en-GB" w:bidi="ar-SA"/>
                            </w:rPr>
                            <w:t>38</w:t>
                          </w:r>
                        </w:p>
                      </w:txbxContent>
                    </wps:txbx>
                    <wps:bodyPr>
                      <a:noAutofit/>
                    </wps:bodyPr>
                  </wps:wsp>
                </a:graphicData>
              </a:graphic>
            </wp:anchor>
          </w:drawing>
        </mc:Choice>
        <mc:Fallback>
          <w:pict>
            <v:shapetype id="shapetype_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fillcolor="white" stroked="t" style="position:absolute;margin-left:525pt;margin-top:776.25pt;width:28.95pt;height:21.55pt;mso-position-horizontal-relative:page;mso-position-vertical-relative:page" type="shapetype_65">
              <v:textbox>
                <w:txbxContent>
                  <w:p>
                    <w:pPr>
                      <w:overflowPunct w:val="false"/>
                      <w:bidi w:val="0"/>
                      <w:jc w:val="center"/>
                      <w:rPr/>
                    </w:pPr>
                    <w:r>
                      <w:rPr>
                        <w:sz w:val="24"/>
                        <w:szCs w:val="24"/>
                        <w:rFonts w:ascii="Arial" w:hAnsi="Arial" w:cs="Arial" w:eastAsia="Times New Roman"/>
                        <w:color w:val="auto"/>
                        <w:lang w:val="en-GB" w:bidi="ar-SA"/>
                      </w:rPr>
                      <w:t>38</w:t>
                    </w:r>
                  </w:p>
                </w:txbxContent>
              </v:textbox>
              <w10:wrap type="square"/>
              <v:fill o:detectmouseclick="t" type="solid" color2="black"/>
              <v:stroke color="gray" weight="3240" joinstyle="miter" endcap="square"/>
            </v:shape>
          </w:pict>
        </mc:Fallback>
      </mc:AlternateContent>
    </w:r>
    <w:r>
      <w:rPr>
        <w:rFonts w:cs="Comic Sans MS" w:ascii="Comic Sans MS" w:hAnsi="Comic Sans MS"/>
        <w:i/>
        <w:sz w:val="14"/>
        <w:szCs w:val="14"/>
        <w:lang w:val="fr-FR"/>
      </w:rPr>
      <w:t>R</w:t>
    </w:r>
    <w:r>
      <w:rPr>
        <w:rFonts w:cs="Comic Sans MS" w:ascii="Comic Sans MS" w:hAnsi="Comic Sans MS"/>
        <w:i/>
        <w:sz w:val="14"/>
        <w:szCs w:val="14"/>
        <w:lang w:val="fr-FR"/>
      </w:rPr>
      <w:t>édacteur : Maître Frédéric JANVIER</w:t>
    </w:r>
  </w:p>
  <w:p>
    <w:pPr>
      <w:pStyle w:val="Footer"/>
      <w:rPr>
        <w:rFonts w:ascii="Comic Sans MS" w:hAnsi="Comic Sans MS" w:cs="Comic Sans MS"/>
        <w:i/>
        <w:i/>
        <w:sz w:val="14"/>
        <w:szCs w:val="14"/>
        <w:lang w:val="fr-FR"/>
      </w:rPr>
    </w:pPr>
    <w:r>
      <w:rPr>
        <w:rFonts w:cs="Comic Sans MS" w:ascii="Comic Sans MS" w:hAnsi="Comic Sans MS"/>
        <w:i/>
        <w:sz w:val="14"/>
        <w:szCs w:val="14"/>
        <w:lang w:val="fr-FR"/>
      </w:rPr>
      <w:t>Avocat au Barreau de Laval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left" w:pos="7371" w:leader="none"/>
      </w:tabs>
      <w:ind w:left="-426" w:right="-2" w:hanging="0"/>
      <w:jc w:val="center"/>
      <w:rPr>
        <w:rFonts w:ascii="Comic Sans MS" w:hAnsi="Comic Sans MS" w:cs="Comic Sans MS"/>
        <w:i/>
        <w:i/>
        <w:sz w:val="24"/>
        <w:szCs w:val="24"/>
        <w:lang w:val="fr-FR"/>
      </w:rPr>
    </w:pPr>
    <w:r>
      <w:rPr>
        <w:rFonts w:cs="Comic Sans MS" w:ascii="Comic Sans MS" w:hAnsi="Comic Sans MS"/>
        <w:i/>
        <w:sz w:val="24"/>
        <w:szCs w:val="24"/>
        <w:lang w:val="fr-FR"/>
      </w:rPr>
      <w:t xml:space="preserve">Avenant collectif d’entreprise </w:t>
    </w:r>
  </w:p>
  <w:p>
    <w:pPr>
      <w:pStyle w:val="Header"/>
      <w:tabs>
        <w:tab w:val="left" w:pos="7371" w:leader="none"/>
      </w:tabs>
      <w:ind w:left="-426" w:right="-2" w:hanging="0"/>
      <w:jc w:val="center"/>
      <w:rPr/>
    </w:pPr>
    <w:r>
      <w:rPr>
        <w:rFonts w:cs="Comic Sans MS" w:ascii="Comic Sans MS" w:hAnsi="Comic Sans MS"/>
        <w:i/>
        <w:sz w:val="24"/>
        <w:szCs w:val="24"/>
      </w:rPr>
      <w:t>« </w:t>
    </w:r>
    <w:r>
      <w:rPr>
        <w:rFonts w:cs="Comic Sans MS" w:ascii="Comic Sans MS" w:hAnsi="Comic Sans MS"/>
        <w:i/>
        <w:sz w:val="24"/>
        <w:szCs w:val="24"/>
        <w:lang w:val="fr-FR"/>
      </w:rPr>
      <w:t>Société POUPIN</w:t>
    </w:r>
    <w:r>
      <w:rPr>
        <w:rFonts w:cs="Comic Sans MS" w:ascii="Comic Sans MS" w:hAnsi="Comic Sans MS"/>
        <w:i/>
        <w:sz w:val="24"/>
        <w:szCs w:val="24"/>
      </w:rPr>
      <w:t>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22"/>
      <w:numFmt w:val="bullet"/>
      <w:lvlText w:val=""/>
      <w:lvlJc w:val="left"/>
      <w:pPr>
        <w:ind w:left="1494" w:hanging="360"/>
      </w:pPr>
      <w:rPr>
        <w:rFonts w:ascii="Symbol" w:hAnsi="Symbol" w:cs="Symbol" w:hint="default"/>
        <w:sz w:val="22"/>
        <w:b w:val="false"/>
        <w:szCs w:val="24"/>
        <w:rFonts w:cs="Calibri"/>
      </w:rPr>
    </w:lvl>
  </w:abstractNum>
  <w:abstractNum w:abstractNumId="3">
    <w:lvl w:ilvl="0">
      <w:start w:val="3"/>
      <w:numFmt w:val="none"/>
      <w:suff w:val="nothing"/>
      <w:lvlText w:val="-"/>
      <w:lvlJc w:val="left"/>
      <w:pPr>
        <w:tabs>
          <w:tab w:val="num" w:pos="360"/>
        </w:tabs>
        <w:ind w:left="1063" w:hanging="360"/>
      </w:pPr>
      <w:rPr/>
    </w:lvl>
  </w:abstractNum>
  <w:abstractNum w:abstractNumId="4">
    <w:lvl w:ilvl="0">
      <w:numFmt w:val="bullet"/>
      <w:lvlText w:val="-"/>
      <w:lvlJc w:val="left"/>
      <w:pPr>
        <w:ind w:left="1571" w:hanging="360"/>
      </w:pPr>
      <w:rPr>
        <w:rFonts w:ascii="Times New Roman" w:hAnsi="Times New Roman" w:cs="Times New Roman" w:hint="default"/>
        <w:rFonts w:cs="Times New Roman"/>
        <w:lang w:val="fr-F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9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Arial" w:hAnsi="Arial" w:eastAsia="Times New Roman" w:cs="Arial"/>
      <w:color w:val="auto"/>
      <w:sz w:val="22"/>
      <w:szCs w:val="20"/>
      <w:lang w:val="fr-FR" w:bidi="ar-SA" w:eastAsia="zh-CN"/>
    </w:rPr>
  </w:style>
  <w:style w:type="paragraph" w:styleId="Heading1">
    <w:name w:val="Heading 1"/>
    <w:basedOn w:val="Normal"/>
    <w:next w:val="Normal"/>
    <w:qFormat/>
    <w:pPr>
      <w:keepNext w:val="true"/>
      <w:numPr>
        <w:ilvl w:val="0"/>
        <w:numId w:val="1"/>
      </w:numPr>
      <w:jc w:val="center"/>
      <w:outlineLvl w:val="0"/>
    </w:pPr>
    <w:rPr>
      <w:b/>
      <w:sz w:val="36"/>
      <w:u w:val="single"/>
      <w:lang w:val="en-GB"/>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sz w:val="32"/>
      <w:szCs w:val="26"/>
      <w:u w:val="single"/>
      <w:lang w:val="en-GB"/>
    </w:rPr>
  </w:style>
  <w:style w:type="paragraph" w:styleId="Heading3">
    <w:name w:val="Heading 3"/>
    <w:basedOn w:val="Normal"/>
    <w:next w:val="Normal"/>
    <w:qFormat/>
    <w:pPr>
      <w:keepNext w:val="true"/>
      <w:keepLines/>
      <w:numPr>
        <w:ilvl w:val="2"/>
        <w:numId w:val="1"/>
      </w:numPr>
      <w:spacing w:before="200" w:after="0"/>
      <w:ind w:left="709" w:hanging="0"/>
      <w:outlineLvl w:val="2"/>
    </w:pPr>
    <w:rPr>
      <w:rFonts w:ascii="Cambria" w:hAnsi="Cambria" w:cs="Cambria"/>
      <w:b/>
      <w:bCs/>
      <w:sz w:val="28"/>
      <w:lang w:val="en-GB"/>
    </w:rPr>
  </w:style>
  <w:style w:type="paragraph" w:styleId="Heading4">
    <w:name w:val="Heading 4"/>
    <w:basedOn w:val="Normal"/>
    <w:next w:val="Normal"/>
    <w:qFormat/>
    <w:pPr>
      <w:keepNext w:val="true"/>
      <w:keepLines/>
      <w:numPr>
        <w:ilvl w:val="3"/>
        <w:numId w:val="1"/>
      </w:numPr>
      <w:spacing w:before="200" w:after="0"/>
      <w:ind w:left="1418" w:hanging="0"/>
      <w:outlineLvl w:val="3"/>
    </w:pPr>
    <w:rPr>
      <w:rFonts w:ascii="Cambria" w:hAnsi="Cambria" w:cs="Cambria"/>
      <w:b/>
      <w:bCs/>
      <w:i/>
      <w:iCs/>
      <w:sz w:val="24"/>
      <w:lang w:val="en-GB"/>
    </w:rPr>
  </w:style>
  <w:style w:type="paragraph" w:styleId="Heading5">
    <w:name w:val="Heading 5"/>
    <w:basedOn w:val="Normal"/>
    <w:next w:val="Normal"/>
    <w:qFormat/>
    <w:pPr>
      <w:keepNext w:val="true"/>
      <w:keepLines/>
      <w:numPr>
        <w:ilvl w:val="4"/>
        <w:numId w:val="1"/>
      </w:numPr>
      <w:spacing w:before="200" w:after="0"/>
      <w:ind w:left="1418" w:hanging="0"/>
      <w:outlineLvl w:val="4"/>
    </w:pPr>
    <w:rPr>
      <w:rFonts w:ascii="Cambria" w:hAnsi="Cambria" w:cs="Cambria"/>
      <w:lang w:val="en-GB"/>
    </w:rPr>
  </w:style>
  <w:style w:type="paragraph" w:styleId="Heading6">
    <w:name w:val="Heading 6"/>
    <w:basedOn w:val="Normal"/>
    <w:next w:val="Normal"/>
    <w:qFormat/>
    <w:pPr>
      <w:keepNext w:val="true"/>
      <w:keepLines/>
      <w:numPr>
        <w:ilvl w:val="5"/>
        <w:numId w:val="1"/>
      </w:numPr>
      <w:spacing w:before="200" w:after="0"/>
      <w:ind w:left="2836" w:hanging="0"/>
      <w:outlineLvl w:val="5"/>
    </w:pPr>
    <w:rPr>
      <w:i/>
      <w:iCs/>
      <w:sz w:val="20"/>
      <w:lang w:val="en-GB"/>
    </w:rPr>
  </w:style>
  <w:style w:type="paragraph" w:styleId="Heading7">
    <w:name w:val="Heading 7"/>
    <w:basedOn w:val="Normal"/>
    <w:next w:val="Normal"/>
    <w:qFormat/>
    <w:pPr>
      <w:numPr>
        <w:ilvl w:val="6"/>
        <w:numId w:val="1"/>
      </w:numPr>
      <w:spacing w:before="240" w:after="60"/>
      <w:ind w:left="3545" w:hanging="0"/>
      <w:outlineLvl w:val="6"/>
    </w:pPr>
    <w:rPr>
      <w:sz w:val="18"/>
      <w:szCs w:val="24"/>
      <w:lang w:val="en-GB"/>
    </w:rPr>
  </w:style>
  <w:style w:type="paragraph" w:styleId="Heading8">
    <w:name w:val="Heading 8"/>
    <w:basedOn w:val="Normal"/>
    <w:next w:val="Normal"/>
    <w:qFormat/>
    <w:pPr>
      <w:numPr>
        <w:ilvl w:val="7"/>
        <w:numId w:val="1"/>
      </w:numPr>
      <w:spacing w:before="240" w:after="60"/>
      <w:ind w:left="4254" w:hanging="0"/>
      <w:outlineLvl w:val="7"/>
    </w:pPr>
    <w:rPr>
      <w:i/>
      <w:iCs/>
      <w:sz w:val="16"/>
      <w:szCs w:val="24"/>
    </w:rPr>
  </w:style>
  <w:style w:type="character" w:styleId="WW8Num1z0">
    <w:name w:val="WW8Num1z0"/>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Times New Roman" w:hAnsi="Times New Roman" w:eastAsia="Times New Roman" w:cs="Times New Roman"/>
      <w:lang w:val="fr-FR"/>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eastAsia="Times New Roman" w:cs="Calibri"/>
      <w:b w:val="false"/>
      <w:sz w:val="22"/>
      <w:szCs w:val="24"/>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Arial" w:hAnsi="Arial" w:eastAsia="Calibri" w:cs="Arial"/>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Times New Roman" w:hAnsi="Times New Roman" w:eastAsia="Times New Roman" w:cs="Times New Roman"/>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St2z0">
    <w:name w:val="WW8NumSt2z0"/>
    <w:qFormat/>
    <w:rPr>
      <w:rFonts w:ascii="Symbol" w:hAnsi="Symbol" w:cs="Symbol"/>
      <w:b w:val="false"/>
      <w:i w:val="false"/>
      <w:sz w:val="20"/>
    </w:rPr>
  </w:style>
  <w:style w:type="character" w:styleId="WW8NumSt2z1">
    <w:name w:val="WW8NumSt2z1"/>
    <w:qFormat/>
    <w:rPr>
      <w:rFonts w:ascii="Courier New" w:hAnsi="Courier New" w:cs="Courier New"/>
    </w:rPr>
  </w:style>
  <w:style w:type="character" w:styleId="WW8NumSt2z2">
    <w:name w:val="WW8NumSt2z2"/>
    <w:qFormat/>
    <w:rPr>
      <w:rFonts w:ascii="Wingdings" w:hAnsi="Wingdings" w:cs="Wingdings"/>
    </w:rPr>
  </w:style>
  <w:style w:type="character" w:styleId="WW8NumSt2z3">
    <w:name w:val="WW8NumSt2z3"/>
    <w:qFormat/>
    <w:rPr>
      <w:rFonts w:ascii="Symbol" w:hAnsi="Symbol" w:cs="Symbol"/>
    </w:rPr>
  </w:style>
  <w:style w:type="character" w:styleId="WW8NumSt13z0">
    <w:name w:val="WW8NumSt13z0"/>
    <w:qFormat/>
    <w:rPr>
      <w:rFonts w:ascii="Symbol" w:hAnsi="Symbol" w:cs="Symbol"/>
      <w:b w:val="false"/>
      <w:i w:val="false"/>
      <w:sz w:val="20"/>
    </w:rPr>
  </w:style>
  <w:style w:type="character" w:styleId="Policepardfaut">
    <w:name w:val="Police par défaut"/>
    <w:qFormat/>
    <w:rPr/>
  </w:style>
  <w:style w:type="character" w:styleId="Titre1Car">
    <w:name w:val="Titre 1 Car"/>
    <w:qFormat/>
    <w:rPr>
      <w:rFonts w:ascii="Arial" w:hAnsi="Arial" w:eastAsia="Times New Roman" w:cs="Arial"/>
      <w:b/>
      <w:sz w:val="36"/>
      <w:u w:val="single"/>
      <w:lang w:val="en-GB"/>
    </w:rPr>
  </w:style>
  <w:style w:type="character" w:styleId="Titre2Car">
    <w:name w:val="Titre 2 Car"/>
    <w:qFormat/>
    <w:rPr>
      <w:rFonts w:ascii="Cambria" w:hAnsi="Cambria" w:eastAsia="Times New Roman" w:cs="Cambria"/>
      <w:b/>
      <w:bCs/>
      <w:sz w:val="32"/>
      <w:szCs w:val="26"/>
      <w:u w:val="single"/>
      <w:lang w:val="en-GB"/>
    </w:rPr>
  </w:style>
  <w:style w:type="character" w:styleId="Titre3Car">
    <w:name w:val="Titre 3 Car"/>
    <w:qFormat/>
    <w:rPr>
      <w:rFonts w:ascii="Cambria" w:hAnsi="Cambria" w:eastAsia="Times New Roman" w:cs="Cambria"/>
      <w:b/>
      <w:bCs/>
      <w:sz w:val="28"/>
      <w:lang w:val="en-GB"/>
    </w:rPr>
  </w:style>
  <w:style w:type="character" w:styleId="Titre4Car">
    <w:name w:val="Titre 4 Car"/>
    <w:qFormat/>
    <w:rPr>
      <w:rFonts w:ascii="Cambria" w:hAnsi="Cambria" w:eastAsia="Times New Roman" w:cs="Cambria"/>
      <w:b/>
      <w:bCs/>
      <w:i/>
      <w:iCs/>
      <w:sz w:val="24"/>
      <w:lang w:val="en-GB"/>
    </w:rPr>
  </w:style>
  <w:style w:type="character" w:styleId="Titre5Car">
    <w:name w:val="Titre 5 Car"/>
    <w:qFormat/>
    <w:rPr>
      <w:rFonts w:ascii="Cambria" w:hAnsi="Cambria" w:eastAsia="Times New Roman" w:cs="Cambria"/>
      <w:sz w:val="22"/>
      <w:lang w:val="en-GB"/>
    </w:rPr>
  </w:style>
  <w:style w:type="character" w:styleId="Titre6Car">
    <w:name w:val="Titre 6 Car"/>
    <w:qFormat/>
    <w:rPr>
      <w:rFonts w:ascii="Arial" w:hAnsi="Arial" w:eastAsia="Times New Roman" w:cs="Arial"/>
      <w:i/>
      <w:iCs/>
      <w:lang w:val="en-GB"/>
    </w:rPr>
  </w:style>
  <w:style w:type="character" w:styleId="Titre7Car">
    <w:name w:val="Titre 7 Car"/>
    <w:qFormat/>
    <w:rPr>
      <w:rFonts w:ascii="Arial" w:hAnsi="Arial" w:eastAsia="Times New Roman" w:cs="Arial"/>
      <w:sz w:val="18"/>
      <w:szCs w:val="24"/>
      <w:lang w:val="en-GB"/>
    </w:rPr>
  </w:style>
  <w:style w:type="character" w:styleId="Titre8Car">
    <w:name w:val="Titre 8 Car"/>
    <w:qFormat/>
    <w:rPr>
      <w:rFonts w:ascii="Arial" w:hAnsi="Arial" w:eastAsia="Times New Roman" w:cs="Arial"/>
      <w:i/>
      <w:iCs/>
      <w:sz w:val="16"/>
      <w:szCs w:val="24"/>
    </w:rPr>
  </w:style>
  <w:style w:type="character" w:styleId="CorpsdetexteCar">
    <w:name w:val="Corps de texte Car"/>
    <w:qFormat/>
    <w:rPr>
      <w:rFonts w:ascii="Times New Roman" w:hAnsi="Times New Roman" w:eastAsia="Times New Roman" w:cs="Times New Roman"/>
      <w:sz w:val="24"/>
      <w:szCs w:val="20"/>
    </w:rPr>
  </w:style>
  <w:style w:type="character" w:styleId="PieddepageCar">
    <w:name w:val="Pied de page Car"/>
    <w:qFormat/>
    <w:rPr>
      <w:rFonts w:ascii="Times New Roman" w:hAnsi="Times New Roman" w:eastAsia="Times New Roman" w:cs="Times New Roman"/>
      <w:sz w:val="20"/>
      <w:szCs w:val="20"/>
    </w:rPr>
  </w:style>
  <w:style w:type="character" w:styleId="InternetLink">
    <w:name w:val="Internet Link"/>
    <w:rPr>
      <w:color w:val="0000FF"/>
      <w:u w:val="single"/>
    </w:rPr>
  </w:style>
  <w:style w:type="character" w:styleId="EntteCar">
    <w:name w:val="En-tête Car"/>
    <w:qFormat/>
    <w:rPr>
      <w:rFonts w:ascii="Times New Roman" w:hAnsi="Times New Roman" w:eastAsia="Times New Roman" w:cs="Times New Roman"/>
      <w:sz w:val="20"/>
      <w:szCs w:val="20"/>
    </w:rPr>
  </w:style>
  <w:style w:type="character" w:styleId="Chevronjouvecontainer1">
    <w:name w:val="chevronjouvecontainer1"/>
    <w:basedOn w:val="Policepardfaut"/>
    <w:qFormat/>
    <w:rPr/>
  </w:style>
  <w:style w:type="character" w:styleId="Retraitcorpsdetexte2Car">
    <w:name w:val="Retrait corps de texte 2 Car"/>
    <w:qFormat/>
    <w:rPr>
      <w:rFonts w:ascii="Times New Roman" w:hAnsi="Times New Roman" w:eastAsia="Times New Roman" w:cs="Times New Roman"/>
      <w:sz w:val="20"/>
      <w:szCs w:val="20"/>
    </w:rPr>
  </w:style>
  <w:style w:type="character" w:styleId="TextedebullesCar">
    <w:name w:val="Texte de bulles Car"/>
    <w:qFormat/>
    <w:rPr>
      <w:rFonts w:ascii="Tahoma" w:hAnsi="Tahoma" w:eastAsia="Times New Roman" w:cs="Tahoma"/>
      <w:sz w:val="16"/>
      <w:szCs w:val="16"/>
    </w:rPr>
  </w:style>
  <w:style w:type="character" w:styleId="Retraitcorpsdetexte3Car">
    <w:name w:val="Retrait corps de texte 3 Car"/>
    <w:qFormat/>
    <w:rPr>
      <w:rFonts w:ascii="Times New Roman" w:hAnsi="Times New Roman" w:eastAsia="Times New Roman" w:cs="Times New Roman"/>
      <w:sz w:val="16"/>
      <w:szCs w:val="16"/>
    </w:rPr>
  </w:style>
  <w:style w:type="character" w:styleId="TitreCar">
    <w:name w:val="Titre Car"/>
    <w:qFormat/>
    <w:rPr>
      <w:rFonts w:ascii="Times New Roman" w:hAnsi="Times New Roman" w:eastAsia="Times New Roman" w:cs="Times New Roman"/>
      <w:b/>
      <w:sz w:val="28"/>
    </w:rPr>
  </w:style>
  <w:style w:type="character" w:styleId="Texteel">
    <w:name w:val="texteel"/>
    <w:qFormat/>
    <w:rPr/>
  </w:style>
  <w:style w:type="character" w:styleId="StrongEmphasis">
    <w:name w:val="Strong Emphasis"/>
    <w:qFormat/>
    <w:rPr>
      <w:b/>
      <w:bCs/>
    </w:rPr>
  </w:style>
  <w:style w:type="character" w:styleId="Emphasis">
    <w:name w:val="Emphasis"/>
    <w:qFormat/>
    <w:rPr>
      <w:i/>
      <w:iCs/>
    </w:rPr>
  </w:style>
  <w:style w:type="character" w:styleId="Pc">
    <w:name w:val="pc"/>
    <w:basedOn w:val="Policepardfaut"/>
    <w:qFormat/>
    <w:rPr/>
  </w:style>
  <w:style w:type="character" w:styleId="Aci">
    <w:name w:val="aci"/>
    <w:basedOn w:val="Policepardfaut"/>
    <w:qFormat/>
    <w:rPr/>
  </w:style>
  <w:style w:type="character" w:styleId="Variable">
    <w:name w:val="variable"/>
    <w:basedOn w:val="Policepardfaut"/>
    <w:qFormat/>
    <w:rPr/>
  </w:style>
  <w:style w:type="character" w:styleId="Insertedtext">
    <w:name w:val="inserted-text"/>
    <w:basedOn w:val="Policepardfaut"/>
    <w:qFormat/>
    <w:rPr/>
  </w:style>
  <w:style w:type="character" w:styleId="Compal">
    <w:name w:val="comp.al"/>
    <w:basedOn w:val="Policepardfaut"/>
    <w:qFormat/>
    <w:rPr/>
  </w:style>
  <w:style w:type="character" w:styleId="C">
    <w:name w:val="c"/>
    <w:basedOn w:val="Policepardfaut"/>
    <w:qFormat/>
    <w:rPr/>
  </w:style>
  <w:style w:type="character" w:styleId="Uibtntext1">
    <w:name w:val="ui-btn-text1"/>
    <w:basedOn w:val="Policepardfaut"/>
    <w:qFormat/>
    <w:rPr/>
  </w:style>
  <w:style w:type="character" w:styleId="Tpar">
    <w:name w:val="tpar"/>
    <w:basedOn w:val="Policepardfaut"/>
    <w:qFormat/>
    <w:rPr/>
  </w:style>
  <w:style w:type="character" w:styleId="Uibtninner95">
    <w:name w:val="ui-btn-inner95"/>
    <w:qFormat/>
    <w:rPr>
      <w:b w:val="false"/>
      <w:bCs w:val="false"/>
      <w:vanish w:val="false"/>
      <w:sz w:val="22"/>
      <w:szCs w:val="22"/>
    </w:rPr>
  </w:style>
  <w:style w:type="character" w:styleId="Mentionnonrsolue">
    <w:name w:val="Mention non résolue"/>
    <w:qFormat/>
    <w:rPr>
      <w:color w:val="808080"/>
      <w:shd w:fill="E6E6E6" w:val="clear"/>
    </w:rPr>
  </w:style>
  <w:style w:type="character" w:styleId="ElApptexteEL">
    <w:name w:val="ElApp_texteEL"/>
    <w:qFormat/>
    <w:rPr>
      <w:color w:val="000000"/>
      <w:sz w:val="17"/>
      <w:szCs w:val="17"/>
    </w:rPr>
  </w:style>
  <w:style w:type="character" w:styleId="ElApptexteDP02">
    <w:name w:val="ElApp_texteDP02"/>
    <w:qFormat/>
    <w:rPr>
      <w:color w:val="ED171F"/>
    </w:rPr>
  </w:style>
  <w:style w:type="character" w:styleId="Marquedecommentaire">
    <w:name w:val="Marque de commentaire"/>
    <w:qFormat/>
    <w:rPr>
      <w:sz w:val="16"/>
      <w:szCs w:val="16"/>
    </w:rPr>
  </w:style>
  <w:style w:type="character" w:styleId="CommentaireCar">
    <w:name w:val="Commentaire Car"/>
    <w:qFormat/>
    <w:rPr>
      <w:rFonts w:ascii="Arial" w:hAnsi="Arial" w:eastAsia="Times New Roman" w:cs="Arial"/>
    </w:rPr>
  </w:style>
  <w:style w:type="character" w:styleId="ObjetducommentaireCar">
    <w:name w:val="Objet du commentaire Car"/>
    <w:qFormat/>
    <w:rPr>
      <w:rFonts w:ascii="Arial" w:hAnsi="Arial" w:eastAsia="Times New Roman" w:cs="Arial"/>
      <w:b/>
      <w:bCs/>
    </w:rPr>
  </w:style>
  <w:style w:type="character" w:styleId="IndexLink">
    <w:name w:val="Index Link"/>
    <w:qFormat/>
    <w:rPr/>
  </w:style>
  <w:style w:type="paragraph" w:styleId="Heading">
    <w:name w:val="Heading"/>
    <w:basedOn w:val="Normal"/>
    <w:next w:val="TextBody"/>
    <w:qFormat/>
    <w:pPr>
      <w:jc w:val="center"/>
    </w:pPr>
    <w:rPr>
      <w:b/>
      <w:sz w:val="28"/>
      <w:lang w:val="en-GB"/>
    </w:rPr>
  </w:style>
  <w:style w:type="paragraph" w:styleId="TextBody">
    <w:name w:val="Body Text"/>
    <w:basedOn w:val="Normal"/>
    <w:pPr>
      <w:autoSpaceDE w:val="false"/>
      <w:spacing w:before="100" w:after="100"/>
      <w:jc w:val="both"/>
    </w:pPr>
    <w:rPr>
      <w:sz w:val="24"/>
      <w:lang w:val="en-GB"/>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rPr>
      <w:lang w:val="en-GB"/>
    </w:rPr>
  </w:style>
  <w:style w:type="paragraph" w:styleId="Contents1">
    <w:name w:val="TOC 1"/>
    <w:basedOn w:val="Normal"/>
    <w:next w:val="Normal"/>
    <w:pPr>
      <w:tabs>
        <w:tab w:val="right" w:pos="9062" w:leader="dot"/>
      </w:tabs>
    </w:pPr>
    <w:rPr>
      <w:rFonts w:ascii="Calibri" w:hAnsi="Calibri" w:cs="Calibri"/>
      <w:szCs w:val="22"/>
      <w:lang w:val="en-GB" w:eastAsia="en-GB"/>
    </w:rPr>
  </w:style>
  <w:style w:type="paragraph" w:styleId="Contents2">
    <w:name w:val="TOC 2"/>
    <w:basedOn w:val="Normal"/>
    <w:next w:val="Normal"/>
    <w:pPr>
      <w:tabs>
        <w:tab w:val="right" w:pos="9062" w:leader="dot"/>
      </w:tabs>
      <w:ind w:left="198" w:hanging="0"/>
    </w:pPr>
    <w:rPr>
      <w:rFonts w:ascii="Calibri" w:hAnsi="Calibri" w:eastAsia="Arial" w:cs="Calibri"/>
      <w:b/>
      <w:bCs/>
      <w:szCs w:val="22"/>
      <w:lang w:val="en-GB" w:eastAsia="en-GB"/>
    </w:rPr>
  </w:style>
  <w:style w:type="paragraph" w:styleId="Contents3">
    <w:name w:val="TOC 3"/>
    <w:basedOn w:val="Normal"/>
    <w:next w:val="Normal"/>
    <w:pPr>
      <w:spacing w:before="0" w:after="100"/>
      <w:ind w:left="400" w:hanging="0"/>
    </w:pPr>
    <w:rPr/>
  </w:style>
  <w:style w:type="paragraph" w:styleId="Contents4">
    <w:name w:val="TOC 4"/>
    <w:basedOn w:val="Normal"/>
    <w:next w:val="Normal"/>
    <w:pPr>
      <w:spacing w:before="0" w:after="100"/>
      <w:ind w:left="600" w:hanging="0"/>
    </w:pPr>
    <w:rPr/>
  </w:style>
  <w:style w:type="paragraph" w:styleId="Contents5">
    <w:name w:val="TOC 5"/>
    <w:basedOn w:val="Normal"/>
    <w:next w:val="Normal"/>
    <w:pPr>
      <w:spacing w:before="0" w:after="100"/>
      <w:ind w:left="800" w:hanging="0"/>
    </w:pPr>
    <w:rPr/>
  </w:style>
  <w:style w:type="paragraph" w:styleId="Contents6">
    <w:name w:val="TOC 6"/>
    <w:basedOn w:val="Normal"/>
    <w:next w:val="Normal"/>
    <w:pPr>
      <w:spacing w:before="0" w:after="100"/>
      <w:ind w:left="1000" w:hanging="0"/>
    </w:pPr>
    <w:rPr/>
  </w:style>
  <w:style w:type="paragraph" w:styleId="Header">
    <w:name w:val="Header"/>
    <w:basedOn w:val="Normal"/>
    <w:pPr/>
    <w:rPr>
      <w:lang w:val="en-GB"/>
    </w:rPr>
  </w:style>
  <w:style w:type="paragraph" w:styleId="Paragraphedeliste">
    <w:name w:val="Paragraphe de liste"/>
    <w:basedOn w:val="Normal"/>
    <w:qFormat/>
    <w:pPr>
      <w:spacing w:lineRule="auto" w:line="276" w:before="0" w:after="200"/>
      <w:ind w:left="720" w:hanging="0"/>
      <w:contextualSpacing/>
    </w:pPr>
    <w:rPr>
      <w:rFonts w:ascii="Calibri" w:hAnsi="Calibri" w:eastAsia="Calibri" w:cs="Times New Roman"/>
      <w:sz w:val="22"/>
      <w:szCs w:val="22"/>
    </w:rPr>
  </w:style>
  <w:style w:type="paragraph" w:styleId="Retraitcorpsdetexte2">
    <w:name w:val="Retrait corps de texte 2"/>
    <w:basedOn w:val="Normal"/>
    <w:qFormat/>
    <w:pPr>
      <w:spacing w:lineRule="auto" w:line="480" w:before="0" w:after="120"/>
      <w:ind w:left="283" w:hanging="0"/>
    </w:pPr>
    <w:rPr>
      <w:lang w:val="en-GB"/>
    </w:rPr>
  </w:style>
  <w:style w:type="paragraph" w:styleId="Enttedetabledesmatires">
    <w:name w:val="En-tête de table des matières"/>
    <w:basedOn w:val="Heading1"/>
    <w:next w:val="Normal"/>
    <w:qFormat/>
    <w:pPr>
      <w:keepLines/>
      <w:numPr>
        <w:ilvl w:val="0"/>
        <w:numId w:val="0"/>
      </w:numPr>
      <w:spacing w:lineRule="auto" w:line="276" w:before="480" w:after="0"/>
      <w:jc w:val="left"/>
    </w:pPr>
    <w:rPr>
      <w:rFonts w:ascii="Cambria" w:hAnsi="Cambria" w:eastAsia="Times New Roman" w:cs="Times New Roman"/>
      <w:bCs/>
      <w:color w:val="365F91"/>
      <w:sz w:val="28"/>
      <w:szCs w:val="28"/>
      <w:u w:val="none"/>
      <w:lang w:val="fr-FR"/>
    </w:rPr>
  </w:style>
  <w:style w:type="paragraph" w:styleId="NormalWeb">
    <w:name w:val="Normal (Web)"/>
    <w:basedOn w:val="Normal"/>
    <w:qFormat/>
    <w:pPr>
      <w:spacing w:before="280" w:after="280"/>
    </w:pPr>
    <w:rPr>
      <w:sz w:val="24"/>
      <w:szCs w:val="24"/>
    </w:rPr>
  </w:style>
  <w:style w:type="paragraph" w:styleId="Contents7">
    <w:name w:val="TOC 7"/>
    <w:basedOn w:val="Normal"/>
    <w:next w:val="Normal"/>
    <w:pPr>
      <w:ind w:left="1200" w:hanging="0"/>
    </w:pPr>
    <w:rPr/>
  </w:style>
  <w:style w:type="paragraph" w:styleId="Textedebulles">
    <w:name w:val="Texte de bulles"/>
    <w:basedOn w:val="Normal"/>
    <w:qFormat/>
    <w:pPr/>
    <w:rPr>
      <w:rFonts w:ascii="Tahoma" w:hAnsi="Tahoma" w:cs="Tahoma"/>
      <w:sz w:val="16"/>
      <w:szCs w:val="16"/>
      <w:lang w:val="en-GB"/>
    </w:rPr>
  </w:style>
  <w:style w:type="paragraph" w:styleId="Retraitcorpsdetexte3">
    <w:name w:val="Retrait corps de texte 3"/>
    <w:basedOn w:val="Normal"/>
    <w:qFormat/>
    <w:pPr>
      <w:spacing w:before="0" w:after="120"/>
      <w:ind w:left="283" w:hanging="0"/>
    </w:pPr>
    <w:rPr>
      <w:sz w:val="16"/>
      <w:szCs w:val="16"/>
      <w:lang w:val="en-GB"/>
    </w:rPr>
  </w:style>
  <w:style w:type="paragraph" w:styleId="Normalcentr">
    <w:name w:val="Normal centré"/>
    <w:basedOn w:val="Normal"/>
    <w:qFormat/>
    <w:pPr>
      <w:ind w:left="1134" w:right="1134" w:hanging="0"/>
      <w:jc w:val="both"/>
    </w:pPr>
    <w:rPr>
      <w:i/>
    </w:rPr>
  </w:style>
  <w:style w:type="paragraph" w:styleId="D2">
    <w:name w:val="d2"/>
    <w:basedOn w:val="Normal"/>
    <w:qFormat/>
    <w:pPr>
      <w:spacing w:before="280" w:after="280"/>
    </w:pPr>
    <w:rPr>
      <w:sz w:val="24"/>
      <w:szCs w:val="24"/>
      <w:lang w:val="es-ES"/>
    </w:rPr>
  </w:style>
  <w:style w:type="paragraph" w:styleId="D3">
    <w:name w:val="d3"/>
    <w:basedOn w:val="Normal"/>
    <w:qFormat/>
    <w:pPr>
      <w:spacing w:before="280" w:after="280"/>
    </w:pPr>
    <w:rPr>
      <w:sz w:val="24"/>
      <w:szCs w:val="24"/>
      <w:lang w:val="es-ES"/>
    </w:rPr>
  </w:style>
  <w:style w:type="paragraph" w:styleId="D22">
    <w:name w:val="d22"/>
    <w:basedOn w:val="Normal"/>
    <w:qFormat/>
    <w:pPr>
      <w:spacing w:before="120" w:after="120"/>
      <w:ind w:left="120" w:right="120" w:hanging="0"/>
    </w:pPr>
    <w:rPr>
      <w:b/>
      <w:bCs/>
      <w:sz w:val="24"/>
      <w:szCs w:val="24"/>
    </w:rPr>
  </w:style>
  <w:style w:type="paragraph" w:styleId="D32">
    <w:name w:val="d32"/>
    <w:basedOn w:val="Normal"/>
    <w:qFormat/>
    <w:pPr>
      <w:spacing w:before="120" w:after="120"/>
      <w:ind w:left="120" w:right="120" w:hanging="0"/>
    </w:pPr>
    <w:rPr>
      <w:b/>
      <w:bCs/>
      <w:sz w:val="24"/>
      <w:szCs w:val="24"/>
    </w:rPr>
  </w:style>
  <w:style w:type="paragraph" w:styleId="Pou">
    <w:name w:val="pou"/>
    <w:basedOn w:val="Normal"/>
    <w:qFormat/>
    <w:pPr>
      <w:spacing w:before="120" w:after="120"/>
      <w:ind w:left="120" w:right="120" w:hanging="0"/>
      <w:jc w:val="both"/>
    </w:pPr>
    <w:rPr>
      <w:sz w:val="24"/>
      <w:szCs w:val="24"/>
    </w:rPr>
  </w:style>
  <w:style w:type="paragraph" w:styleId="Insertedtext1">
    <w:name w:val="inserted-text1"/>
    <w:basedOn w:val="Normal"/>
    <w:qFormat/>
    <w:pPr>
      <w:spacing w:before="120" w:after="120"/>
      <w:ind w:left="120" w:right="120" w:hanging="0"/>
      <w:jc w:val="both"/>
    </w:pPr>
    <w:rPr>
      <w:sz w:val="24"/>
      <w:szCs w:val="24"/>
    </w:rPr>
  </w:style>
  <w:style w:type="paragraph" w:styleId="D12">
    <w:name w:val="d12"/>
    <w:basedOn w:val="Normal"/>
    <w:qFormat/>
    <w:pPr>
      <w:spacing w:before="340" w:after="120"/>
      <w:ind w:left="120" w:right="120" w:hanging="0"/>
    </w:pPr>
    <w:rPr>
      <w:b/>
      <w:bCs/>
      <w:sz w:val="29"/>
      <w:szCs w:val="29"/>
    </w:rPr>
  </w:style>
  <w:style w:type="paragraph" w:styleId="Contents8">
    <w:name w:val="TOC 8"/>
    <w:basedOn w:val="Normal"/>
    <w:next w:val="Normal"/>
    <w:pPr>
      <w:spacing w:lineRule="auto" w:line="256" w:before="0" w:after="100"/>
      <w:ind w:left="1540" w:hanging="0"/>
    </w:pPr>
    <w:rPr>
      <w:rFonts w:ascii="Calibri" w:hAnsi="Calibri" w:eastAsia="Times New Roman" w:cs="Times New Roman"/>
      <w:sz w:val="22"/>
      <w:szCs w:val="22"/>
    </w:rPr>
  </w:style>
  <w:style w:type="paragraph" w:styleId="Contents9">
    <w:name w:val="TOC 9"/>
    <w:basedOn w:val="Normal"/>
    <w:next w:val="Normal"/>
    <w:pPr>
      <w:spacing w:lineRule="auto" w:line="256" w:before="0" w:after="100"/>
      <w:ind w:left="1760" w:hanging="0"/>
    </w:pPr>
    <w:rPr>
      <w:rFonts w:ascii="Calibri" w:hAnsi="Calibri" w:eastAsia="Times New Roman" w:cs="Times New Roman"/>
      <w:sz w:val="22"/>
      <w:szCs w:val="22"/>
    </w:rPr>
  </w:style>
  <w:style w:type="paragraph" w:styleId="Sansinterligne">
    <w:name w:val="Sans interligne"/>
    <w:qFormat/>
    <w:pPr>
      <w:widowControl/>
    </w:pPr>
    <w:rPr>
      <w:rFonts w:ascii="Arial" w:hAnsi="Arial" w:eastAsia="Times New Roman" w:cs="Arial"/>
      <w:color w:val="auto"/>
      <w:sz w:val="22"/>
      <w:szCs w:val="20"/>
      <w:lang w:val="fr-FR" w:bidi="ar-SA" w:eastAsia="zh-CN"/>
    </w:rPr>
  </w:style>
  <w:style w:type="paragraph" w:styleId="ElAppp">
    <w:name w:val="ElApp_p"/>
    <w:basedOn w:val="Normal"/>
    <w:qFormat/>
    <w:pPr/>
    <w:rPr>
      <w:rFonts w:eastAsia="Arial" w:cs="Arial"/>
      <w:sz w:val="17"/>
      <w:szCs w:val="17"/>
    </w:rPr>
  </w:style>
  <w:style w:type="paragraph" w:styleId="ElAppchoix">
    <w:name w:val="ElApp_choix"/>
    <w:basedOn w:val="Normal"/>
    <w:qFormat/>
    <w:pPr/>
    <w:rPr>
      <w:rFonts w:ascii="Times New Roman" w:hAnsi="Times New Roman" w:cs="Times New Roman"/>
      <w:sz w:val="24"/>
      <w:szCs w:val="24"/>
    </w:rPr>
  </w:style>
  <w:style w:type="paragraph" w:styleId="Commentaire">
    <w:name w:val="Commentaire"/>
    <w:basedOn w:val="Normal"/>
    <w:qFormat/>
    <w:pPr/>
    <w:rPr>
      <w:sz w:val="20"/>
    </w:rPr>
  </w:style>
  <w:style w:type="paragraph" w:styleId="Objetducommentaire">
    <w:name w:val="Objet du commentaire"/>
    <w:basedOn w:val="Commentaire"/>
    <w:next w:val="Commentaire"/>
    <w:qFormat/>
    <w:pPr/>
    <w:rPr>
      <w:b/>
      <w:bCs/>
    </w:rPr>
  </w:style>
  <w:style w:type="paragraph" w:styleId="Rvision">
    <w:name w:val="Révision"/>
    <w:qFormat/>
    <w:pPr>
      <w:widowControl/>
    </w:pPr>
    <w:rPr>
      <w:rFonts w:ascii="Arial" w:hAnsi="Arial" w:eastAsia="Times New Roman" w:cs="Arial"/>
      <w:color w:val="auto"/>
      <w:sz w:val="22"/>
      <w:szCs w:val="20"/>
      <w:lang w:val="fr-F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2021-12-20T22:06:00Z</dcterms:created>
  <dc:creator/>
  <dc:description/>
  <dc:language>en-GB</dc:language>
  <cp:lastModifiedBy/>
  <cp:lastPrinted>2021-12-20T22:29:00Z</cp:lastPrinted>
  <dcterms:modified xsi:type="dcterms:W3CDTF">2021-12-31T09:41:00Z</dcterms:modified>
  <cp:revision>8</cp:revision>
  <dc:subject/>
  <dc:title/>
</cp:coreProperties>
</file>