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er4.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media/image3.png" ContentType="image/png"/>
  <Override PartName="/word/media/image2.png" ContentType="image/png"/>
  <Override PartName="/word/media/image1.png" ContentType="image/png"/>
  <Override PartName="/word/header4.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pBdr>
          <w:top w:val="single" w:sz="4" w:space="1" w:color="000000"/>
          <w:bottom w:val="single" w:sz="4" w:space="1" w:color="000000"/>
        </w:pBdr>
        <w:jc w:val="center"/>
        <w:rPr>
          <w:rFonts w:ascii="Book Antiqua" w:hAnsi="Book Antiqua" w:cs="Book Antiqua"/>
          <w:b/>
          <w:b/>
          <w:sz w:val="28"/>
          <w:szCs w:val="28"/>
        </w:rPr>
      </w:pPr>
      <w:r>
        <w:rPr>
          <w:rFonts w:cs="Book Antiqua" w:ascii="Book Antiqua" w:hAnsi="Book Antiqua"/>
          <w:b/>
          <w:sz w:val="28"/>
          <w:szCs w:val="28"/>
        </w:rPr>
        <w:t xml:space="preserve">ACCORD D’ENTREPRISE SUR </w:t>
        <w:br/>
        <w:t>LA DUREE DU TRAVAIL</w:t>
      </w:r>
    </w:p>
    <w:p>
      <w:pPr>
        <w:pStyle w:val="Normal"/>
        <w:pBdr>
          <w:top w:val="single" w:sz="4" w:space="1" w:color="000000"/>
          <w:bottom w:val="single" w:sz="4" w:space="1" w:color="000000"/>
        </w:pBdr>
        <w:jc w:val="center"/>
        <w:rPr>
          <w:rFonts w:ascii="Book Antiqua" w:hAnsi="Book Antiqua" w:cs="Book Antiqua"/>
          <w:b/>
          <w:b/>
          <w:sz w:val="28"/>
          <w:szCs w:val="28"/>
        </w:rPr>
      </w:pPr>
      <w:r>
        <w:rPr>
          <w:rFonts w:cs="Book Antiqua" w:ascii="Book Antiqua" w:hAnsi="Book Antiqua"/>
          <w:b/>
          <w:sz w:val="28"/>
          <w:szCs w:val="28"/>
        </w:rPr>
        <w:t>Etablissement de BLENDECQUES</w:t>
      </w:r>
    </w:p>
    <w:p>
      <w:pPr>
        <w:pStyle w:val="Normal"/>
        <w:jc w:val="both"/>
        <w:rPr>
          <w:rFonts w:ascii="Book Antiqua" w:hAnsi="Book Antiqua" w:cs="Book Antiqua"/>
          <w:b/>
          <w:b/>
          <w:sz w:val="28"/>
          <w:szCs w:val="28"/>
        </w:rPr>
      </w:pPr>
      <w:r>
        <w:rPr>
          <w:rFonts w:cs="Book Antiqua" w:ascii="Book Antiqua" w:hAnsi="Book Antiqua"/>
          <w:b/>
          <w:sz w:val="28"/>
          <w:szCs w:val="28"/>
        </w:rPr>
      </w:r>
    </w:p>
    <w:p>
      <w:pPr>
        <w:pStyle w:val="Normal"/>
        <w:jc w:val="both"/>
        <w:rPr>
          <w:rFonts w:ascii="Book Antiqua" w:hAnsi="Book Antiqua" w:cs="Book Antiqua"/>
          <w:b/>
          <w:b/>
          <w:sz w:val="22"/>
          <w:szCs w:val="22"/>
          <w:u w:val="single"/>
        </w:rPr>
      </w:pPr>
      <w:r>
        <w:rPr>
          <w:rFonts w:cs="Book Antiqua" w:ascii="Book Antiqua" w:hAnsi="Book Antiqua"/>
          <w:b/>
          <w:sz w:val="22"/>
          <w:szCs w:val="22"/>
          <w:u w:val="single"/>
        </w:rPr>
      </w:r>
    </w:p>
    <w:p>
      <w:pPr>
        <w:pStyle w:val="Normal"/>
        <w:jc w:val="both"/>
        <w:rPr>
          <w:rFonts w:ascii="Book Antiqua" w:hAnsi="Book Antiqua" w:cs="Book Antiqua"/>
          <w:b/>
          <w:b/>
          <w:sz w:val="24"/>
          <w:szCs w:val="24"/>
        </w:rPr>
      </w:pPr>
      <w:r>
        <w:rPr>
          <w:rFonts w:cs="Book Antiqua" w:ascii="Book Antiqua" w:hAnsi="Book Antiqua"/>
          <w:b/>
          <w:sz w:val="22"/>
          <w:szCs w:val="22"/>
        </w:rPr>
        <w:t>ENTRE :</w:t>
      </w:r>
    </w:p>
    <w:p>
      <w:pPr>
        <w:pStyle w:val="Normal"/>
        <w:jc w:val="both"/>
        <w:rPr>
          <w:rFonts w:ascii="Book Antiqua" w:hAnsi="Book Antiqua" w:cs="Book Antiqua"/>
          <w:b/>
          <w:b/>
          <w:sz w:val="24"/>
          <w:szCs w:val="24"/>
        </w:rPr>
      </w:pPr>
      <w:r>
        <w:rPr>
          <w:rFonts w:cs="Book Antiqua" w:ascii="Book Antiqua" w:hAnsi="Book Antiqua"/>
          <w:b/>
          <w:sz w:val="24"/>
          <w:szCs w:val="24"/>
        </w:rPr>
      </w:r>
    </w:p>
    <w:p>
      <w:pPr>
        <w:pStyle w:val="Normal"/>
        <w:ind w:left="1134" w:hanging="0"/>
        <w:jc w:val="both"/>
        <w:rPr>
          <w:rFonts w:ascii="Book Antiqua" w:hAnsi="Book Antiqua" w:cs="Book Antiqua"/>
          <w:sz w:val="22"/>
          <w:szCs w:val="24"/>
        </w:rPr>
      </w:pPr>
      <w:r>
        <w:rPr>
          <w:rFonts w:cs="Book Antiqua" w:ascii="Book Antiqua" w:hAnsi="Book Antiqua"/>
          <w:b/>
          <w:sz w:val="22"/>
          <w:szCs w:val="24"/>
        </w:rPr>
        <w:t>- La Société IMERYS MINERAUX FRANCE,</w:t>
      </w:r>
    </w:p>
    <w:p>
      <w:pPr>
        <w:pStyle w:val="Normal"/>
        <w:ind w:left="1134" w:hanging="0"/>
        <w:jc w:val="both"/>
        <w:rPr>
          <w:rFonts w:ascii="Book Antiqua" w:hAnsi="Book Antiqua" w:cs="Book Antiqua"/>
          <w:sz w:val="22"/>
          <w:szCs w:val="24"/>
          <w:lang w:val="fr-BE"/>
        </w:rPr>
      </w:pPr>
      <w:r>
        <w:rPr>
          <w:rFonts w:cs="Book Antiqua" w:ascii="Book Antiqua" w:hAnsi="Book Antiqua"/>
          <w:sz w:val="22"/>
          <w:szCs w:val="24"/>
        </w:rPr>
        <w:t xml:space="preserve">Dont le siège social est situé </w:t>
      </w:r>
      <w:r>
        <w:rPr>
          <w:rFonts w:cs="Book Antiqua" w:ascii="Book Antiqua" w:hAnsi="Book Antiqua"/>
          <w:sz w:val="22"/>
          <w:szCs w:val="24"/>
          <w:lang w:val="fr-BE"/>
        </w:rPr>
        <w:t xml:space="preserve">Chemin du Halage, </w:t>
      </w:r>
    </w:p>
    <w:p>
      <w:pPr>
        <w:pStyle w:val="Normal"/>
        <w:ind w:left="1134" w:hanging="0"/>
        <w:jc w:val="both"/>
        <w:rPr>
          <w:rFonts w:ascii="Book Antiqua" w:hAnsi="Book Antiqua" w:cs="Book Antiqua"/>
          <w:sz w:val="22"/>
          <w:szCs w:val="24"/>
        </w:rPr>
      </w:pPr>
      <w:r>
        <w:rPr>
          <w:rFonts w:cs="Book Antiqua" w:ascii="Book Antiqua" w:hAnsi="Book Antiqua"/>
          <w:sz w:val="22"/>
          <w:szCs w:val="24"/>
          <w:lang w:val="fr-BE"/>
        </w:rPr>
        <w:t>60340 VILLERS-SOUS-SAINT-LEU</w:t>
      </w:r>
      <w:r>
        <w:rPr>
          <w:rFonts w:cs="Book Antiqua" w:ascii="Book Antiqua" w:hAnsi="Book Antiqua"/>
          <w:sz w:val="22"/>
          <w:szCs w:val="24"/>
        </w:rPr>
        <w:t xml:space="preserve">, </w:t>
      </w:r>
    </w:p>
    <w:p>
      <w:pPr>
        <w:pStyle w:val="Normal"/>
        <w:ind w:left="1134" w:hanging="0"/>
        <w:jc w:val="both"/>
        <w:rPr>
          <w:rFonts w:ascii="Book Antiqua" w:hAnsi="Book Antiqua" w:cs="Book Antiqua"/>
          <w:sz w:val="22"/>
          <w:szCs w:val="24"/>
        </w:rPr>
      </w:pPr>
      <w:r>
        <w:rPr>
          <w:rFonts w:cs="Book Antiqua" w:ascii="Book Antiqua" w:hAnsi="Book Antiqua"/>
          <w:sz w:val="22"/>
          <w:szCs w:val="24"/>
        </w:rPr>
        <w:t xml:space="preserve">Prise en la personne de son représentant, </w:t>
      </w:r>
      <w:r>
        <w:rPr>
          <w:rFonts w:cs="Book Antiqua" w:ascii="Book Antiqua" w:hAnsi="Book Antiqua"/>
          <w:sz w:val="22"/>
          <w:szCs w:val="24"/>
          <w:lang w:val="fr-BE"/>
        </w:rPr>
        <w:t xml:space="preserve">                                    ,</w:t>
      </w:r>
    </w:p>
    <w:p>
      <w:pPr>
        <w:pStyle w:val="Normal"/>
        <w:ind w:left="1134" w:hanging="0"/>
        <w:jc w:val="both"/>
        <w:rPr>
          <w:rFonts w:ascii="Book Antiqua" w:hAnsi="Book Antiqua" w:cs="Book Antiqua"/>
          <w:sz w:val="22"/>
          <w:szCs w:val="24"/>
        </w:rPr>
      </w:pPr>
      <w:r>
        <w:rPr>
          <w:rFonts w:cs="Book Antiqua" w:ascii="Book Antiqua" w:hAnsi="Book Antiqua"/>
          <w:sz w:val="22"/>
          <w:szCs w:val="24"/>
        </w:rPr>
        <w:t>Agissant en qualité de Responsable des Ressources Humaines,</w:t>
      </w:r>
    </w:p>
    <w:p>
      <w:pPr>
        <w:pStyle w:val="Normal"/>
        <w:rPr>
          <w:rFonts w:ascii="Book Antiqua" w:hAnsi="Book Antiqua" w:cs="Book Antiqua"/>
          <w:b/>
          <w:b/>
          <w:sz w:val="22"/>
          <w:szCs w:val="22"/>
          <w:u w:val="single"/>
        </w:rPr>
      </w:pPr>
      <w:r>
        <w:rPr>
          <w:rFonts w:cs="Book Antiqua" w:ascii="Book Antiqua" w:hAnsi="Book Antiqua"/>
          <w:b/>
          <w:sz w:val="22"/>
          <w:szCs w:val="22"/>
          <w:u w:val="single"/>
        </w:rPr>
      </w:r>
    </w:p>
    <w:p>
      <w:pPr>
        <w:pStyle w:val="Normal"/>
        <w:ind w:firstLine="7371"/>
        <w:rPr>
          <w:rFonts w:ascii="Book Antiqua" w:hAnsi="Book Antiqua" w:cs="Book Antiqua"/>
          <w:b/>
          <w:b/>
          <w:sz w:val="22"/>
          <w:szCs w:val="22"/>
          <w:u w:val="single"/>
        </w:rPr>
      </w:pPr>
      <w:r>
        <w:rPr>
          <w:rFonts w:cs="Book Antiqua" w:ascii="Book Antiqua" w:hAnsi="Book Antiqua"/>
          <w:b/>
          <w:sz w:val="22"/>
          <w:szCs w:val="22"/>
        </w:rPr>
        <w:t>D'une Part,</w:t>
      </w:r>
    </w:p>
    <w:p>
      <w:pPr>
        <w:pStyle w:val="Normal"/>
        <w:jc w:val="right"/>
        <w:rPr>
          <w:rFonts w:ascii="Book Antiqua" w:hAnsi="Book Antiqua" w:cs="Book Antiqua"/>
          <w:b/>
          <w:b/>
          <w:sz w:val="22"/>
          <w:szCs w:val="22"/>
          <w:u w:val="single"/>
        </w:rPr>
      </w:pPr>
      <w:r>
        <w:rPr>
          <w:rFonts w:cs="Book Antiqua" w:ascii="Book Antiqua" w:hAnsi="Book Antiqua"/>
          <w:b/>
          <w:sz w:val="22"/>
          <w:szCs w:val="22"/>
          <w:u w:val="single"/>
        </w:rPr>
      </w:r>
    </w:p>
    <w:p>
      <w:pPr>
        <w:pStyle w:val="Normal"/>
        <w:jc w:val="both"/>
        <w:rPr>
          <w:rFonts w:ascii="Book Antiqua" w:hAnsi="Book Antiqua" w:cs="Book Antiqua"/>
          <w:b/>
          <w:b/>
          <w:sz w:val="22"/>
          <w:szCs w:val="22"/>
          <w:u w:val="single"/>
        </w:rPr>
      </w:pPr>
      <w:r>
        <w:rPr>
          <w:rFonts w:cs="Book Antiqua" w:ascii="Book Antiqua" w:hAnsi="Book Antiqua"/>
          <w:b/>
          <w:sz w:val="22"/>
          <w:szCs w:val="22"/>
          <w:u w:val="single"/>
        </w:rPr>
      </w:r>
    </w:p>
    <w:p>
      <w:pPr>
        <w:pStyle w:val="Normal"/>
        <w:jc w:val="both"/>
        <w:rPr>
          <w:rFonts w:ascii="Book Antiqua" w:hAnsi="Book Antiqua" w:cs="Book Antiqua"/>
          <w:b/>
          <w:b/>
          <w:sz w:val="22"/>
          <w:szCs w:val="22"/>
        </w:rPr>
      </w:pPr>
      <w:r>
        <w:rPr>
          <w:rFonts w:cs="Book Antiqua" w:ascii="Book Antiqua" w:hAnsi="Book Antiqua"/>
          <w:b/>
          <w:sz w:val="22"/>
          <w:szCs w:val="22"/>
        </w:rPr>
        <w:t>ET :</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ind w:firstLine="1134"/>
        <w:jc w:val="both"/>
        <w:rPr>
          <w:rFonts w:ascii="Book Antiqua" w:hAnsi="Book Antiqua" w:cs="Book Antiqua"/>
          <w:sz w:val="22"/>
          <w:szCs w:val="24"/>
        </w:rPr>
      </w:pPr>
      <w:r>
        <w:rPr>
          <w:rFonts w:cs="Book Antiqua" w:ascii="Book Antiqua" w:hAnsi="Book Antiqua"/>
          <w:b/>
          <w:sz w:val="22"/>
          <w:szCs w:val="24"/>
        </w:rPr>
        <w:t>- Le Syndicat FO,</w:t>
      </w:r>
    </w:p>
    <w:p>
      <w:pPr>
        <w:pStyle w:val="Normal"/>
        <w:ind w:left="709" w:firstLine="425"/>
        <w:jc w:val="both"/>
        <w:rPr>
          <w:rFonts w:ascii="Book Antiqua" w:hAnsi="Book Antiqua" w:cs="Book Antiqua"/>
          <w:sz w:val="22"/>
          <w:szCs w:val="24"/>
        </w:rPr>
      </w:pPr>
      <w:r>
        <w:rPr>
          <w:rFonts w:cs="Book Antiqua" w:ascii="Book Antiqua" w:hAnsi="Book Antiqua"/>
          <w:sz w:val="22"/>
          <w:szCs w:val="24"/>
        </w:rPr>
        <w:t>Représenté par                                           , Délégué Syndical,</w:t>
      </w:r>
    </w:p>
    <w:p>
      <w:pPr>
        <w:pStyle w:val="Normal"/>
        <w:ind w:left="709" w:firstLine="425"/>
        <w:jc w:val="both"/>
        <w:rPr>
          <w:rFonts w:ascii="Book Antiqua" w:hAnsi="Book Antiqua" w:cs="Book Antiqua"/>
          <w:sz w:val="22"/>
          <w:szCs w:val="24"/>
        </w:rPr>
      </w:pPr>
      <w:r>
        <w:rPr>
          <w:rFonts w:cs="Book Antiqua" w:ascii="Book Antiqua" w:hAnsi="Book Antiqua"/>
          <w:sz w:val="22"/>
          <w:szCs w:val="24"/>
        </w:rPr>
      </w:r>
    </w:p>
    <w:p>
      <w:pPr>
        <w:pStyle w:val="Normal"/>
        <w:ind w:left="1134" w:hanging="0"/>
        <w:jc w:val="both"/>
        <w:rPr>
          <w:rFonts w:ascii="Book Antiqua" w:hAnsi="Book Antiqua" w:cs="Book Antiqua"/>
          <w:sz w:val="22"/>
          <w:szCs w:val="24"/>
        </w:rPr>
      </w:pPr>
      <w:r>
        <w:rPr>
          <w:rFonts w:cs="Book Antiqua" w:ascii="Book Antiqua" w:hAnsi="Book Antiqua"/>
          <w:b/>
          <w:i/>
          <w:sz w:val="22"/>
          <w:szCs w:val="24"/>
        </w:rPr>
        <w:t>Remplissant les conditions légales en matière de représentativité majoritaire pour signer le présent accord,</w:t>
      </w:r>
    </w:p>
    <w:p>
      <w:pPr>
        <w:pStyle w:val="Normal"/>
        <w:ind w:left="1134" w:hanging="0"/>
        <w:jc w:val="both"/>
        <w:rPr>
          <w:rFonts w:ascii="Book Antiqua" w:hAnsi="Book Antiqua" w:cs="Book Antiqua"/>
          <w:sz w:val="22"/>
          <w:szCs w:val="22"/>
        </w:rPr>
      </w:pPr>
      <w:r>
        <w:rPr>
          <w:rFonts w:cs="Book Antiqua" w:ascii="Book Antiqua" w:hAnsi="Book Antiqua"/>
          <w:sz w:val="22"/>
          <w:szCs w:val="22"/>
        </w:rPr>
      </w:r>
    </w:p>
    <w:p>
      <w:pPr>
        <w:pStyle w:val="Normal"/>
        <w:ind w:firstLine="7371"/>
        <w:rPr>
          <w:rFonts w:ascii="Book Antiqua" w:hAnsi="Book Antiqua" w:cs="Book Antiqua"/>
          <w:b/>
          <w:b/>
          <w:sz w:val="22"/>
          <w:szCs w:val="22"/>
        </w:rPr>
      </w:pPr>
      <w:r>
        <w:rPr>
          <w:rFonts w:cs="Book Antiqua" w:ascii="Book Antiqua" w:hAnsi="Book Antiqua"/>
          <w:b/>
          <w:sz w:val="22"/>
          <w:szCs w:val="22"/>
        </w:rPr>
        <w:t>D'autre part,</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b/>
          <w:b/>
          <w:sz w:val="22"/>
          <w:szCs w:val="22"/>
          <w:u w:val="single"/>
        </w:rPr>
      </w:pPr>
      <w:r>
        <w:rPr>
          <w:rFonts w:cs="Book Antiqua" w:ascii="Book Antiqua" w:hAnsi="Book Antiqua"/>
          <w:b/>
          <w:sz w:val="22"/>
          <w:szCs w:val="22"/>
          <w:u w:val="single"/>
        </w:rPr>
        <w:t xml:space="preserve">PREAMBULE </w:t>
      </w:r>
      <w:r>
        <w:rPr>
          <w:rFonts w:cs="Book Antiqua" w:ascii="Book Antiqua" w:hAnsi="Book Antiqua"/>
          <w:b/>
          <w:sz w:val="22"/>
          <w:szCs w:val="22"/>
        </w:rPr>
        <w:t>: </w:t>
      </w:r>
    </w:p>
    <w:p>
      <w:pPr>
        <w:pStyle w:val="Normal"/>
        <w:jc w:val="both"/>
        <w:rPr>
          <w:rFonts w:ascii="Book Antiqua" w:hAnsi="Book Antiqua" w:cs="Book Antiqua"/>
          <w:b/>
          <w:b/>
          <w:sz w:val="22"/>
          <w:szCs w:val="22"/>
          <w:u w:val="single"/>
        </w:rPr>
      </w:pPr>
      <w:r>
        <w:rPr>
          <w:rFonts w:cs="Book Antiqua" w:ascii="Book Antiqua" w:hAnsi="Book Antiqua"/>
          <w:b/>
          <w:sz w:val="22"/>
          <w:szCs w:val="22"/>
          <w:u w:val="single"/>
        </w:rPr>
      </w:r>
    </w:p>
    <w:p>
      <w:pPr>
        <w:pStyle w:val="Normal"/>
        <w:jc w:val="both"/>
        <w:rPr>
          <w:rFonts w:ascii="Book Antiqua" w:hAnsi="Book Antiqua" w:cs="Book Antiqua"/>
          <w:sz w:val="22"/>
          <w:szCs w:val="22"/>
        </w:rPr>
      </w:pPr>
      <w:r>
        <w:rPr>
          <w:rFonts w:cs="Book Antiqua" w:ascii="Book Antiqua" w:hAnsi="Book Antiqua"/>
          <w:sz w:val="22"/>
          <w:szCs w:val="22"/>
        </w:rPr>
        <w:t>La Société IMERYS MINERAUX FRANCE (IMF) intervient dans le domaine de l’industrie des carrières et matériaux.</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Dans ce cadre, elle a conclu un contrat avec un client, la Société Norpaper, afin que certains de ses salariés interviennent directement sur son site. Ces salariés IMF sont regroupés sur un établissement secondaire appelé « Blendecques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Les parties au présent accord font le constat que les spécificités de l’activité de la Société Norpaper nécessitent une organisation différente du temps de travail des salariés affectés à ce client afin de mieux répondre aux contraintes et aux impératifs de cette activité.</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pPr>
      <w:r>
        <w:rPr>
          <w:rFonts w:cs="Book Antiqua" w:ascii="Book Antiqua" w:hAnsi="Book Antiqua"/>
          <w:sz w:val="22"/>
          <w:szCs w:val="22"/>
        </w:rPr>
        <w:t>En effet, les machines fonctionnant en continu, l’activité nécessite, d’une part, un travail le dimanche, et d’autre part, la réalisation d’astreintes afin de faire face aux éventuelles pannes y compris la nuit.</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C’est dans ce contexte que les parties se sont rencontrées et qu’il a été décidé de conclure le présent accord. Un accord fixant les règles de réalisation des astreintes est en cours de discussion.</w:t>
      </w:r>
    </w:p>
    <w:p>
      <w:pPr>
        <w:pStyle w:val="Normal"/>
        <w:jc w:val="both"/>
        <w:rPr>
          <w:rFonts w:ascii="Book Antiqua" w:hAnsi="Book Antiqua" w:cs="Book Antiqua"/>
          <w:sz w:val="22"/>
          <w:szCs w:val="22"/>
        </w:rPr>
      </w:pPr>
      <w:r>
        <w:rPr>
          <w:rFonts w:cs="Book Antiqua" w:ascii="Book Antiqua" w:hAnsi="Book Antiqua"/>
          <w:sz w:val="22"/>
          <w:szCs w:val="22"/>
        </w:rPr>
      </w:r>
      <w:r>
        <w:br w:type="page"/>
      </w:r>
    </w:p>
    <w:p>
      <w:pPr>
        <w:pStyle w:val="Normal"/>
        <w:jc w:val="both"/>
        <w:rPr>
          <w:rFonts w:ascii="Book Antiqua" w:hAnsi="Book Antiqua" w:cs="Book Antiqua"/>
          <w:sz w:val="22"/>
          <w:szCs w:val="22"/>
        </w:rPr>
      </w:pPr>
      <w:r>
        <w:rPr>
          <w:rFonts w:cs="Book Antiqua" w:ascii="Book Antiqua" w:hAnsi="Book Antiqua"/>
          <w:b/>
          <w:sz w:val="22"/>
          <w:szCs w:val="22"/>
        </w:rPr>
        <w:t>CECI ETANT EXPOSE, IL A ETE CONVENU ET ARRETE CE QUI SUIT :</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rFonts w:ascii="Book Antiqua" w:hAnsi="Book Antiqua" w:cs="Book Antiqua"/>
          <w:b/>
          <w:b/>
          <w:sz w:val="22"/>
          <w:szCs w:val="22"/>
        </w:rPr>
      </w:pPr>
      <w:r>
        <w:rPr>
          <w:rFonts w:cs="Book Antiqua" w:ascii="Book Antiqua" w:hAnsi="Book Antiqua"/>
          <w:b/>
          <w:sz w:val="22"/>
          <w:szCs w:val="22"/>
        </w:rPr>
        <w:t>ARTICLE I – OBJET DU PRESENT ACCORD – CHAMP D’APPLICATION</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pPr>
      <w:r>
        <w:rPr>
          <w:rFonts w:cs="Book Antiqua" w:ascii="Book Antiqua" w:hAnsi="Book Antiqua"/>
          <w:sz w:val="22"/>
          <w:szCs w:val="22"/>
        </w:rPr>
        <w:t>Le présent accord a pour objet de définir :</w:t>
      </w:r>
    </w:p>
    <w:p>
      <w:pPr>
        <w:pStyle w:val="Normal"/>
        <w:numPr>
          <w:ilvl w:val="0"/>
          <w:numId w:val="3"/>
        </w:numPr>
        <w:jc w:val="both"/>
        <w:rPr>
          <w:rFonts w:ascii="Book Antiqua" w:hAnsi="Book Antiqua" w:cs="Book Antiqua"/>
          <w:sz w:val="22"/>
          <w:szCs w:val="22"/>
        </w:rPr>
      </w:pPr>
      <w:r>
        <w:rPr>
          <w:rFonts w:cs="Book Antiqua" w:ascii="Book Antiqua" w:hAnsi="Book Antiqua"/>
          <w:sz w:val="22"/>
          <w:szCs w:val="22"/>
        </w:rPr>
        <w:t>Les modalités d’aménagement du temps de travail sur une période supérieure à la semaine ;</w:t>
      </w:r>
    </w:p>
    <w:p>
      <w:pPr>
        <w:pStyle w:val="Normal"/>
        <w:numPr>
          <w:ilvl w:val="0"/>
          <w:numId w:val="3"/>
        </w:numPr>
        <w:jc w:val="both"/>
        <w:rPr>
          <w:rFonts w:ascii="Book Antiqua" w:hAnsi="Book Antiqua" w:cs="Book Antiqua"/>
          <w:sz w:val="22"/>
          <w:szCs w:val="22"/>
        </w:rPr>
      </w:pPr>
      <w:r>
        <w:rPr>
          <w:rFonts w:cs="Book Antiqua" w:ascii="Book Antiqua" w:hAnsi="Book Antiqua"/>
          <w:sz w:val="22"/>
          <w:szCs w:val="22"/>
        </w:rPr>
        <w:t>Le recours au travail du dimanche, des jours fériés et de nuit ;</w:t>
      </w:r>
    </w:p>
    <w:p>
      <w:pPr>
        <w:pStyle w:val="Normal"/>
        <w:numPr>
          <w:ilvl w:val="0"/>
          <w:numId w:val="3"/>
        </w:numPr>
        <w:jc w:val="both"/>
        <w:rPr>
          <w:rFonts w:ascii="Book Antiqua" w:hAnsi="Book Antiqua" w:cs="Book Antiqua"/>
          <w:sz w:val="22"/>
          <w:szCs w:val="22"/>
        </w:rPr>
      </w:pPr>
      <w:r>
        <w:rPr>
          <w:rFonts w:cs="Book Antiqua" w:ascii="Book Antiqua" w:hAnsi="Book Antiqua"/>
          <w:sz w:val="22"/>
          <w:szCs w:val="22"/>
        </w:rPr>
        <w:t>Les conditions de déplacement entre les sites de Nantes et Blendecques</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L’accord s’appliquera aux salariés de la Société IMF, affectés à l’établissement de Blendecques.</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b/>
          <w:sz w:val="22"/>
          <w:szCs w:val="22"/>
        </w:rPr>
        <w:t>ARTICLE II – AMENAGEMENT DU TEMPS DE TRAVAIL SUR UNE PERIODE SUPERIEURE A LA SEMAINE</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L’article L. 3121-44 du Code travail dispose : « </w:t>
      </w:r>
      <w:r>
        <w:rPr>
          <w:rFonts w:cs="Book Antiqua" w:ascii="Book Antiqua" w:hAnsi="Book Antiqua"/>
          <w:i/>
          <w:sz w:val="22"/>
          <w:szCs w:val="22"/>
        </w:rPr>
        <w:t>en application de l'article L. 3121-41, un accord d'entreprise […]</w:t>
      </w:r>
      <w:r>
        <w:rPr>
          <w:rFonts w:cs="Book Antiqua" w:ascii="Book Antiqua" w:hAnsi="Book Antiqua"/>
          <w:sz w:val="22"/>
          <w:szCs w:val="22"/>
        </w:rPr>
        <w:t xml:space="preserve"> </w:t>
      </w:r>
      <w:r>
        <w:rPr>
          <w:rFonts w:cs="Book Antiqua" w:ascii="Book Antiqua" w:hAnsi="Book Antiqua"/>
          <w:i/>
          <w:sz w:val="22"/>
          <w:szCs w:val="22"/>
        </w:rPr>
        <w:t>peut définir les modalités d'aménagement du temps de travail et organiser la répartition de la durée du travail sur une période supérieure à la semaine</w:t>
      </w:r>
      <w:r>
        <w:rPr>
          <w:rFonts w:cs="Book Antiqua" w:ascii="Book Antiqua" w:hAnsi="Book Antiqua"/>
          <w:sz w:val="22"/>
          <w:szCs w:val="22"/>
        </w:rPr>
        <w:t>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Les parties entendent ainsi se prévaloir de cet article afin de mettre en place un aménagement du temps de travail sur une période supérieure à la semaine, sous la forme d’un cycle.</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b/>
          <w:b/>
          <w:i/>
          <w:i/>
          <w:sz w:val="22"/>
          <w:szCs w:val="22"/>
        </w:rPr>
      </w:pPr>
      <w:r>
        <w:rPr>
          <w:rFonts w:cs="Book Antiqua" w:ascii="Book Antiqua" w:hAnsi="Book Antiqua"/>
          <w:sz w:val="22"/>
          <w:szCs w:val="22"/>
        </w:rPr>
        <w:tab/>
      </w:r>
      <w:r>
        <w:rPr>
          <w:rFonts w:cs="Book Antiqua" w:ascii="Book Antiqua" w:hAnsi="Book Antiqua"/>
          <w:b/>
          <w:i/>
          <w:sz w:val="22"/>
          <w:szCs w:val="22"/>
        </w:rPr>
        <w:t>II-1. Période de référence et durée du travail</w:t>
      </w:r>
    </w:p>
    <w:p>
      <w:pPr>
        <w:pStyle w:val="Normal"/>
        <w:jc w:val="both"/>
        <w:rPr>
          <w:rFonts w:ascii="Book Antiqua" w:hAnsi="Book Antiqua" w:cs="Book Antiqua"/>
          <w:b/>
          <w:b/>
          <w:i/>
          <w:i/>
          <w:sz w:val="22"/>
          <w:szCs w:val="22"/>
        </w:rPr>
      </w:pPr>
      <w:r>
        <w:rPr>
          <w:rFonts w:cs="Book Antiqua" w:ascii="Book Antiqua" w:hAnsi="Book Antiqua"/>
          <w:b/>
          <w:i/>
          <w:sz w:val="22"/>
          <w:szCs w:val="22"/>
        </w:rPr>
      </w:r>
    </w:p>
    <w:p>
      <w:pPr>
        <w:pStyle w:val="Normal"/>
        <w:jc w:val="both"/>
        <w:rPr/>
      </w:pPr>
      <w:r>
        <w:rPr>
          <w:rFonts w:cs="Book Antiqua" w:ascii="Book Antiqua" w:hAnsi="Book Antiqua"/>
          <w:sz w:val="22"/>
          <w:szCs w:val="22"/>
        </w:rPr>
        <w:t>La période de référence retenue par les parties est fixée à douze (12) semaines.</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La durée hebdomadaire du travail sera de trente-cinq (35) heures en moyenne sur 12 semaines,</w:t>
      </w:r>
      <w:r>
        <w:rPr>
          <w:sz w:val="24"/>
          <w:szCs w:val="24"/>
        </w:rPr>
        <w:t xml:space="preserve"> </w:t>
      </w:r>
      <w:r>
        <w:rPr>
          <w:rFonts w:cs="Book Antiqua" w:ascii="Book Antiqua" w:hAnsi="Book Antiqua"/>
          <w:sz w:val="22"/>
          <w:szCs w:val="22"/>
        </w:rPr>
        <w:t>chaque semaine du cycle pouvant, dans le respect des durées maximales de travail prévues par le Code du travail, avoir un temps de travail effectif supérieur ou inférieur à 35 heures.</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rPr/>
      </w:pPr>
      <w:r>
        <w:rPr>
          <w:rFonts w:cs="Book Antiqua" w:ascii="Book Antiqua" w:hAnsi="Book Antiqua"/>
          <w:sz w:val="22"/>
          <w:szCs w:val="22"/>
        </w:rPr>
        <w:t>Le tableau en annexe 1 présente l’alternance prévue pour un cycle de 12 semaines sur un calendrier hebdomadaire. Les horaires visés ci-dessus sont donnés à titre indicatif.</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pPr>
      <w:r>
        <w:rPr>
          <w:rFonts w:cs="Book Antiqua" w:ascii="Book Antiqua" w:hAnsi="Book Antiqua"/>
          <w:sz w:val="22"/>
          <w:szCs w:val="22"/>
        </w:rPr>
        <w:t>Le cycle de 12 semaines se décomposera en 3 périodes de 4 semaines, chaque opérateur alternera, au cours du cycle, sur les 2 horaires de la façon suivante :</w:t>
      </w:r>
    </w:p>
    <w:p>
      <w:pPr>
        <w:pStyle w:val="Normal"/>
        <w:numPr>
          <w:ilvl w:val="0"/>
          <w:numId w:val="3"/>
        </w:numPr>
        <w:jc w:val="both"/>
        <w:rPr>
          <w:rFonts w:ascii="Book Antiqua" w:hAnsi="Book Antiqua" w:cs="Book Antiqua"/>
          <w:sz w:val="22"/>
          <w:szCs w:val="22"/>
        </w:rPr>
      </w:pPr>
      <w:r>
        <w:rPr>
          <w:rFonts w:cs="Book Antiqua" w:ascii="Book Antiqua" w:hAnsi="Book Antiqua"/>
          <w:sz w:val="22"/>
          <w:szCs w:val="22"/>
        </w:rPr>
        <w:t>2 périodes en Horaire 1</w:t>
      </w:r>
    </w:p>
    <w:p>
      <w:pPr>
        <w:pStyle w:val="Normal"/>
        <w:numPr>
          <w:ilvl w:val="0"/>
          <w:numId w:val="3"/>
        </w:numPr>
        <w:jc w:val="both"/>
        <w:rPr/>
      </w:pPr>
      <w:r>
        <w:rPr>
          <w:rFonts w:cs="Book Antiqua" w:ascii="Book Antiqua" w:hAnsi="Book Antiqua"/>
          <w:sz w:val="22"/>
          <w:szCs w:val="22"/>
        </w:rPr>
        <w:t>1 période en Horaire 2</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numPr>
          <w:ilvl w:val="0"/>
          <w:numId w:val="2"/>
        </w:numPr>
        <w:jc w:val="both"/>
        <w:rPr>
          <w:rFonts w:ascii="Book Antiqua" w:hAnsi="Book Antiqua" w:cs="Book Antiqua"/>
          <w:sz w:val="22"/>
          <w:szCs w:val="22"/>
        </w:rPr>
      </w:pPr>
      <w:r>
        <w:rPr>
          <w:rFonts w:cs="Book Antiqua" w:ascii="Book Antiqua" w:hAnsi="Book Antiqua"/>
          <w:sz w:val="22"/>
          <w:szCs w:val="22"/>
        </w:rPr>
        <w:t>Horaire 1</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pPr>
      <w:r>
        <w:rPr>
          <w:rFonts w:cs="Book Antiqua" w:ascii="Book Antiqua" w:hAnsi="Book Antiqua"/>
          <w:sz w:val="22"/>
          <w:szCs w:val="22"/>
        </w:rPr>
        <w:t xml:space="preserve">Les salariés travailleront en alternant 2 jours de travail et 2 jours de repos. Au cours de chaque période, ils travailleront 14 journées de 10 heures (horaires indicatifs au jour de la signature du présent accord : de 8 heures à 18 heures) en alternance avec 14 journées de repos.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numPr>
          <w:ilvl w:val="0"/>
          <w:numId w:val="2"/>
        </w:numPr>
        <w:jc w:val="both"/>
        <w:rPr>
          <w:rFonts w:ascii="Book Antiqua" w:hAnsi="Book Antiqua" w:cs="Book Antiqua"/>
          <w:sz w:val="22"/>
          <w:szCs w:val="22"/>
        </w:rPr>
      </w:pPr>
      <w:r>
        <w:rPr>
          <w:rFonts w:cs="Book Antiqua" w:ascii="Book Antiqua" w:hAnsi="Book Antiqua"/>
          <w:sz w:val="22"/>
          <w:szCs w:val="22"/>
        </w:rPr>
        <w:t xml:space="preserve">Horaire 2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Les salariés travailleront des journées de 7 heures (horaires indicatifs au jour de la signature du présent accord : de 8h30 à 12h puis de 13h à 16h30) 5 jours sur 7, du lundi au vendredi.</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ind w:firstLine="708"/>
        <w:jc w:val="both"/>
        <w:rPr>
          <w:rFonts w:ascii="Book Antiqua" w:hAnsi="Book Antiqua" w:cs="Book Antiqua"/>
          <w:b/>
          <w:b/>
          <w:i/>
          <w:i/>
          <w:sz w:val="22"/>
          <w:szCs w:val="22"/>
        </w:rPr>
      </w:pPr>
      <w:r>
        <w:rPr>
          <w:rFonts w:cs="Book Antiqua" w:ascii="Book Antiqua" w:hAnsi="Book Antiqua"/>
          <w:b/>
          <w:i/>
          <w:sz w:val="22"/>
          <w:szCs w:val="22"/>
        </w:rPr>
        <w:t>II-2. Décompte des heures supplémentaires</w:t>
      </w:r>
    </w:p>
    <w:p>
      <w:pPr>
        <w:pStyle w:val="Normal"/>
        <w:jc w:val="both"/>
        <w:rPr>
          <w:rFonts w:ascii="Book Antiqua" w:hAnsi="Book Antiqua" w:cs="Book Antiqua"/>
          <w:b/>
          <w:b/>
          <w:i/>
          <w:i/>
          <w:sz w:val="22"/>
          <w:szCs w:val="22"/>
        </w:rPr>
      </w:pPr>
      <w:r>
        <w:rPr>
          <w:rFonts w:cs="Book Antiqua" w:ascii="Book Antiqua" w:hAnsi="Book Antiqua"/>
          <w:b/>
          <w:i/>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Les parties rappellent que, conformément à l’article L. 3121-41 du Code du travail, les heures supplémentaires seront décomptées à l’issue de la période de référence du cycle.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Constituent des heures supplémentaires les heures effectuées au-delà d’une durée moyenne hebdomadaire de trente-cinq heures, calculées sur la période de référence de 12 semaines.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Les heures supplémentaires seront majorées conformément aux dispositions légales et conventionnelles applicables.</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ind w:left="708" w:hanging="0"/>
        <w:jc w:val="both"/>
        <w:rPr/>
      </w:pPr>
      <w:r>
        <w:rPr>
          <w:rFonts w:cs="Book Antiqua" w:ascii="Book Antiqua" w:hAnsi="Book Antiqua"/>
          <w:b/>
          <w:i/>
          <w:sz w:val="22"/>
          <w:szCs w:val="22"/>
        </w:rPr>
        <w:t>II-3. Communication des horaires de travail - Conditions et délais de prévenance en cas de changements de durée ou d'horaires de travail</w:t>
      </w:r>
    </w:p>
    <w:p>
      <w:pPr>
        <w:pStyle w:val="Normal"/>
        <w:jc w:val="both"/>
        <w:rPr>
          <w:rFonts w:ascii="Book Antiqua" w:hAnsi="Book Antiqua" w:cs="Book Antiqua"/>
          <w:b/>
          <w:b/>
          <w:i/>
          <w:i/>
          <w:sz w:val="22"/>
          <w:szCs w:val="22"/>
        </w:rPr>
      </w:pPr>
      <w:r>
        <w:rPr>
          <w:rFonts w:cs="Book Antiqua" w:ascii="Book Antiqua" w:hAnsi="Book Antiqua"/>
          <w:b/>
          <w:i/>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Les salariés seront informés des horaires de travail de chaque cycle par voie d’affichage, au moins deux semaines avant le début dudit cycle.</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Les horaires de travail à l’intérieur du cycle seront susceptibles d’être modifiés par la société, dans le respect du cycle  12 semaines ainsi que des durées maximales quotidiennes et hebdomadaires de temps de travail et des durées de repos quotidiens et hebdomadaires.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Un délai de prévenance d’une durée d’une semaine sera alors respecté et les salariés en seront informés par voie d’affichage.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ind w:firstLine="708"/>
        <w:jc w:val="both"/>
        <w:rPr>
          <w:rFonts w:ascii="Book Antiqua" w:hAnsi="Book Antiqua" w:cs="Book Antiqua"/>
          <w:b/>
          <w:b/>
          <w:i/>
          <w:i/>
          <w:sz w:val="22"/>
          <w:szCs w:val="22"/>
        </w:rPr>
      </w:pPr>
      <w:r>
        <w:rPr>
          <w:rFonts w:cs="Book Antiqua" w:ascii="Book Antiqua" w:hAnsi="Book Antiqua"/>
          <w:b/>
          <w:i/>
          <w:sz w:val="22"/>
          <w:szCs w:val="22"/>
        </w:rPr>
        <w:t>II-4. Rémunération</w:t>
      </w:r>
    </w:p>
    <w:p>
      <w:pPr>
        <w:pStyle w:val="Normal"/>
        <w:jc w:val="both"/>
        <w:rPr>
          <w:rFonts w:ascii="Book Antiqua" w:hAnsi="Book Antiqua" w:cs="Book Antiqua"/>
          <w:b/>
          <w:b/>
          <w:i/>
          <w:i/>
          <w:sz w:val="22"/>
          <w:szCs w:val="22"/>
        </w:rPr>
      </w:pPr>
      <w:r>
        <w:rPr>
          <w:rFonts w:cs="Book Antiqua" w:ascii="Book Antiqua" w:hAnsi="Book Antiqua"/>
          <w:b/>
          <w:i/>
          <w:sz w:val="22"/>
          <w:szCs w:val="22"/>
        </w:rPr>
      </w:r>
    </w:p>
    <w:p>
      <w:pPr>
        <w:pStyle w:val="Normal"/>
        <w:jc w:val="both"/>
        <w:rPr>
          <w:rFonts w:ascii="Book Antiqua" w:hAnsi="Book Antiqua" w:cs="Book Antiqua"/>
          <w:sz w:val="22"/>
          <w:szCs w:val="22"/>
        </w:rPr>
      </w:pPr>
      <w:r>
        <w:rPr>
          <w:rFonts w:cs="Book Antiqua" w:ascii="Book Antiqua" w:hAnsi="Book Antiqua"/>
          <w:sz w:val="22"/>
          <w:szCs w:val="22"/>
        </w:rPr>
        <w:t>La rémunération mensuelle des salariés sera lissée sur la base de l'horaire mensuel moyen de 151,67 heures, indépendamment de l'horaire réellement accompli chaque mois.</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pPr>
      <w:r>
        <w:rPr>
          <w:rFonts w:cs="Book Antiqua" w:ascii="Book Antiqua" w:hAnsi="Book Antiqua"/>
          <w:sz w:val="22"/>
          <w:szCs w:val="22"/>
        </w:rPr>
        <w:tab/>
      </w:r>
      <w:r>
        <w:rPr>
          <w:rFonts w:cs="Book Antiqua" w:ascii="Book Antiqua" w:hAnsi="Book Antiqua"/>
          <w:b/>
          <w:i/>
          <w:sz w:val="22"/>
          <w:szCs w:val="22"/>
        </w:rPr>
        <w:t>II-5. Absences, arrivée et départ en cours de période</w:t>
      </w:r>
    </w:p>
    <w:p>
      <w:pPr>
        <w:pStyle w:val="Normal"/>
        <w:jc w:val="both"/>
        <w:rPr>
          <w:rFonts w:ascii="Book Antiqua" w:hAnsi="Book Antiqua" w:cs="Book Antiqua"/>
          <w:b/>
          <w:b/>
          <w:i/>
          <w:i/>
          <w:sz w:val="22"/>
          <w:szCs w:val="22"/>
        </w:rPr>
      </w:pPr>
      <w:r>
        <w:rPr>
          <w:rFonts w:cs="Book Antiqua" w:ascii="Book Antiqua" w:hAnsi="Book Antiqua"/>
          <w:b/>
          <w:i/>
          <w:sz w:val="22"/>
          <w:szCs w:val="22"/>
        </w:rPr>
      </w:r>
    </w:p>
    <w:p>
      <w:pPr>
        <w:pStyle w:val="Normal"/>
        <w:jc w:val="both"/>
        <w:rPr/>
      </w:pPr>
      <w:r>
        <w:rPr>
          <w:rFonts w:cs="Book Antiqua" w:ascii="Book Antiqua" w:hAnsi="Book Antiqua"/>
          <w:sz w:val="22"/>
          <w:szCs w:val="22"/>
        </w:rPr>
        <w:t xml:space="preserve">Les absences seront décomptées en considération du nombre réel d’heures d’absence au regard de l’horaire du salarié planifié pour le ou les jours d’absence.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 xml:space="preserve">En cas d’arrivée ou de départ en cours de cycle, le salarié sera rémunéré au regard des heures effectivement travaillées lors du cycle qu’il n’a pas effectué en totalité.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b/>
          <w:sz w:val="22"/>
          <w:szCs w:val="22"/>
        </w:rPr>
        <w:t>ARTICLE III – TRAVAIL DU DIMANCHE</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Conformément à l’article L. 3132-14 du Code du travail, « </w:t>
      </w:r>
      <w:r>
        <w:rPr>
          <w:rFonts w:cs="Book Antiqua" w:ascii="Book Antiqua" w:hAnsi="Book Antiqua"/>
          <w:i/>
          <w:sz w:val="22"/>
          <w:szCs w:val="22"/>
        </w:rPr>
        <w:t>dans les industries ou les entreprises industrielles, une convention ou un accord d'entreprise […] peut prévoir la possibilité d'organiser le travail de façon continue pour des raisons économiques et d'attribuer le repos hebdomadaire par roulement</w:t>
      </w:r>
      <w:r>
        <w:rPr>
          <w:rFonts w:cs="Book Antiqua" w:ascii="Book Antiqua" w:hAnsi="Book Antiqua"/>
          <w:sz w:val="22"/>
          <w:szCs w:val="22"/>
        </w:rPr>
        <w:t> ».</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Les parties entendent se prévaloir de cet article afin de déroger au repos dominical et ainsi répondre à la nécessité d’organiser le travail en continu.</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pPr>
      <w:r>
        <w:rPr>
          <w:rFonts w:cs="Book Antiqua" w:ascii="Book Antiqua" w:hAnsi="Book Antiqua"/>
          <w:sz w:val="22"/>
          <w:szCs w:val="22"/>
        </w:rPr>
        <w:t>L’activité de l’établissement de Blendecques rend en effet nécessaire la présence d’un opérateur 7 jours sur 7 et donc y compris le dimanche afin de répondre aux contraintes de production.</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Les salariés (en horaire 1) seront amenés à travailler un total de 2 dimanches par période de 4 semaines.</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Les heures effectuées le dimanche seront majorées de 50 p. 100, hors majorations éventuelles pour heures supplémentaires.</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L’accord du salarié quant au travail du dimanche sera recueilli au moyen de son contrat de travail ou d’un avenant à celui-ci.</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pPr>
      <w:r>
        <w:rPr>
          <w:rFonts w:cs="Book Antiqua" w:ascii="Book Antiqua" w:hAnsi="Book Antiqua"/>
          <w:b/>
          <w:sz w:val="22"/>
          <w:szCs w:val="22"/>
        </w:rPr>
        <w:t>ARTICLE IV – JOURS FERIES</w:t>
      </w:r>
    </w:p>
    <w:p>
      <w:pPr>
        <w:pStyle w:val="Normal"/>
        <w:tabs>
          <w:tab w:val="left" w:pos="426" w:leader="none"/>
        </w:tabs>
        <w:jc w:val="both"/>
        <w:rPr>
          <w:rFonts w:ascii="Book Antiqua" w:hAnsi="Book Antiqua" w:cs="Book Antiqua"/>
          <w:b/>
          <w:b/>
          <w:sz w:val="22"/>
          <w:szCs w:val="22"/>
        </w:rPr>
      </w:pPr>
      <w:r>
        <w:rPr>
          <w:rFonts w:cs="Book Antiqua" w:ascii="Book Antiqua" w:hAnsi="Book Antiqua"/>
          <w:b/>
          <w:sz w:val="22"/>
          <w:szCs w:val="22"/>
        </w:rPr>
      </w:r>
    </w:p>
    <w:p>
      <w:pPr>
        <w:pStyle w:val="Normal"/>
        <w:tabs>
          <w:tab w:val="left" w:pos="426" w:leader="none"/>
        </w:tabs>
        <w:jc w:val="both"/>
        <w:rPr/>
      </w:pPr>
      <w:r>
        <w:rPr>
          <w:rFonts w:cs="Book Antiqua" w:ascii="Book Antiqua" w:hAnsi="Book Antiqua"/>
          <w:sz w:val="22"/>
          <w:szCs w:val="22"/>
        </w:rPr>
        <w:t>Les parties décident, en matière de jours fériés, de reprendre les majorations prévues par les dispositions conventionnelles de la branche des carrières et matériaux.</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Il est toutefois expressément précisé qu’elles entendent par jours fériés, l’ensemble des jours visés à l’article L. 3133-1 du Code du travail à l’exception du 1</w:t>
      </w:r>
      <w:r>
        <w:rPr>
          <w:rFonts w:cs="Book Antiqua" w:ascii="Book Antiqua" w:hAnsi="Book Antiqua"/>
          <w:sz w:val="22"/>
          <w:szCs w:val="22"/>
          <w:vertAlign w:val="superscript"/>
        </w:rPr>
        <w:t>er</w:t>
      </w:r>
      <w:r>
        <w:rPr>
          <w:rFonts w:cs="Book Antiqua" w:ascii="Book Antiqua" w:hAnsi="Book Antiqua"/>
          <w:sz w:val="22"/>
          <w:szCs w:val="22"/>
        </w:rPr>
        <w:t xml:space="preserve"> mai, lequel bénéficie d’un régime légal particulier.</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Les heures de travail effectuées les jours fériés bénéficieront d’une majoration de 75 p. 100 (hors majorations pour heures supplémentaires).</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Au cas où les heures prévues à l'alinéa précédent comprendraient des majorations pour heures supplémentaires, elles seront majorées de 100 p. 100 (75 % + 25 % pour des heures supplémentaires à 25 %).</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pPr>
      <w:r>
        <w:rPr>
          <w:rFonts w:cs="Book Antiqua" w:ascii="Book Antiqua" w:hAnsi="Book Antiqua"/>
          <w:sz w:val="22"/>
          <w:szCs w:val="22"/>
        </w:rPr>
        <w:t>Si les salariés sont amenés à travailler exceptionnellement le 1</w:t>
      </w:r>
      <w:r>
        <w:rPr>
          <w:rFonts w:cs="Book Antiqua" w:ascii="Book Antiqua" w:hAnsi="Book Antiqua"/>
          <w:sz w:val="22"/>
          <w:szCs w:val="22"/>
          <w:vertAlign w:val="superscript"/>
        </w:rPr>
        <w:t>er</w:t>
      </w:r>
      <w:r>
        <w:rPr>
          <w:rFonts w:cs="Book Antiqua" w:ascii="Book Antiqua" w:hAnsi="Book Antiqua"/>
          <w:sz w:val="22"/>
          <w:szCs w:val="22"/>
        </w:rPr>
        <w:t xml:space="preserve"> mai, ils bénéficieront des majorations légales prévues, soient 100% auxquelles s’ajouteront les majorations d’heures supplémentaires.</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b/>
          <w:b/>
          <w:sz w:val="22"/>
          <w:szCs w:val="22"/>
        </w:rPr>
      </w:pPr>
      <w:r>
        <w:rPr>
          <w:rFonts w:cs="Book Antiqua" w:ascii="Book Antiqua" w:hAnsi="Book Antiqua"/>
          <w:b/>
          <w:sz w:val="22"/>
          <w:szCs w:val="22"/>
        </w:rPr>
        <w:t>ARTICLE V – TRAVAIL DE NUIT</w:t>
      </w:r>
    </w:p>
    <w:p>
      <w:pPr>
        <w:pStyle w:val="Normal"/>
        <w:tabs>
          <w:tab w:val="left" w:pos="426" w:leader="none"/>
        </w:tabs>
        <w:jc w:val="both"/>
        <w:rPr>
          <w:rFonts w:ascii="Book Antiqua" w:hAnsi="Book Antiqua" w:cs="Book Antiqua"/>
          <w:b/>
          <w:b/>
          <w:sz w:val="22"/>
          <w:szCs w:val="22"/>
        </w:rPr>
      </w:pPr>
      <w:r>
        <w:rPr>
          <w:rFonts w:cs="Book Antiqua" w:ascii="Book Antiqua" w:hAnsi="Book Antiqua"/>
          <w:b/>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Les parties conviennent, en matière de travail de nuit, de faire application des dispositions conventionnelles de la branche des carrières et matériaux.</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Ainsi, lorsque l'horaire habituel de travail ne comporte pas de travail de nuit, les heures de travail effectuées exceptionnellement entre 22 heures et 6 heures pour exécuter un travail urgent, ou temporairement afin de faire face à un surcroît d'activité, bénéficieront d'une majoration d'incommodité de 100% comprenant les majorations pour heures supplémentaires.</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pPr>
      <w:r>
        <w:rPr>
          <w:rFonts w:cs="Book Antiqua" w:ascii="Book Antiqua" w:hAnsi="Book Antiqua"/>
          <w:sz w:val="22"/>
          <w:szCs w:val="22"/>
        </w:rPr>
        <w:t>Ces dispositions s’appliqueront y compris si les heures sont effectuées pendant les périodes d’interventions au titre des astreintes visées par l’accord spécifique signé en parallèle de celui-ci.</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r>
        <w:br w:type="page"/>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b/>
          <w:b/>
          <w:sz w:val="22"/>
          <w:szCs w:val="22"/>
        </w:rPr>
      </w:pPr>
      <w:r>
        <w:rPr>
          <w:rFonts w:cs="Book Antiqua" w:ascii="Book Antiqua" w:hAnsi="Book Antiqua"/>
          <w:b/>
          <w:sz w:val="22"/>
          <w:szCs w:val="22"/>
        </w:rPr>
        <w:t>ARTICLE VI – CONDITIONS DE DEPLACEMENT ENTRE LES SITES DE NANTES ET BLENDECQUES</w:t>
      </w:r>
    </w:p>
    <w:p>
      <w:pPr>
        <w:pStyle w:val="Normal"/>
        <w:tabs>
          <w:tab w:val="left" w:pos="426" w:leader="none"/>
        </w:tabs>
        <w:jc w:val="both"/>
        <w:rPr>
          <w:rFonts w:ascii="Book Antiqua" w:hAnsi="Book Antiqua" w:cs="Book Antiqua"/>
          <w:b/>
          <w:b/>
          <w:sz w:val="22"/>
          <w:szCs w:val="22"/>
        </w:rPr>
      </w:pPr>
      <w:r>
        <w:rPr>
          <w:rFonts w:cs="Book Antiqua" w:ascii="Book Antiqua" w:hAnsi="Book Antiqua"/>
          <w:b/>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Il est tout d’abord précisé que la Société Norpaper possède également un établissement à Nantes sur lequel les salariés IMF de l’établissement de BLENDECQUES pourront être amenés à se rendre (Formation, remplacement CP, etc.).</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 xml:space="preserve">Le temps de trajet « domicile -lieu de travail » (dans l’hypothèse où, pour des besoins de service, il est nécessaire d’affecter le salarié sur un autre site de façon temporaire) qui dépasse ainsi le temps de trajet habituel n’est pas considéré comme du travail effectif. </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Il ne donne donc pas lieu à majorations pour heures supplémentaires.</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Il doit toutefois faire l’objet d’une contrepartie en temps ou en argent. Aussi, en accord entre le salarié et l’employeur il sera payé en salaire ou récupéré en temps de repos.</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Les frais de déplacements dans le cadre de la mission sont pris en charge par l’employeur.</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La journée de déplacement est rémunérée pour un forfait de 8 heures ou, selon la préférence du salarié, donne lieu à 8 heures de repos. En application du principe légal ci-dessus, ces heures ne sont considérées comme du temps de travail effectif et ne donneront donc pas lieu à majorations pour heures supplémentaires.</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En revanche, un déplacement effectué un dimanche ou un jour férié se verra majoré du même taux que le travail effectif du dimanche et du jour férié (hors heures supplémentaires) ; soient 50% un dimanche et 75% un jour férié.</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pPr>
      <w:r>
        <w:rPr>
          <w:rFonts w:cs="Book Antiqua" w:ascii="Book Antiqua" w:hAnsi="Book Antiqua"/>
          <w:sz w:val="22"/>
          <w:szCs w:val="22"/>
        </w:rPr>
        <w:t>Si des déplacements réguliers devaient avoir lieu sur d’autres sites, les présentes règles seraient adaptées en fonction du besoin.</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pPr>
      <w:r>
        <w:rPr>
          <w:rFonts w:cs="Book Antiqua" w:ascii="Book Antiqua" w:hAnsi="Book Antiqua"/>
          <w:b/>
          <w:sz w:val="22"/>
          <w:szCs w:val="22"/>
        </w:rPr>
        <w:t>ARTICLE VII – CALENDRIER DES NEGOCIATIONS</w:t>
      </w:r>
    </w:p>
    <w:p>
      <w:pPr>
        <w:pStyle w:val="Normal"/>
        <w:tabs>
          <w:tab w:val="left" w:pos="426" w:leader="none"/>
        </w:tabs>
        <w:jc w:val="both"/>
        <w:rPr>
          <w:rFonts w:ascii="Book Antiqua" w:hAnsi="Book Antiqua" w:cs="Book Antiqua"/>
          <w:b/>
          <w:b/>
          <w:sz w:val="22"/>
          <w:szCs w:val="22"/>
        </w:rPr>
      </w:pPr>
      <w:r>
        <w:rPr>
          <w:rFonts w:cs="Book Antiqua" w:ascii="Book Antiqua" w:hAnsi="Book Antiqua"/>
          <w:b/>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Le présent accord résulte d’une négociation entre les parties susvisées au cours de réunions qui se sont déroulées les 25 juillet  et 30 septembre 2019.</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b/>
          <w:b/>
          <w:sz w:val="22"/>
          <w:szCs w:val="22"/>
        </w:rPr>
      </w:pPr>
      <w:r>
        <w:rPr>
          <w:rFonts w:cs="Book Antiqua" w:ascii="Book Antiqua" w:hAnsi="Book Antiqua"/>
          <w:b/>
          <w:sz w:val="22"/>
          <w:szCs w:val="22"/>
        </w:rPr>
        <w:t>ARTICLE VIII - PRISE D'EFFET - DUREE - REVISION - DENONCIATION</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Le présent accord est conclu pour une durée indéterminée.</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Il entrera en vigueur au lendemain de son dépôt.</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 xml:space="preserve">Un état des lieux de fonctionnement sera fait dans la première année et pourrait amener à réaliser des ajustements selon les modalités ci-dessous : </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Il pourra être :</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numPr>
          <w:ilvl w:val="0"/>
          <w:numId w:val="1"/>
        </w:numPr>
        <w:jc w:val="both"/>
        <w:rPr>
          <w:rFonts w:ascii="Book Antiqua" w:hAnsi="Book Antiqua" w:cs="Book Antiqua"/>
          <w:i/>
          <w:i/>
          <w:sz w:val="22"/>
          <w:szCs w:val="22"/>
        </w:rPr>
      </w:pPr>
      <w:r>
        <w:rPr>
          <w:rFonts w:cs="Book Antiqua" w:ascii="Book Antiqua" w:hAnsi="Book Antiqua"/>
          <w:i/>
          <w:sz w:val="22"/>
          <w:szCs w:val="22"/>
        </w:rPr>
        <w:t>Révisé dans les conditions prévues aux articles L. 2261-7 à L. 2261-8 du Code du travail :</w:t>
      </w:r>
    </w:p>
    <w:p>
      <w:pPr>
        <w:pStyle w:val="Normal"/>
        <w:jc w:val="both"/>
        <w:rPr>
          <w:rFonts w:ascii="Book Antiqua" w:hAnsi="Book Antiqua" w:cs="Book Antiqua"/>
          <w:i/>
          <w:i/>
          <w:sz w:val="22"/>
          <w:szCs w:val="22"/>
        </w:rPr>
      </w:pPr>
      <w:r>
        <w:rPr>
          <w:rFonts w:cs="Book Antiqua" w:ascii="Book Antiqua" w:hAnsi="Book Antiqua"/>
          <w:i/>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 présent accord pourra faire l'objet de révision par l'employeur et les organisations syndicales de salariés signataires du présent accord ou y ayant adhéré ultérieurement, conformément aux dispositions des articles L 2261-7 à L 2261-8 du Code du travail. Toute demande de révision, obligatoirement accompagnée d'une proposition de rédaction nouvelle, sera notifiée par lettre recommandée avec accusé de réception à chacune des autres parties signataires.</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 plus rapidement possible et, au plus tard, dans un délai de trois (3) mois à partir de l'envoi de cette lettre, les parties devront s'être rencontrées en vue de la conclusion éventuelle d'un avenant de révision. Les dispositions, objet de la demande de révision, resteront en vigueur jusqu'à la conclusion d'un tel avenant.</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numPr>
          <w:ilvl w:val="0"/>
          <w:numId w:val="1"/>
        </w:numPr>
        <w:jc w:val="both"/>
        <w:rPr/>
      </w:pPr>
      <w:r>
        <w:rPr>
          <w:rFonts w:cs="Book Antiqua" w:ascii="Book Antiqua" w:hAnsi="Book Antiqua"/>
          <w:i/>
          <w:sz w:val="22"/>
          <w:szCs w:val="22"/>
        </w:rPr>
        <w:t>Dénoncé dans les conditions prévues aux articles L. 2261-9 à L. 2261-11 du Code du travail :</w:t>
      </w:r>
    </w:p>
    <w:p>
      <w:pPr>
        <w:pStyle w:val="Normal"/>
        <w:jc w:val="both"/>
        <w:rPr>
          <w:rFonts w:ascii="Book Antiqua" w:hAnsi="Book Antiqua" w:cs="Book Antiqua"/>
          <w:i/>
          <w:i/>
          <w:sz w:val="22"/>
          <w:szCs w:val="22"/>
        </w:rPr>
      </w:pPr>
      <w:r>
        <w:rPr>
          <w:rFonts w:cs="Book Antiqua" w:ascii="Book Antiqua" w:hAnsi="Book Antiqua"/>
          <w:i/>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 présent accord pourra être dénoncé par les parties signataires. La dénonciation ne produit pleinement ses effets que si elle émane de la totalité des signataires employeurs ou de la totalité des syndicats signataires.</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Cette dénonciation est notifiée par son auteur aux autres signataires par lettre recommandée avec avis de réception. Elle est également déposée auprès du DIRECCTE et auprès du conseil de prud’hommes dans les mêmes conditions qu’une convention ou un accord collectif.</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Les parties dénonçant l’accord (qu’il s’agisse des syndicats signataires ou de l’employeur) doivent respecter un préavis de 3 mois. Une nouvelle négociation s’engage, à la demande d’une des parties intéressées, dans les 3 mois qui suivent le début du préavis. Toutes les organisations syndicales représentatives sont alors invitées à négocier l’accord de substitution.</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pPr>
      <w:r>
        <w:rPr>
          <w:rFonts w:cs="Book Antiqua" w:ascii="Book Antiqua" w:hAnsi="Book Antiqua"/>
          <w:b/>
          <w:sz w:val="22"/>
          <w:szCs w:val="22"/>
        </w:rPr>
        <w:t>ARTICLE IX – SUIVI ET RENDEZ-VOUS</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pPr>
      <w:r>
        <w:rPr>
          <w:rFonts w:cs="Book Antiqua" w:ascii="Book Antiqua" w:hAnsi="Book Antiqua"/>
          <w:sz w:val="22"/>
          <w:szCs w:val="22"/>
        </w:rPr>
        <w:t>Pour la mise en œuvre du présent accord, il est prévu une réunion de suivi par an. Les dates seront définies chaque année d’un commun accord des parties.</w:t>
      </w:r>
    </w:p>
    <w:p>
      <w:pPr>
        <w:pStyle w:val="Normal"/>
        <w:jc w:val="both"/>
        <w:rPr>
          <w:rFonts w:ascii="Book Antiqua" w:hAnsi="Book Antiqua" w:eastAsia="Book Antiqua" w:cs="Book Antiqua"/>
          <w:sz w:val="22"/>
          <w:szCs w:val="22"/>
        </w:rPr>
      </w:pPr>
      <w:r>
        <w:rPr>
          <w:rFonts w:eastAsia="Book Antiqua" w:cs="Book Antiqua" w:ascii="Book Antiqua" w:hAnsi="Book Antiqua"/>
          <w:sz w:val="22"/>
          <w:szCs w:val="22"/>
        </w:rPr>
        <w:t xml:space="preserve"> </w:t>
      </w:r>
    </w:p>
    <w:p>
      <w:pPr>
        <w:pStyle w:val="Normal"/>
        <w:jc w:val="both"/>
        <w:rPr>
          <w:rFonts w:ascii="Book Antiqua" w:hAnsi="Book Antiqua" w:cs="Book Antiqua"/>
          <w:b/>
          <w:b/>
          <w:sz w:val="22"/>
          <w:szCs w:val="22"/>
        </w:rPr>
      </w:pPr>
      <w:r>
        <w:rPr>
          <w:rFonts w:cs="Book Antiqua" w:ascii="Book Antiqua" w:hAnsi="Book Antiqua"/>
          <w:sz w:val="22"/>
          <w:szCs w:val="22"/>
        </w:rPr>
        <w:t>Par ailleurs, en cas d'évolution législative ou conventionnelle susceptible de remettre en cause tout ou partie des dispositions du présent accord, les parties signataires conviennent de se réunir à nouveau, dans un délai de deux (2) mois après la publication de ces textes, afin d'adapter lesdites dispositions.</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rFonts w:ascii="Book Antiqua" w:hAnsi="Book Antiqua" w:cs="Book Antiqua"/>
          <w:b/>
          <w:b/>
          <w:sz w:val="22"/>
          <w:szCs w:val="22"/>
        </w:rPr>
      </w:pPr>
      <w:r>
        <w:rPr>
          <w:rFonts w:cs="Book Antiqua" w:ascii="Book Antiqua" w:hAnsi="Book Antiqua"/>
          <w:b/>
          <w:sz w:val="22"/>
          <w:szCs w:val="22"/>
        </w:rPr>
        <w:t>ARTICLE X - COMMISSION PARITAIRE PERMANENTE DE NEGOCIATION ET D’INTERPRETATION DE LA BRANCHE</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pPr>
      <w:r>
        <w:rPr>
          <w:rFonts w:cs="Book Antiqua" w:ascii="Book Antiqua" w:hAnsi="Book Antiqua"/>
          <w:sz w:val="22"/>
          <w:szCs w:val="22"/>
        </w:rPr>
        <w:t>Après suppression des noms et prénoms des négociateurs et signataires, la Direction de la Société IMF transmettra le présent accord à la Commission paritaire permanente de négociation et d’interprétation de la branche.</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La Direction informera les autres signataires de cet accord de cette transmission.</w:t>
      </w:r>
    </w:p>
    <w:p>
      <w:pPr>
        <w:pStyle w:val="Normal"/>
        <w:jc w:val="both"/>
        <w:rPr>
          <w:rFonts w:ascii="Book Antiqua" w:hAnsi="Book Antiqua" w:cs="Book Antiqua"/>
          <w:sz w:val="22"/>
          <w:szCs w:val="22"/>
        </w:rPr>
      </w:pPr>
      <w:r>
        <w:rPr>
          <w:rFonts w:cs="Book Antiqua" w:ascii="Book Antiqua" w:hAnsi="Book Antiqua"/>
          <w:sz w:val="22"/>
          <w:szCs w:val="22"/>
        </w:rPr>
      </w:r>
      <w:r>
        <w:br w:type="page"/>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pPr>
      <w:r>
        <w:rPr>
          <w:rFonts w:cs="Book Antiqua" w:ascii="Book Antiqua" w:hAnsi="Book Antiqua"/>
          <w:b/>
          <w:sz w:val="22"/>
          <w:szCs w:val="22"/>
        </w:rPr>
        <w:t>ARTICLE XI – DEPOT ET PUBLICITE</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pPr>
      <w:r>
        <w:rPr>
          <w:rFonts w:cs="Book Antiqua" w:ascii="Book Antiqua" w:hAnsi="Book Antiqua"/>
          <w:sz w:val="22"/>
          <w:szCs w:val="22"/>
        </w:rPr>
        <w:t>La Direction de la Société IMF déposera le présent accord auprès de la DIRECCTE sur la plateforme de téléprocédure du ministère du travail (</w:t>
      </w:r>
      <w:r>
        <w:rPr>
          <w:rFonts w:cs="Book Antiqua" w:ascii="Book Antiqua" w:hAnsi="Book Antiqua"/>
          <w:i/>
          <w:sz w:val="22"/>
          <w:szCs w:val="22"/>
        </w:rPr>
        <w:t>teleaccords.travail-emploi.gouv.fr</w:t>
      </w:r>
      <w:r>
        <w:rPr>
          <w:rFonts w:cs="Book Antiqua" w:ascii="Book Antiqua" w:hAnsi="Book Antiqua"/>
          <w:sz w:val="22"/>
          <w:szCs w:val="22"/>
        </w:rPr>
        <w:t>), conformément au Code du travail.</w:t>
      </w:r>
    </w:p>
    <w:p>
      <w:pPr>
        <w:pStyle w:val="Normal"/>
        <w:jc w:val="both"/>
        <w:rPr>
          <w:rFonts w:ascii="Book Antiqua" w:hAnsi="Book Antiqua" w:cs="Book Antiqua"/>
          <w:sz w:val="22"/>
          <w:szCs w:val="22"/>
        </w:rPr>
      </w:pPr>
      <w:r>
        <w:rPr>
          <w:rFonts w:cs="Book Antiqua" w:ascii="Book Antiqua" w:hAnsi="Book Antiqua"/>
          <w:sz w:val="22"/>
          <w:szCs w:val="22"/>
        </w:rPr>
      </w:r>
    </w:p>
    <w:p>
      <w:pPr>
        <w:pStyle w:val="Normal"/>
        <w:jc w:val="both"/>
        <w:rPr>
          <w:rFonts w:ascii="Book Antiqua" w:hAnsi="Book Antiqua" w:cs="Book Antiqua"/>
          <w:sz w:val="22"/>
          <w:szCs w:val="22"/>
        </w:rPr>
      </w:pPr>
      <w:r>
        <w:rPr>
          <w:rFonts w:cs="Book Antiqua" w:ascii="Book Antiqua" w:hAnsi="Book Antiqua"/>
          <w:sz w:val="22"/>
          <w:szCs w:val="22"/>
        </w:rPr>
        <w:t>Un exemplaire sera déposé au greffe du Conseil de Prud’hommes.</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jc w:val="both"/>
        <w:rPr>
          <w:rFonts w:ascii="Book Antiqua" w:hAnsi="Book Antiqua" w:cs="Book Antiqua"/>
          <w:sz w:val="22"/>
        </w:rPr>
      </w:pPr>
      <w:r>
        <w:rPr>
          <w:rFonts w:cs="Book Antiqua" w:ascii="Book Antiqua" w:hAnsi="Book Antiqua"/>
          <w:sz w:val="22"/>
        </w:rPr>
        <w:t>Il fera l’objet d’un affichage destiné à assurer l’information de l’ensemble du personnel.</w:t>
      </w:r>
    </w:p>
    <w:p>
      <w:pPr>
        <w:pStyle w:val="Normal"/>
        <w:jc w:val="both"/>
        <w:rPr>
          <w:rFonts w:ascii="Book Antiqua" w:hAnsi="Book Antiqua" w:cs="Book Antiqua"/>
          <w:sz w:val="22"/>
        </w:rPr>
      </w:pPr>
      <w:r>
        <w:rPr>
          <w:rFonts w:cs="Book Antiqua" w:ascii="Book Antiqua" w:hAnsi="Book Antiqua"/>
          <w:sz w:val="22"/>
        </w:rPr>
      </w:r>
    </w:p>
    <w:p>
      <w:pPr>
        <w:pStyle w:val="Normal"/>
        <w:jc w:val="both"/>
        <w:rPr>
          <w:rFonts w:ascii="Book Antiqua" w:hAnsi="Book Antiqua" w:cs="Book Antiqua"/>
          <w:sz w:val="22"/>
        </w:rPr>
      </w:pPr>
      <w:r>
        <w:rPr>
          <w:rFonts w:cs="Book Antiqua" w:ascii="Book Antiqua" w:hAnsi="Book Antiqua"/>
          <w:sz w:val="22"/>
        </w:rPr>
      </w:r>
    </w:p>
    <w:p>
      <w:pPr>
        <w:pStyle w:val="Normal"/>
        <w:jc w:val="both"/>
        <w:rPr/>
      </w:pPr>
      <w:r>
        <w:rPr>
          <w:rFonts w:cs="Book Antiqua" w:ascii="Book Antiqua" w:hAnsi="Book Antiqua"/>
          <w:b/>
          <w:sz w:val="22"/>
          <w:szCs w:val="22"/>
        </w:rPr>
        <w:t>ARTICLE XII - SIGNATURES</w:t>
      </w:r>
    </w:p>
    <w:p>
      <w:pPr>
        <w:pStyle w:val="Normal"/>
        <w:jc w:val="both"/>
        <w:rPr>
          <w:rFonts w:ascii="Book Antiqua" w:hAnsi="Book Antiqua" w:cs="Book Antiqua"/>
          <w:b/>
          <w:b/>
          <w:sz w:val="22"/>
          <w:szCs w:val="22"/>
        </w:rPr>
      </w:pPr>
      <w:r>
        <w:rPr>
          <w:rFonts w:cs="Book Antiqua" w:ascii="Book Antiqua" w:hAnsi="Book Antiqua"/>
          <w:b/>
          <w:sz w:val="22"/>
          <w:szCs w:val="22"/>
        </w:rPr>
      </w:r>
    </w:p>
    <w:p>
      <w:pPr>
        <w:pStyle w:val="Normal"/>
        <w:tabs>
          <w:tab w:val="left" w:pos="426" w:leader="none"/>
        </w:tabs>
        <w:jc w:val="both"/>
        <w:rPr/>
      </w:pPr>
      <w:r>
        <w:rPr>
          <w:rFonts w:cs="Book Antiqua" w:ascii="Book Antiqua" w:hAnsi="Book Antiqua"/>
          <w:sz w:val="22"/>
          <w:szCs w:val="22"/>
        </w:rPr>
        <w:t xml:space="preserve">Le présent accord est signé à </w:t>
      </w:r>
      <w:r>
        <w:rPr>
          <w:rFonts w:cs="Book Antiqua" w:ascii="Book Antiqua" w:hAnsi="Book Antiqua"/>
          <w:sz w:val="22"/>
          <w:szCs w:val="22"/>
          <w:lang w:val="fr-BE"/>
        </w:rPr>
        <w:t>VILLERS-SOUS-SAINT-LEU</w:t>
      </w:r>
      <w:r>
        <w:rPr>
          <w:rFonts w:cs="Book Antiqua" w:ascii="Book Antiqua" w:hAnsi="Book Antiqua"/>
          <w:sz w:val="22"/>
          <w:szCs w:val="22"/>
        </w:rPr>
        <w:t xml:space="preserve">, </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t>Le 30 septembre 2019,</w:t>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sz w:val="22"/>
          <w:szCs w:val="22"/>
        </w:rPr>
      </w:pPr>
      <w:r>
        <w:rPr>
          <w:rFonts w:cs="Book Antiqua" w:ascii="Book Antiqua" w:hAnsi="Book Antiqua"/>
          <w:sz w:val="22"/>
          <w:szCs w:val="22"/>
        </w:rPr>
      </w:r>
    </w:p>
    <w:p>
      <w:pPr>
        <w:pStyle w:val="Normal"/>
        <w:tabs>
          <w:tab w:val="left" w:pos="426" w:leader="none"/>
        </w:tabs>
        <w:jc w:val="both"/>
        <w:rPr>
          <w:rFonts w:ascii="Book Antiqua" w:hAnsi="Book Antiqua" w:cs="Book Antiqua"/>
          <w:b/>
          <w:b/>
          <w:sz w:val="24"/>
          <w:szCs w:val="24"/>
          <w:lang w:eastAsia="fr-FR"/>
        </w:rPr>
      </w:pPr>
      <w:r>
        <w:rPr>
          <w:rFonts w:cs="Book Antiqua" w:ascii="Book Antiqua" w:hAnsi="Book Antiqua"/>
          <w:sz w:val="22"/>
          <w:szCs w:val="22"/>
        </w:rPr>
        <w:tab/>
        <w:tab/>
        <w:tab/>
        <w:tab/>
        <w:tab/>
        <w:tab/>
        <w:tab/>
      </w:r>
    </w:p>
    <w:p>
      <w:pPr>
        <w:pStyle w:val="Sansinterligne"/>
        <w:rPr/>
      </w:pPr>
      <w:r>
        <w:rPr>
          <w:rFonts w:cs="Book Antiqua" w:ascii="Book Antiqua" w:hAnsi="Book Antiqua"/>
          <w:b/>
          <w:lang w:eastAsia="fr-FR"/>
        </w:rPr>
        <w:t xml:space="preserve">La Société </w:t>
      </w:r>
      <w:r>
        <w:rPr>
          <w:rFonts w:cs="Book Antiqua" w:ascii="Book Antiqua" w:hAnsi="Book Antiqua"/>
          <w:b/>
        </w:rPr>
        <w:t>IMERYS MINERAUX FRANCE</w:t>
      </w:r>
      <w:r>
        <w:rPr>
          <w:rFonts w:cs="Book Antiqua" w:ascii="Book Antiqua" w:hAnsi="Book Antiqua"/>
          <w:b/>
          <w:lang w:eastAsia="fr-FR"/>
        </w:rPr>
        <w:tab/>
        <w:tab/>
        <w:tab/>
        <w:tab/>
        <w:tab/>
      </w:r>
    </w:p>
    <w:p>
      <w:pPr>
        <w:pStyle w:val="Sansinterligne"/>
        <w:rPr>
          <w:rFonts w:ascii="Book Antiqua" w:hAnsi="Book Antiqua" w:cs="Book Antiqua"/>
          <w:b/>
          <w:b/>
          <w:lang w:eastAsia="fr-FR"/>
        </w:rPr>
      </w:pPr>
      <w:r>
        <w:rPr>
          <w:rFonts w:cs="Book Antiqua" w:ascii="Book Antiqua" w:hAnsi="Book Antiqua"/>
          <w:b/>
          <w:lang w:eastAsia="fr-FR"/>
        </w:rPr>
        <w:tab/>
        <w:tab/>
      </w:r>
    </w:p>
    <w:p>
      <w:pPr>
        <w:pStyle w:val="Sansinterligne"/>
        <w:rPr>
          <w:rFonts w:ascii="Book Antiqua" w:hAnsi="Book Antiqua" w:cs="Book Antiqua"/>
          <w:b/>
          <w:b/>
          <w:lang w:eastAsia="fr-FR"/>
        </w:rPr>
      </w:pPr>
      <w:r>
        <w:rPr>
          <w:rFonts w:cs="Book Antiqua" w:ascii="Book Antiqua" w:hAnsi="Book Antiqua"/>
          <w:b/>
          <w:lang w:eastAsia="fr-FR"/>
        </w:rPr>
      </w:r>
    </w:p>
    <w:p>
      <w:pPr>
        <w:pStyle w:val="Sansinterligne"/>
        <w:rPr>
          <w:rFonts w:ascii="Book Antiqua" w:hAnsi="Book Antiqua" w:cs="Book Antiqua"/>
          <w:b/>
          <w:b/>
          <w:lang w:eastAsia="fr-FR"/>
        </w:rPr>
      </w:pPr>
      <w:r>
        <w:rPr>
          <w:rFonts w:cs="Book Antiqua" w:ascii="Book Antiqua" w:hAnsi="Book Antiqua"/>
          <w:b/>
          <w:lang w:eastAsia="fr-FR"/>
        </w:rPr>
      </w:r>
    </w:p>
    <w:p>
      <w:pPr>
        <w:pStyle w:val="Sansinterligne"/>
        <w:rPr>
          <w:rFonts w:ascii="Book Antiqua" w:hAnsi="Book Antiqua" w:cs="Book Antiqua"/>
          <w:b/>
          <w:b/>
          <w:lang w:eastAsia="fr-FR"/>
        </w:rPr>
      </w:pPr>
      <w:r>
        <w:rPr>
          <w:rFonts w:cs="Book Antiqua" w:ascii="Book Antiqua" w:hAnsi="Book Antiqua"/>
          <w:b/>
          <w:lang w:eastAsia="fr-FR"/>
        </w:rPr>
      </w:r>
    </w:p>
    <w:p>
      <w:pPr>
        <w:sectPr>
          <w:headerReference w:type="default" r:id="rId2"/>
          <w:headerReference w:type="first" r:id="rId3"/>
          <w:footerReference w:type="default" r:id="rId4"/>
          <w:footerReference w:type="first" r:id="rId5"/>
          <w:type w:val="nextPage"/>
          <w:pgSz w:w="11906" w:h="16838"/>
          <w:pgMar w:left="1417" w:right="1417" w:header="720" w:top="1417" w:footer="720" w:bottom="1417" w:gutter="0"/>
          <w:pgNumType w:fmt="decimal"/>
          <w:formProt w:val="false"/>
          <w:titlePg/>
          <w:textDirection w:val="lrTb"/>
          <w:docGrid w:type="default" w:linePitch="360" w:charSpace="0"/>
        </w:sectPr>
        <w:pStyle w:val="Sansinterligne"/>
        <w:rPr/>
      </w:pPr>
      <w:r>
        <w:rPr>
          <w:rFonts w:cs="Book Antiqua" w:ascii="Book Antiqua" w:hAnsi="Book Antiqua"/>
          <w:b/>
          <w:lang w:eastAsia="fr-FR"/>
        </w:rPr>
        <w:t>Le Syndicat FO</w:t>
        <w:tab/>
        <w:tab/>
        <w:tab/>
      </w:r>
    </w:p>
    <w:p>
      <w:pPr>
        <w:pStyle w:val="Normal"/>
        <w:pBdr>
          <w:top w:val="single" w:sz="4" w:space="1" w:color="000000"/>
          <w:bottom w:val="single" w:sz="4" w:space="1" w:color="000000"/>
        </w:pBdr>
        <w:jc w:val="center"/>
        <w:rPr>
          <w:rFonts w:ascii="Book Antiqua" w:hAnsi="Book Antiqua" w:cs="Book Antiqua"/>
          <w:b/>
          <w:b/>
          <w:sz w:val="28"/>
          <w:szCs w:val="28"/>
        </w:rPr>
      </w:pPr>
      <w:r>
        <w:rPr>
          <w:rFonts w:cs="Book Antiqua" w:ascii="Book Antiqua" w:hAnsi="Book Antiqua"/>
          <w:b/>
          <w:sz w:val="28"/>
          <w:szCs w:val="28"/>
        </w:rPr>
        <w:t>ACCORD D’ENTREPRISE SUR LA DUREE DU TRAVAIL</w:t>
      </w:r>
    </w:p>
    <w:p>
      <w:pPr>
        <w:pStyle w:val="Normal"/>
        <w:pBdr>
          <w:top w:val="single" w:sz="4" w:space="1" w:color="000000"/>
          <w:bottom w:val="single" w:sz="4" w:space="1" w:color="000000"/>
        </w:pBdr>
        <w:ind w:firstLine="708"/>
        <w:jc w:val="center"/>
        <w:rPr>
          <w:rFonts w:ascii="Book Antiqua" w:hAnsi="Book Antiqua" w:cs="Book Antiqua"/>
          <w:b/>
          <w:b/>
          <w:sz w:val="28"/>
          <w:szCs w:val="28"/>
        </w:rPr>
      </w:pPr>
      <w:r>
        <w:rPr>
          <w:rFonts w:cs="Book Antiqua" w:ascii="Book Antiqua" w:hAnsi="Book Antiqua"/>
          <w:b/>
          <w:sz w:val="28"/>
          <w:szCs w:val="28"/>
        </w:rPr>
        <w:t>Etablissement de BLENDECQUES</w:t>
      </w:r>
    </w:p>
    <w:p>
      <w:pPr>
        <w:pStyle w:val="Normal"/>
        <w:pBdr>
          <w:top w:val="single" w:sz="4" w:space="1" w:color="000000"/>
          <w:bottom w:val="single" w:sz="4" w:space="1" w:color="000000"/>
        </w:pBdr>
        <w:jc w:val="center"/>
        <w:rPr>
          <w:rFonts w:ascii="Book Antiqua" w:hAnsi="Book Antiqua" w:cs="Book Antiqua"/>
          <w:b/>
          <w:b/>
          <w:sz w:val="28"/>
          <w:szCs w:val="28"/>
        </w:rPr>
      </w:pPr>
      <w:r>
        <w:rPr>
          <w:rFonts w:cs="Book Antiqua" w:ascii="Book Antiqua" w:hAnsi="Book Antiqua"/>
          <w:b/>
          <w:sz w:val="28"/>
          <w:szCs w:val="28"/>
        </w:rPr>
        <w:t>ANNEXE 1</w:t>
      </w:r>
    </w:p>
    <w:p>
      <w:pPr>
        <w:pStyle w:val="Sansinterligne"/>
        <w:rPr/>
      </w:pPr>
      <w:r>
        <w:rPr/>
        <w:t>Organisation du travail sur un cycle de 12 semaines</w:t>
      </w:r>
    </w:p>
    <w:p>
      <w:pPr>
        <w:pStyle w:val="Sansinterligne"/>
        <w:rPr/>
      </w:pPr>
      <w:r>
        <w:rPr>
          <w:lang w:val="en-GB" w:eastAsia="en-GB"/>
        </w:rPr>
        <w:drawing>
          <wp:inline distT="0" distB="0" distL="0" distR="0">
            <wp:extent cx="8895080" cy="193611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6"/>
                    <a:srcRect l="-3" t="-15" r="-3" b="-15"/>
                    <a:stretch>
                      <a:fillRect/>
                    </a:stretch>
                  </pic:blipFill>
                  <pic:spPr bwMode="auto">
                    <a:xfrm>
                      <a:off x="0" y="0"/>
                      <a:ext cx="8895080" cy="1936115"/>
                    </a:xfrm>
                    <a:prstGeom prst="rect">
                      <a:avLst/>
                    </a:prstGeom>
                  </pic:spPr>
                </pic:pic>
              </a:graphicData>
            </a:graphic>
          </wp:inline>
        </w:drawing>
      </w:r>
      <w:r>
        <w:rPr>
          <w:lang w:val="en-GB" w:eastAsia="en-GB"/>
        </w:rPr>
        <w:drawing>
          <wp:inline distT="0" distB="0" distL="0" distR="0">
            <wp:extent cx="8890635" cy="146748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7"/>
                    <a:srcRect l="-3" t="-19" r="-3" b="-19"/>
                    <a:stretch>
                      <a:fillRect/>
                    </a:stretch>
                  </pic:blipFill>
                  <pic:spPr bwMode="auto">
                    <a:xfrm>
                      <a:off x="0" y="0"/>
                      <a:ext cx="8890635" cy="1467485"/>
                    </a:xfrm>
                    <a:prstGeom prst="rect">
                      <a:avLst/>
                    </a:prstGeom>
                  </pic:spPr>
                </pic:pic>
              </a:graphicData>
            </a:graphic>
          </wp:inline>
        </w:drawing>
      </w:r>
      <w:r>
        <w:rPr>
          <w:lang w:val="en-GB" w:eastAsia="en-GB"/>
        </w:rPr>
        <w:drawing>
          <wp:inline distT="0" distB="0" distL="0" distR="0">
            <wp:extent cx="8896985" cy="145351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8"/>
                    <a:srcRect l="-3" t="-20" r="-3" b="-20"/>
                    <a:stretch>
                      <a:fillRect/>
                    </a:stretch>
                  </pic:blipFill>
                  <pic:spPr bwMode="auto">
                    <a:xfrm>
                      <a:off x="0" y="0"/>
                      <a:ext cx="8896985" cy="1453515"/>
                    </a:xfrm>
                    <a:prstGeom prst="rect">
                      <a:avLst/>
                    </a:prstGeom>
                  </pic:spPr>
                </pic:pic>
              </a:graphicData>
            </a:graphic>
          </wp:inline>
        </w:drawing>
      </w:r>
    </w:p>
    <w:sectPr>
      <w:headerReference w:type="default" r:id="rId9"/>
      <w:headerReference w:type="first" r:id="rId10"/>
      <w:footerReference w:type="default" r:id="rId11"/>
      <w:footerReference w:type="first" r:id="rId12"/>
      <w:type w:val="nextPage"/>
      <w:pgSz w:orient="landscape" w:w="16838" w:h="11906"/>
      <w:pgMar w:left="1417" w:right="1417" w:header="720" w:top="1417" w:footer="720" w:bottom="1417"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Book Antiqua">
    <w:charset w:val="00"/>
    <w:family w:val="roman"/>
    <w:pitch w:val="variable"/>
  </w:font>
  <w:font w:name="Wingdings">
    <w:charset w:val="02"/>
    <w:family w:val="auto"/>
    <w:pitch w:val="variable"/>
  </w:font>
  <w:font w:name="Courier New">
    <w:charset w:val="00"/>
    <w:family w:val="modern"/>
    <w:pitch w:val="default"/>
  </w:font>
  <w:font w:name="Segoe UI">
    <w:charset w:val="00"/>
    <w:family w:val="swiss"/>
    <w:pitch w:val="variable"/>
  </w:font>
  <w:font w:name="Liberation Sans">
    <w:altName w:val="Arial"/>
    <w:charset w:val="01"/>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8</w:t>
    </w:r>
    <w: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1</w:t>
    </w:r>
    <w: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0</w:t>
    </w:r>
    <w: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9</w:t>
    </w:r>
    <w: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Wingdings" w:hAnsi="Wingdings" w:cs="Wingdings" w:hint="default"/>
        <w:sz w:val="22"/>
        <w:szCs w:val="22"/>
        <w:rFonts w:cs="Wingdings"/>
      </w:rPr>
    </w:lvl>
  </w:abstractNum>
  <w:abstractNum w:abstractNumId="2">
    <w:lvl w:ilvl="0">
      <w:start w:val="1"/>
      <w:numFmt w:val="lowerLetter"/>
      <w:lvlText w:val="%1)"/>
      <w:lvlJc w:val="left"/>
      <w:pPr>
        <w:ind w:left="720" w:hanging="360"/>
      </w:pPr>
      <w:rPr>
        <w:rFonts w:cs="Book Antiqua"/>
      </w:rPr>
    </w:lvl>
  </w:abstractNum>
  <w:abstractNum w:abstractNumId="3">
    <w:lvl w:ilvl="0">
      <w:numFmt w:val="bullet"/>
      <w:lvlText w:val="-"/>
      <w:lvlJc w:val="left"/>
      <w:pPr>
        <w:ind w:left="1080" w:hanging="360"/>
      </w:pPr>
      <w:rPr>
        <w:rFonts w:ascii="Book Antiqua" w:hAnsi="Book Antiqua" w:cs="Book Antiqua" w:hint="default"/>
        <w:sz w:val="22"/>
        <w:szCs w:val="22"/>
        <w:rFonts w:cs="Book Antiqua"/>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isplayBackgroundShape/>
  <w:defaultTabStop w:val="708"/>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eastAsia="zh-CN" w:bidi="ar-SA"/>
    </w:rPr>
  </w:style>
  <w:style w:type="character" w:styleId="WW8Num1z0">
    <w:name w:val="WW8Num1z0"/>
    <w:qFormat/>
    <w:rPr>
      <w:rFonts w:ascii="Book Antiqua" w:hAnsi="Book Antiqua" w:cs="Times New Roman"/>
      <w:color w:val="FF0000"/>
      <w:sz w:val="22"/>
      <w:szCs w:val="22"/>
      <w:highlight w:val="yellow"/>
    </w:rPr>
  </w:style>
  <w:style w:type="character" w:styleId="WW8Num2z0">
    <w:name w:val="WW8Num2z0"/>
    <w:qFormat/>
    <w:rPr>
      <w:rFonts w:ascii="Wingdings" w:hAnsi="Wingdings" w:cs="Wingdings"/>
      <w:sz w:val="22"/>
      <w:szCs w:val="22"/>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cs="Book Antiqua"/>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Book Antiqua" w:hAnsi="Book Antiqua" w:eastAsia="Times New Roman" w:cs="Book Antiqua"/>
      <w:sz w:val="22"/>
      <w:szCs w:val="22"/>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Book Antiqua" w:hAnsi="Book Antiqua" w:eastAsia="Times New Roman" w:cs="Aria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Policepardfaut">
    <w:name w:val="Police par défaut"/>
    <w:qFormat/>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6z3">
    <w:name w:val="WW8Num6z3"/>
    <w:qFormat/>
    <w:rPr>
      <w:rFonts w:ascii="Symbol" w:hAnsi="Symbol" w:cs="Symbol"/>
    </w:rPr>
  </w:style>
  <w:style w:type="character" w:styleId="Policepardfaut1">
    <w:name w:val="Police par défaut1"/>
    <w:qFormat/>
    <w:rPr/>
  </w:style>
  <w:style w:type="character" w:styleId="PageNumber">
    <w:name w:val="Page Number"/>
    <w:basedOn w:val="Policepardfaut1"/>
    <w:rPr/>
  </w:style>
  <w:style w:type="character" w:styleId="PieddepageCar">
    <w:name w:val="Pied de page Car"/>
    <w:qFormat/>
    <w:rPr/>
  </w:style>
  <w:style w:type="character" w:styleId="InternetLink">
    <w:name w:val="Internet Link"/>
    <w:rPr>
      <w:color w:val="0563C1"/>
      <w:u w:val="single"/>
    </w:rPr>
  </w:style>
  <w:style w:type="character" w:styleId="TextedebullesCar">
    <w:name w:val="Texte de bulles Car"/>
    <w:qFormat/>
    <w:rPr>
      <w:rFonts w:ascii="Segoe UI" w:hAnsi="Segoe UI" w:cs="Segoe UI"/>
      <w:sz w:val="18"/>
      <w:szCs w:val="18"/>
    </w:rPr>
  </w:style>
  <w:style w:type="character" w:styleId="Mentionnonrsolue">
    <w:name w:val="Mention non résolue"/>
    <w:qFormat/>
    <w:rPr>
      <w:color w:val="605E5C"/>
      <w:shd w:fill="E1DFDD" w:val="clear"/>
    </w:rPr>
  </w:style>
  <w:style w:type="character" w:styleId="Marquedecommentaire">
    <w:name w:val="Marque de commentaire"/>
    <w:qFormat/>
    <w:rPr>
      <w:sz w:val="16"/>
      <w:szCs w:val="16"/>
    </w:rPr>
  </w:style>
  <w:style w:type="character" w:styleId="CommentaireCar">
    <w:name w:val="Commentaire Car"/>
    <w:qFormat/>
    <w:rPr>
      <w:lang w:eastAsia="zh-CN"/>
    </w:rPr>
  </w:style>
  <w:style w:type="character" w:styleId="ObjetducommentaireCar">
    <w:name w:val="Objet du commentaire Car"/>
    <w:qFormat/>
    <w:rPr>
      <w:b/>
      <w:bCs/>
      <w:lang w:eastAsia="zh-CN"/>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rFonts w:cs="Arial Unicode MS"/>
    </w:rPr>
  </w:style>
  <w:style w:type="paragraph" w:styleId="Titre1">
    <w:name w:val="Titre1"/>
    <w:basedOn w:val="Normal"/>
    <w:next w:val="TextBody"/>
    <w:qFormat/>
    <w:pPr>
      <w:keepNext w:val="true"/>
      <w:spacing w:before="240" w:after="120"/>
    </w:pPr>
    <w:rPr>
      <w:rFonts w:ascii="Liberation Sans;Arial" w:hAnsi="Liberation Sans;Arial" w:eastAsia="Microsoft YaHei" w:cs="Arial Unicode MS"/>
      <w:sz w:val="28"/>
      <w:szCs w:val="28"/>
    </w:rPr>
  </w:style>
  <w:style w:type="paragraph" w:styleId="Lgende">
    <w:name w:val="Légende"/>
    <w:basedOn w:val="Normal"/>
    <w:qFormat/>
    <w:pPr>
      <w:suppressLineNumbers/>
      <w:spacing w:before="120" w:after="120"/>
    </w:pPr>
    <w:rPr>
      <w:rFonts w:cs="Arial Unicode MS"/>
      <w:i/>
      <w:iCs/>
      <w:sz w:val="24"/>
      <w:szCs w:val="24"/>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Sansinterligne">
    <w:name w:val="Sans interligne"/>
    <w:qFormat/>
    <w:pPr>
      <w:widowControl/>
      <w:suppressAutoHyphens w:val="true"/>
    </w:pPr>
    <w:rPr>
      <w:rFonts w:ascii="Calibri" w:hAnsi="Calibri" w:eastAsia="Calibri" w:cs="Calibri"/>
      <w:color w:val="auto"/>
      <w:sz w:val="22"/>
      <w:szCs w:val="22"/>
      <w:lang w:val="fr-FR" w:eastAsia="zh-CN" w:bidi="ar-SA"/>
    </w:rPr>
  </w:style>
  <w:style w:type="paragraph" w:styleId="Textedebulles">
    <w:name w:val="Texte de bulles"/>
    <w:basedOn w:val="Normal"/>
    <w:qFormat/>
    <w:pPr/>
    <w:rPr>
      <w:rFonts w:ascii="Segoe UI" w:hAnsi="Segoe UI" w:cs="Segoe UI"/>
      <w:sz w:val="18"/>
      <w:szCs w:val="18"/>
    </w:rPr>
  </w:style>
  <w:style w:type="paragraph" w:styleId="Commentaire">
    <w:name w:val="Commentaire"/>
    <w:basedOn w:val="Normal"/>
    <w:qFormat/>
    <w:pPr/>
    <w:rPr/>
  </w:style>
  <w:style w:type="paragraph" w:styleId="Objetducommentaire">
    <w:name w:val="Objet du commentaire"/>
    <w:basedOn w:val="Commentaire"/>
    <w:next w:val="Commentaire"/>
    <w:qFormat/>
    <w:pPr/>
    <w:rPr>
      <w:b/>
      <w:bCs/>
    </w:rPr>
  </w:style>
  <w:style w:type="paragraph" w:styleId="Rvision">
    <w:name w:val="Révision"/>
    <w:qFormat/>
    <w:pPr>
      <w:widowControl/>
    </w:pPr>
    <w:rPr>
      <w:rFonts w:ascii="Times New Roman" w:hAnsi="Times New Roman" w:eastAsia="Times New Roman" w:cs="Times New Roman"/>
      <w:color w:val="auto"/>
      <w:sz w:val="20"/>
      <w:szCs w:val="20"/>
      <w:lang w:val="fr-FR" w:eastAsia="zh-CN" w:bidi="ar-SA"/>
    </w:rPr>
  </w:style>
  <w:style w:type="paragraph" w:styleId="HeaderLeft">
    <w:name w:val="Header Left"/>
    <w:basedOn w:val="Normal"/>
    <w:qFormat/>
    <w:pPr>
      <w:suppressLineNumbers/>
      <w:tabs>
        <w:tab w:val="center" w:pos="4536" w:leader="none"/>
        <w:tab w:val="right" w:pos="9072"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8</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2019-10-03T10:06:00Z</dcterms:created>
  <dc:creator/>
  <dc:description/>
  <dc:language>en-GB</dc:language>
  <cp:lastModifiedBy/>
  <cp:lastPrinted>2019-10-03T11:07:00Z</cp:lastPrinted>
  <dcterms:modified xsi:type="dcterms:W3CDTF">2019-10-03T10:14:00Z</dcterms:modified>
  <cp:revision>3</cp:revision>
  <dc:subject/>
  <dc:title>ACCORD D’ENTREPRISE</dc:title>
</cp:coreProperties>
</file>