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right="283" w:hanging="0"/>
        <w:rPr>
          <w:sz w:val="22"/>
          <w:szCs w:val="22"/>
        </w:rPr>
      </w:pPr>
      <w:r>
        <w:rPr>
          <w:sz w:val="22"/>
          <w:szCs w:val="22"/>
        </w:rPr>
      </w:r>
    </w:p>
    <w:p>
      <w:pPr>
        <w:pStyle w:val="Normal"/>
        <w:ind w:left="567" w:right="283" w:hanging="0"/>
        <w:rPr>
          <w:sz w:val="22"/>
          <w:szCs w:val="22"/>
        </w:rPr>
      </w:pPr>
      <w:r>
        <w:rPr>
          <w:sz w:val="22"/>
          <w:szCs w:val="22"/>
        </w:rPr>
      </w:r>
    </w:p>
    <w:p>
      <w:pPr>
        <w:pStyle w:val="Normal"/>
        <w:ind w:left="567" w:right="283" w:hanging="0"/>
        <w:rPr>
          <w:sz w:val="22"/>
          <w:szCs w:val="22"/>
        </w:rPr>
      </w:pPr>
      <w:r>
        <w:rPr>
          <w:sz w:val="22"/>
          <w:szCs w:val="22"/>
        </w:rPr>
      </w:r>
    </w:p>
    <w:p>
      <w:pPr>
        <w:pStyle w:val="Normal"/>
        <w:ind w:left="567" w:right="283" w:hanging="0"/>
        <w:rPr>
          <w:sz w:val="22"/>
          <w:szCs w:val="22"/>
        </w:rPr>
      </w:pPr>
      <w:r>
        <w:rPr>
          <w:sz w:val="22"/>
          <w:szCs w:val="22"/>
        </w:rPr>
      </w:r>
    </w:p>
    <w:p>
      <w:pPr>
        <w:pStyle w:val="Normal"/>
        <w:pBdr>
          <w:top w:val="single" w:sz="4" w:space="8" w:color="000000"/>
          <w:left w:val="single" w:sz="4" w:space="4" w:color="000000"/>
          <w:bottom w:val="single" w:sz="4" w:space="8" w:color="000000"/>
          <w:right w:val="single" w:sz="4" w:space="4" w:color="000000"/>
        </w:pBdr>
        <w:jc w:val="center"/>
        <w:rPr>
          <w:b/>
          <w:b/>
          <w:sz w:val="22"/>
          <w:szCs w:val="22"/>
        </w:rPr>
      </w:pPr>
      <w:r>
        <w:rPr>
          <w:b/>
          <w:sz w:val="22"/>
          <w:szCs w:val="22"/>
        </w:rPr>
        <w:t xml:space="preserve">ACCORD D’ENTREPRISE </w:t>
      </w:r>
    </w:p>
    <w:p>
      <w:pPr>
        <w:pStyle w:val="Normal"/>
        <w:pBdr>
          <w:top w:val="single" w:sz="4" w:space="8" w:color="000000"/>
          <w:left w:val="single" w:sz="4" w:space="4" w:color="000000"/>
          <w:bottom w:val="single" w:sz="4" w:space="8" w:color="000000"/>
          <w:right w:val="single" w:sz="4" w:space="4" w:color="000000"/>
        </w:pBdr>
        <w:jc w:val="center"/>
        <w:rPr>
          <w:b/>
          <w:b/>
          <w:sz w:val="22"/>
          <w:szCs w:val="22"/>
        </w:rPr>
      </w:pPr>
      <w:r>
        <w:rPr>
          <w:b/>
          <w:sz w:val="22"/>
          <w:szCs w:val="22"/>
        </w:rPr>
        <w:t xml:space="preserve">RELATIF A LA DUREE DU TRAVAIL </w:t>
      </w:r>
    </w:p>
    <w:p>
      <w:pPr>
        <w:pStyle w:val="Normal"/>
        <w:ind w:right="283" w:hanging="0"/>
        <w:rPr>
          <w:b/>
          <w:b/>
          <w:sz w:val="22"/>
          <w:szCs w:val="22"/>
        </w:rPr>
      </w:pPr>
      <w:r>
        <w:rPr>
          <w:b/>
          <w:sz w:val="22"/>
          <w:szCs w:val="22"/>
        </w:rPr>
      </w:r>
    </w:p>
    <w:p>
      <w:pPr>
        <w:pStyle w:val="Normal"/>
        <w:ind w:right="283" w:hanging="0"/>
        <w:rPr>
          <w:sz w:val="22"/>
          <w:szCs w:val="22"/>
        </w:rPr>
      </w:pPr>
      <w:r>
        <w:rPr>
          <w:b/>
          <w:sz w:val="22"/>
          <w:szCs w:val="22"/>
          <w:u w:val="single"/>
        </w:rPr>
        <w:t>Entre les soussignés</w:t>
      </w:r>
    </w:p>
    <w:p>
      <w:pPr>
        <w:pStyle w:val="Normal"/>
        <w:ind w:firstLine="142"/>
        <w:jc w:val="both"/>
        <w:rPr>
          <w:sz w:val="22"/>
          <w:szCs w:val="22"/>
        </w:rPr>
      </w:pPr>
      <w:r>
        <w:rPr>
          <w:sz w:val="22"/>
          <w:szCs w:val="22"/>
        </w:rPr>
        <w:t xml:space="preserve"> </w:t>
      </w:r>
    </w:p>
    <w:p>
      <w:pPr>
        <w:pStyle w:val="Normal"/>
        <w:jc w:val="both"/>
        <w:rPr/>
      </w:pPr>
      <w:r>
        <w:rPr>
          <w:b/>
          <w:iCs/>
          <w:sz w:val="22"/>
          <w:szCs w:val="22"/>
        </w:rPr>
        <w:t>La Société HIE PAYSAGE</w:t>
      </w:r>
      <w:r>
        <w:rPr>
          <w:iCs/>
          <w:sz w:val="22"/>
          <w:szCs w:val="22"/>
        </w:rPr>
        <w:t xml:space="preserve">, </w:t>
      </w:r>
    </w:p>
    <w:p>
      <w:pPr>
        <w:pStyle w:val="Normal"/>
        <w:jc w:val="both"/>
        <w:rPr/>
      </w:pPr>
      <w:r>
        <w:rPr>
          <w:iCs/>
          <w:sz w:val="22"/>
          <w:szCs w:val="22"/>
        </w:rPr>
        <w:t xml:space="preserve">SAS au capital de 150 000 Euros, </w:t>
      </w:r>
    </w:p>
    <w:p>
      <w:pPr>
        <w:pStyle w:val="Normal"/>
        <w:jc w:val="both"/>
        <w:rPr>
          <w:iCs/>
          <w:sz w:val="22"/>
          <w:szCs w:val="22"/>
        </w:rPr>
      </w:pPr>
      <w:r>
        <w:rPr>
          <w:iCs/>
          <w:sz w:val="22"/>
          <w:szCs w:val="22"/>
        </w:rPr>
        <w:t xml:space="preserve">Inscrite au RCS de COMPIEGNE sous le numéro B 384 011 623, </w:t>
      </w:r>
    </w:p>
    <w:p>
      <w:pPr>
        <w:pStyle w:val="Normal"/>
        <w:jc w:val="both"/>
        <w:rPr>
          <w:b/>
          <w:b/>
          <w:bCs/>
          <w:iCs/>
          <w:sz w:val="22"/>
          <w:szCs w:val="22"/>
        </w:rPr>
      </w:pPr>
      <w:r>
        <w:rPr>
          <w:iCs/>
          <w:sz w:val="22"/>
          <w:szCs w:val="22"/>
        </w:rPr>
        <w:t>Dont le siège social est situé RN 31, Le Bouquy, 60880 JAUX,</w:t>
      </w:r>
    </w:p>
    <w:p>
      <w:pPr>
        <w:pStyle w:val="Normal"/>
        <w:jc w:val="both"/>
        <w:rPr>
          <w:b/>
          <w:b/>
          <w:bCs/>
          <w:iCs/>
          <w:sz w:val="22"/>
          <w:szCs w:val="22"/>
        </w:rPr>
      </w:pPr>
      <w:r>
        <w:rPr>
          <w:b/>
          <w:bCs/>
          <w:iCs/>
          <w:sz w:val="22"/>
          <w:szCs w:val="22"/>
        </w:rPr>
      </w:r>
    </w:p>
    <w:p>
      <w:pPr>
        <w:pStyle w:val="Normal"/>
        <w:keepNext w:val="true"/>
        <w:numPr>
          <w:ilvl w:val="0"/>
          <w:numId w:val="0"/>
        </w:numPr>
        <w:jc w:val="both"/>
        <w:outlineLvl w:val="1"/>
        <w:rPr>
          <w:iCs/>
          <w:sz w:val="22"/>
          <w:szCs w:val="22"/>
        </w:rPr>
      </w:pPr>
      <w:r>
        <w:rPr>
          <w:iCs/>
          <w:sz w:val="22"/>
          <w:szCs w:val="22"/>
        </w:rPr>
        <w:t>Ci-après dénommée "la société" ou "l'entreprise"</w:t>
      </w:r>
    </w:p>
    <w:p>
      <w:pPr>
        <w:pStyle w:val="Normal"/>
        <w:ind w:right="283" w:hanging="0"/>
        <w:rPr>
          <w:iCs/>
          <w:sz w:val="22"/>
          <w:szCs w:val="22"/>
        </w:rPr>
      </w:pPr>
      <w:r>
        <w:rPr>
          <w:iCs/>
          <w:sz w:val="22"/>
          <w:szCs w:val="22"/>
        </w:rPr>
      </w:r>
    </w:p>
    <w:p>
      <w:pPr>
        <w:pStyle w:val="Normal"/>
        <w:ind w:right="283" w:hanging="0"/>
        <w:jc w:val="right"/>
        <w:rPr>
          <w:b/>
          <w:b/>
          <w:sz w:val="22"/>
          <w:szCs w:val="22"/>
          <w:u w:val="single"/>
        </w:rPr>
      </w:pPr>
      <w:r>
        <w:rPr>
          <w:b/>
          <w:sz w:val="22"/>
          <w:szCs w:val="22"/>
          <w:u w:val="single"/>
        </w:rPr>
        <w:t>D’une part</w:t>
      </w:r>
    </w:p>
    <w:p>
      <w:pPr>
        <w:pStyle w:val="Normal"/>
        <w:ind w:right="283" w:hanging="0"/>
        <w:rPr>
          <w:b/>
          <w:b/>
          <w:sz w:val="22"/>
          <w:szCs w:val="22"/>
          <w:u w:val="single"/>
        </w:rPr>
      </w:pPr>
      <w:r>
        <w:rPr>
          <w:b/>
          <w:sz w:val="22"/>
          <w:szCs w:val="22"/>
          <w:u w:val="single"/>
        </w:rPr>
      </w:r>
    </w:p>
    <w:p>
      <w:pPr>
        <w:pStyle w:val="Normal"/>
        <w:ind w:right="283" w:hanging="0"/>
        <w:rPr>
          <w:sz w:val="22"/>
          <w:szCs w:val="22"/>
        </w:rPr>
      </w:pPr>
      <w:r>
        <w:rPr>
          <w:sz w:val="22"/>
          <w:szCs w:val="22"/>
        </w:rPr>
      </w:r>
    </w:p>
    <w:p>
      <w:pPr>
        <w:pStyle w:val="Normal"/>
        <w:ind w:right="283" w:hanging="0"/>
        <w:rPr>
          <w:sz w:val="22"/>
          <w:szCs w:val="22"/>
        </w:rPr>
      </w:pPr>
      <w:r>
        <w:rPr>
          <w:b/>
          <w:sz w:val="22"/>
          <w:szCs w:val="22"/>
          <w:u w:val="single"/>
        </w:rPr>
        <w:t>Et</w:t>
      </w:r>
    </w:p>
    <w:p>
      <w:pPr>
        <w:pStyle w:val="Paragraphedeliste"/>
        <w:ind w:left="0" w:hanging="0"/>
        <w:rPr>
          <w:rFonts w:eastAsia="Times New Roman"/>
          <w:sz w:val="22"/>
          <w:szCs w:val="22"/>
          <w:lang w:eastAsia="fr-FR"/>
        </w:rPr>
      </w:pPr>
      <w:r>
        <w:rPr>
          <w:rFonts w:eastAsia="Times New Roman"/>
          <w:sz w:val="22"/>
          <w:szCs w:val="22"/>
          <w:lang w:eastAsia="fr-FR"/>
        </w:rPr>
      </w:r>
    </w:p>
    <w:p>
      <w:pPr>
        <w:pStyle w:val="Normal"/>
        <w:jc w:val="both"/>
        <w:rPr/>
      </w:pPr>
      <w:r>
        <w:rPr>
          <w:sz w:val="22"/>
          <w:szCs w:val="22"/>
        </w:rPr>
        <w:t>Les Représentants du Personnel, élus titulaires au Comité social et économique ayant obtenu la majorité des suffrages exprimés lors des dernières élections professionnelles,</w:t>
      </w:r>
    </w:p>
    <w:p>
      <w:pPr>
        <w:pStyle w:val="Normal"/>
        <w:rPr>
          <w:sz w:val="22"/>
          <w:szCs w:val="22"/>
        </w:rPr>
      </w:pPr>
      <w:r>
        <w:rPr>
          <w:sz w:val="22"/>
          <w:szCs w:val="22"/>
        </w:rPr>
      </w:r>
    </w:p>
    <w:p>
      <w:pPr>
        <w:pStyle w:val="Paragraphedeliste"/>
        <w:numPr>
          <w:ilvl w:val="0"/>
          <w:numId w:val="6"/>
        </w:numPr>
        <w:rPr>
          <w:szCs w:val="22"/>
        </w:rPr>
      </w:pPr>
      <w:r>
        <w:rPr>
          <w:szCs w:val="22"/>
        </w:rPr>
        <w:t>Monsieur , élu titulaire, collège TAM / Cadre</w:t>
      </w:r>
    </w:p>
    <w:p>
      <w:pPr>
        <w:pStyle w:val="Paragraphedeliste"/>
        <w:rPr>
          <w:szCs w:val="22"/>
        </w:rPr>
      </w:pPr>
      <w:r>
        <w:rPr>
          <w:szCs w:val="22"/>
        </w:rPr>
      </w:r>
    </w:p>
    <w:p>
      <w:pPr>
        <w:pStyle w:val="Normal"/>
        <w:ind w:right="283" w:hanging="0"/>
        <w:rPr>
          <w:sz w:val="22"/>
          <w:szCs w:val="22"/>
        </w:rPr>
      </w:pPr>
      <w:r>
        <w:rPr>
          <w:sz w:val="22"/>
          <w:szCs w:val="22"/>
        </w:rPr>
      </w:r>
    </w:p>
    <w:p>
      <w:pPr>
        <w:pStyle w:val="Normal"/>
        <w:ind w:right="283" w:hanging="0"/>
        <w:jc w:val="right"/>
        <w:rPr>
          <w:b/>
          <w:b/>
          <w:sz w:val="22"/>
          <w:szCs w:val="22"/>
          <w:u w:val="single"/>
        </w:rPr>
      </w:pPr>
      <w:r>
        <w:rPr>
          <w:b/>
          <w:sz w:val="22"/>
          <w:szCs w:val="22"/>
          <w:u w:val="single"/>
        </w:rPr>
        <w:t>D’autre part</w:t>
      </w:r>
    </w:p>
    <w:p>
      <w:pPr>
        <w:pStyle w:val="Normal"/>
        <w:ind w:right="283" w:hanging="0"/>
        <w:rPr>
          <w:b/>
          <w:b/>
          <w:sz w:val="22"/>
          <w:szCs w:val="22"/>
          <w:u w:val="single"/>
        </w:rPr>
      </w:pPr>
      <w:r>
        <w:rPr>
          <w:b/>
          <w:sz w:val="22"/>
          <w:szCs w:val="22"/>
          <w:u w:val="single"/>
        </w:rPr>
      </w:r>
    </w:p>
    <w:p>
      <w:pPr>
        <w:pStyle w:val="Normal"/>
        <w:ind w:right="283" w:hanging="0"/>
        <w:rPr>
          <w:sz w:val="22"/>
          <w:szCs w:val="22"/>
        </w:rPr>
      </w:pPr>
      <w:r>
        <w:rPr>
          <w:sz w:val="22"/>
          <w:szCs w:val="22"/>
        </w:rPr>
      </w:r>
    </w:p>
    <w:p>
      <w:pPr>
        <w:pStyle w:val="Normal"/>
        <w:ind w:right="283" w:hanging="0"/>
        <w:rPr>
          <w:sz w:val="22"/>
          <w:szCs w:val="22"/>
        </w:rPr>
      </w:pPr>
      <w:r>
        <w:rPr>
          <w:sz w:val="22"/>
          <w:szCs w:val="22"/>
        </w:rPr>
      </w:r>
    </w:p>
    <w:p>
      <w:pPr>
        <w:pStyle w:val="Normal"/>
        <w:ind w:right="283" w:hanging="0"/>
        <w:jc w:val="center"/>
        <w:rPr>
          <w:b/>
          <w:b/>
          <w:sz w:val="22"/>
          <w:szCs w:val="22"/>
          <w:u w:val="single"/>
        </w:rPr>
      </w:pPr>
      <w:r>
        <w:rPr>
          <w:b/>
          <w:sz w:val="22"/>
          <w:szCs w:val="22"/>
          <w:u w:val="single"/>
        </w:rPr>
        <w:t>PREAMBULE</w:t>
      </w:r>
    </w:p>
    <w:p>
      <w:pPr>
        <w:pStyle w:val="Normal"/>
        <w:ind w:right="283" w:hanging="0"/>
        <w:jc w:val="center"/>
        <w:rPr>
          <w:b/>
          <w:b/>
          <w:sz w:val="22"/>
          <w:szCs w:val="22"/>
          <w:u w:val="single"/>
        </w:rPr>
      </w:pPr>
      <w:r>
        <w:rPr>
          <w:b/>
          <w:sz w:val="22"/>
          <w:szCs w:val="22"/>
          <w:u w:val="single"/>
        </w:rPr>
      </w:r>
    </w:p>
    <w:p>
      <w:pPr>
        <w:pStyle w:val="Normal"/>
        <w:jc w:val="both"/>
        <w:rPr>
          <w:sz w:val="22"/>
          <w:szCs w:val="22"/>
        </w:rPr>
      </w:pPr>
      <w:r>
        <w:rPr>
          <w:sz w:val="22"/>
          <w:szCs w:val="22"/>
        </w:rPr>
        <w:t>La Société HIE PAYSAGE relève de la Convention collective nationale des entreprises du Paysage du 10 octobre 2008 et de l’accord national sur la durée du travail en agriculture du 23 décembre 1981.</w:t>
      </w:r>
    </w:p>
    <w:p>
      <w:pPr>
        <w:pStyle w:val="Normal"/>
        <w:jc w:val="both"/>
        <w:rPr>
          <w:sz w:val="22"/>
          <w:szCs w:val="22"/>
        </w:rPr>
      </w:pPr>
      <w:r>
        <w:rPr>
          <w:sz w:val="22"/>
          <w:szCs w:val="22"/>
        </w:rPr>
      </w:r>
    </w:p>
    <w:p>
      <w:pPr>
        <w:pStyle w:val="Normal"/>
        <w:jc w:val="both"/>
        <w:rPr/>
      </w:pPr>
      <w:r>
        <w:rPr>
          <w:sz w:val="22"/>
          <w:szCs w:val="22"/>
        </w:rPr>
        <w:t>En application de l’avenant n° 24 du 26 avril 2019 à la Convention collective nationale des entreprises du Paysage, une discussion s’est engagée entre la Société et les représentants du personnel portant principalement sur les modalités d’organisation du temps de travail.</w:t>
      </w:r>
    </w:p>
    <w:p>
      <w:pPr>
        <w:pStyle w:val="Normal"/>
        <w:jc w:val="both"/>
        <w:rPr>
          <w:sz w:val="22"/>
          <w:szCs w:val="22"/>
        </w:rPr>
      </w:pPr>
      <w:r>
        <w:rPr>
          <w:sz w:val="22"/>
          <w:szCs w:val="22"/>
        </w:rPr>
      </w:r>
    </w:p>
    <w:p>
      <w:pPr>
        <w:pStyle w:val="Normal"/>
        <w:jc w:val="both"/>
        <w:rPr>
          <w:sz w:val="22"/>
          <w:szCs w:val="22"/>
        </w:rPr>
      </w:pPr>
      <w:r>
        <w:rPr>
          <w:sz w:val="22"/>
          <w:szCs w:val="22"/>
        </w:rPr>
        <w:t xml:space="preserve">Les négociations ont été conduites dans un souci permanent d’équilibre, avec l’objectif commun de concilier d’une part les besoins de l’entreprise soumise à un environnement imprévisible et concurrentiel et d’autre part, les attentes des salariés en terme d’équilibre entre leur vie professionnelle et personnelle par une meilleure organisation du travail et par la possibilité d’accomplir des heures supplémentaires dans un cadre précis et structuré. </w:t>
      </w:r>
    </w:p>
    <w:p>
      <w:pPr>
        <w:pStyle w:val="Normal"/>
        <w:jc w:val="both"/>
        <w:rPr>
          <w:sz w:val="22"/>
          <w:szCs w:val="22"/>
        </w:rPr>
      </w:pPr>
      <w:r>
        <w:rPr>
          <w:sz w:val="22"/>
          <w:szCs w:val="22"/>
        </w:rPr>
      </w:r>
    </w:p>
    <w:p>
      <w:pPr>
        <w:pStyle w:val="Normal"/>
        <w:jc w:val="both"/>
        <w:rPr>
          <w:sz w:val="22"/>
          <w:szCs w:val="22"/>
        </w:rPr>
      </w:pPr>
      <w:r>
        <w:rPr>
          <w:sz w:val="22"/>
          <w:szCs w:val="22"/>
        </w:rPr>
        <w:t>Les propositions de l’entreprise tiennent compte des contraintes économiques, des attentes des salariés et des dispositions légales et conventionnelles.</w:t>
      </w:r>
    </w:p>
    <w:p>
      <w:pPr>
        <w:pStyle w:val="Normal"/>
        <w:jc w:val="both"/>
        <w:rPr>
          <w:sz w:val="22"/>
          <w:szCs w:val="22"/>
        </w:rPr>
      </w:pPr>
      <w:r>
        <w:rPr>
          <w:sz w:val="22"/>
          <w:szCs w:val="22"/>
        </w:rPr>
      </w:r>
    </w:p>
    <w:p>
      <w:pPr>
        <w:pStyle w:val="Normal"/>
        <w:jc w:val="both"/>
        <w:rPr>
          <w:sz w:val="22"/>
          <w:szCs w:val="22"/>
        </w:rPr>
      </w:pPr>
      <w:r>
        <w:rPr>
          <w:sz w:val="22"/>
          <w:szCs w:val="22"/>
        </w:rPr>
        <w:t>Le présent accord entend pérenniser certaines modalités préexistantes jugées satisfaisantes, améliorer celles qui peuvent l’être et en développer de nouvelles dans l’intérêt commun et concerté des parties.</w:t>
      </w:r>
    </w:p>
    <w:p>
      <w:pPr>
        <w:pStyle w:val="Normal"/>
        <w:jc w:val="both"/>
        <w:rPr>
          <w:sz w:val="22"/>
          <w:szCs w:val="22"/>
        </w:rPr>
      </w:pPr>
      <w:r>
        <w:rPr>
          <w:sz w:val="22"/>
          <w:szCs w:val="22"/>
        </w:rPr>
      </w:r>
    </w:p>
    <w:p>
      <w:pPr>
        <w:pStyle w:val="Normal"/>
        <w:jc w:val="both"/>
        <w:rPr>
          <w:sz w:val="22"/>
          <w:szCs w:val="22"/>
        </w:rPr>
      </w:pPr>
      <w:r>
        <w:rPr>
          <w:sz w:val="22"/>
          <w:szCs w:val="22"/>
        </w:rPr>
        <w:t>Le présent accord se substitue aux dispositions préexistantes (en application de conventions, d’accords ou d’usages) relatives à l’aménagement et à la durée du temps de travail au sein de l’entreprise.</w:t>
      </w:r>
    </w:p>
    <w:p>
      <w:pPr>
        <w:pStyle w:val="Normal"/>
        <w:jc w:val="both"/>
        <w:rPr>
          <w:sz w:val="22"/>
          <w:szCs w:val="22"/>
        </w:rPr>
      </w:pPr>
      <w:r>
        <w:rPr>
          <w:sz w:val="22"/>
          <w:szCs w:val="22"/>
        </w:rPr>
      </w:r>
    </w:p>
    <w:p>
      <w:pPr>
        <w:pStyle w:val="Normal"/>
        <w:jc w:val="both"/>
        <w:rPr>
          <w:sz w:val="22"/>
          <w:szCs w:val="22"/>
        </w:rPr>
      </w:pPr>
      <w:r>
        <w:rPr>
          <w:sz w:val="22"/>
          <w:szCs w:val="22"/>
        </w:rPr>
        <w:t>Le présent avenant est conclu en application de l’article L. 2232-23-1 du code du travail.</w:t>
      </w:r>
    </w:p>
    <w:p>
      <w:pPr>
        <w:pStyle w:val="Normal"/>
        <w:ind w:right="283" w:hanging="0"/>
        <w:jc w:val="both"/>
        <w:rPr>
          <w:sz w:val="22"/>
          <w:szCs w:val="22"/>
        </w:rPr>
      </w:pPr>
      <w:r>
        <w:rPr>
          <w:sz w:val="22"/>
          <w:szCs w:val="22"/>
        </w:rPr>
        <w:t xml:space="preserve"> </w:t>
      </w:r>
    </w:p>
    <w:p>
      <w:pPr>
        <w:pStyle w:val="Normal"/>
        <w:ind w:right="283" w:hanging="0"/>
        <w:jc w:val="both"/>
        <w:rPr>
          <w:sz w:val="22"/>
          <w:szCs w:val="22"/>
        </w:rPr>
      </w:pPr>
      <w:r>
        <w:rPr>
          <w:sz w:val="22"/>
          <w:szCs w:val="22"/>
        </w:rPr>
      </w:r>
    </w:p>
    <w:p>
      <w:pPr>
        <w:pStyle w:val="Normal"/>
        <w:ind w:right="283" w:hanging="0"/>
        <w:jc w:val="both"/>
        <w:rPr>
          <w:sz w:val="22"/>
          <w:szCs w:val="22"/>
        </w:rPr>
      </w:pPr>
      <w:r>
        <w:rPr>
          <w:b/>
          <w:sz w:val="22"/>
          <w:szCs w:val="22"/>
          <w:u w:val="single"/>
        </w:rPr>
        <w:t>TITRE I : CHAMP D’APPLICATION</w:t>
      </w:r>
    </w:p>
    <w:p>
      <w:pPr>
        <w:pStyle w:val="Normal"/>
        <w:ind w:right="283" w:hanging="0"/>
        <w:jc w:val="both"/>
        <w:rPr>
          <w:sz w:val="22"/>
          <w:szCs w:val="22"/>
        </w:rPr>
      </w:pPr>
      <w:r>
        <w:rPr>
          <w:sz w:val="22"/>
          <w:szCs w:val="22"/>
        </w:rPr>
      </w:r>
    </w:p>
    <w:p>
      <w:pPr>
        <w:pStyle w:val="Normal"/>
        <w:ind w:right="283" w:hanging="0"/>
        <w:jc w:val="both"/>
        <w:rPr>
          <w:sz w:val="22"/>
          <w:szCs w:val="22"/>
          <w:highlight w:val="yellow"/>
        </w:rPr>
      </w:pPr>
      <w:r>
        <w:rPr>
          <w:sz w:val="22"/>
          <w:szCs w:val="22"/>
        </w:rPr>
        <w:t>Par mesure de simplification, chaque titre ou sous-titre du présent accord précisera son propre champ d’application.</w:t>
      </w:r>
    </w:p>
    <w:p>
      <w:pPr>
        <w:pStyle w:val="Normal"/>
        <w:ind w:right="283" w:hanging="0"/>
        <w:jc w:val="both"/>
        <w:rPr>
          <w:b/>
          <w:b/>
          <w:sz w:val="22"/>
          <w:szCs w:val="22"/>
          <w:highlight w:val="yellow"/>
          <w:u w:val="single"/>
        </w:rPr>
      </w:pPr>
      <w:r>
        <w:rPr>
          <w:b/>
          <w:sz w:val="22"/>
          <w:szCs w:val="22"/>
          <w:highlight w:val="yellow"/>
          <w:u w:val="single"/>
        </w:rPr>
      </w:r>
    </w:p>
    <w:p>
      <w:pPr>
        <w:pStyle w:val="Normal"/>
        <w:ind w:right="283" w:hanging="0"/>
        <w:jc w:val="both"/>
        <w:rPr>
          <w:b/>
          <w:b/>
          <w:sz w:val="22"/>
          <w:szCs w:val="22"/>
          <w:u w:val="single"/>
        </w:rPr>
      </w:pPr>
      <w:r>
        <w:rPr>
          <w:b/>
          <w:sz w:val="22"/>
          <w:szCs w:val="22"/>
          <w:u w:val="single"/>
        </w:rPr>
      </w:r>
    </w:p>
    <w:p>
      <w:pPr>
        <w:pStyle w:val="Normal"/>
        <w:ind w:right="283" w:hanging="0"/>
        <w:jc w:val="both"/>
        <w:rPr>
          <w:b/>
          <w:b/>
          <w:sz w:val="22"/>
          <w:szCs w:val="22"/>
          <w:u w:val="single"/>
        </w:rPr>
      </w:pPr>
      <w:r>
        <w:rPr>
          <w:b/>
          <w:sz w:val="22"/>
          <w:szCs w:val="22"/>
          <w:u w:val="single"/>
        </w:rPr>
        <w:t>TITRE II – ORGANISATION DU TEMPS DE TRAVAIL DES SALARIES ITINERANTS</w:t>
      </w:r>
    </w:p>
    <w:p>
      <w:pPr>
        <w:pStyle w:val="Normal"/>
        <w:ind w:right="283" w:hanging="0"/>
        <w:jc w:val="both"/>
        <w:rPr>
          <w:b/>
          <w:b/>
          <w:sz w:val="22"/>
          <w:szCs w:val="22"/>
          <w:u w:val="single"/>
        </w:rPr>
      </w:pPr>
      <w:r>
        <w:rPr>
          <w:b/>
          <w:sz w:val="22"/>
          <w:szCs w:val="22"/>
          <w:u w:val="single"/>
        </w:rPr>
      </w:r>
    </w:p>
    <w:p>
      <w:pPr>
        <w:pStyle w:val="Normal"/>
        <w:ind w:right="283" w:hanging="0"/>
        <w:jc w:val="both"/>
        <w:rPr>
          <w:sz w:val="22"/>
          <w:szCs w:val="22"/>
        </w:rPr>
      </w:pPr>
      <w:r>
        <w:rPr>
          <w:sz w:val="22"/>
          <w:szCs w:val="22"/>
        </w:rPr>
        <w:t xml:space="preserve">Le présent titre s’applique à l’ensemble des salariés suivants : </w:t>
      </w:r>
    </w:p>
    <w:p>
      <w:pPr>
        <w:pStyle w:val="Normal"/>
        <w:ind w:right="283" w:hanging="0"/>
        <w:jc w:val="both"/>
        <w:rPr>
          <w:sz w:val="22"/>
          <w:szCs w:val="22"/>
        </w:rPr>
      </w:pPr>
      <w:r>
        <w:rPr>
          <w:sz w:val="22"/>
          <w:szCs w:val="22"/>
        </w:rPr>
      </w:r>
    </w:p>
    <w:p>
      <w:pPr>
        <w:pStyle w:val="Normal"/>
        <w:ind w:right="283" w:firstLine="284"/>
        <w:jc w:val="both"/>
        <w:rPr>
          <w:sz w:val="22"/>
          <w:szCs w:val="22"/>
        </w:rPr>
      </w:pPr>
      <w:r>
        <w:rPr>
          <w:sz w:val="22"/>
          <w:szCs w:val="22"/>
        </w:rPr>
        <w:t>-</w:t>
        <w:tab/>
        <w:t>Aux ouvriers, positions O.1 à O.6 de la Convention collective des entreprises du Paysage,</w:t>
      </w:r>
    </w:p>
    <w:p>
      <w:pPr>
        <w:pStyle w:val="Normal"/>
        <w:ind w:right="283" w:firstLine="284"/>
        <w:jc w:val="both"/>
        <w:rPr>
          <w:sz w:val="22"/>
          <w:szCs w:val="22"/>
        </w:rPr>
      </w:pPr>
      <w:r>
        <w:rPr>
          <w:sz w:val="22"/>
          <w:szCs w:val="22"/>
        </w:rPr>
        <w:t>-</w:t>
        <w:tab/>
        <w:t>Ainsi qu’aux Techniciens Agents de Maitrise, positions TAM 1 à TAM 4 de la Convention collective des entreprises du Paysage, non titulaires d’une convention de forfait annuel en jours ou en heures.</w:t>
      </w:r>
    </w:p>
    <w:p>
      <w:pPr>
        <w:pStyle w:val="Normal"/>
        <w:ind w:right="283" w:hanging="0"/>
        <w:jc w:val="both"/>
        <w:rPr>
          <w:sz w:val="22"/>
          <w:szCs w:val="22"/>
        </w:rPr>
      </w:pPr>
      <w:r>
        <w:rPr>
          <w:sz w:val="22"/>
          <w:szCs w:val="22"/>
        </w:rPr>
      </w:r>
    </w:p>
    <w:p>
      <w:pPr>
        <w:pStyle w:val="Normal"/>
        <w:ind w:right="283" w:hanging="0"/>
        <w:jc w:val="both"/>
        <w:rPr>
          <w:sz w:val="22"/>
          <w:szCs w:val="22"/>
        </w:rPr>
      </w:pPr>
      <w:r>
        <w:rPr>
          <w:sz w:val="22"/>
          <w:szCs w:val="22"/>
        </w:rPr>
        <w:t>Il s’applique aux salariés liés par un contrat de travail à durée indéterminée ou par un contrat de travail à durée déterminée, quel qu’en soit le motif, y compris aux apprentis.</w:t>
      </w:r>
    </w:p>
    <w:p>
      <w:pPr>
        <w:pStyle w:val="Normal"/>
        <w:ind w:right="283" w:hanging="0"/>
        <w:jc w:val="both"/>
        <w:rPr>
          <w:b/>
          <w:b/>
          <w:sz w:val="22"/>
          <w:szCs w:val="22"/>
          <w:u w:val="single"/>
        </w:rPr>
      </w:pPr>
      <w:r>
        <w:rPr>
          <w:b/>
          <w:sz w:val="22"/>
          <w:szCs w:val="22"/>
          <w:u w:val="single"/>
        </w:rPr>
      </w:r>
    </w:p>
    <w:p>
      <w:pPr>
        <w:pStyle w:val="Normal"/>
        <w:ind w:right="283" w:hanging="0"/>
        <w:jc w:val="both"/>
        <w:rPr>
          <w:b/>
          <w:b/>
          <w:sz w:val="22"/>
          <w:szCs w:val="22"/>
          <w:u w:val="single"/>
        </w:rPr>
      </w:pPr>
      <w:r>
        <w:rPr>
          <w:b/>
          <w:sz w:val="22"/>
          <w:szCs w:val="22"/>
          <w:u w:val="single"/>
        </w:rPr>
      </w:r>
    </w:p>
    <w:p>
      <w:pPr>
        <w:pStyle w:val="Normal"/>
        <w:ind w:right="283" w:hanging="0"/>
        <w:jc w:val="both"/>
        <w:rPr>
          <w:b/>
          <w:b/>
          <w:sz w:val="22"/>
          <w:szCs w:val="22"/>
          <w:u w:val="single"/>
        </w:rPr>
      </w:pPr>
      <w:r>
        <w:rPr>
          <w:b/>
          <w:sz w:val="22"/>
          <w:szCs w:val="22"/>
          <w:u w:val="single"/>
        </w:rPr>
        <w:t>Article 1 – Modalités d’organisation du travail dans l’entreprise</w:t>
      </w:r>
    </w:p>
    <w:p>
      <w:pPr>
        <w:pStyle w:val="Normal"/>
        <w:ind w:right="283" w:hanging="0"/>
        <w:jc w:val="both"/>
        <w:rPr>
          <w:b/>
          <w:b/>
          <w:sz w:val="22"/>
          <w:szCs w:val="22"/>
          <w:u w:val="single"/>
        </w:rPr>
      </w:pPr>
      <w:r>
        <w:rPr>
          <w:b/>
          <w:sz w:val="22"/>
          <w:szCs w:val="22"/>
          <w:u w:val="single"/>
        </w:rPr>
      </w:r>
    </w:p>
    <w:p>
      <w:pPr>
        <w:pStyle w:val="Normal"/>
        <w:jc w:val="both"/>
        <w:rPr>
          <w:sz w:val="22"/>
        </w:rPr>
      </w:pPr>
      <w:r>
        <w:rPr>
          <w:sz w:val="22"/>
        </w:rPr>
        <w:t xml:space="preserve">Lors de la négociation du présent accord, plusieurs modalités d’organisation du travail ont été constatées, envisagées et étudiées entre les parties. </w:t>
      </w:r>
    </w:p>
    <w:p>
      <w:pPr>
        <w:pStyle w:val="Normal"/>
        <w:jc w:val="both"/>
        <w:rPr>
          <w:sz w:val="22"/>
        </w:rPr>
      </w:pPr>
      <w:r>
        <w:rPr>
          <w:sz w:val="22"/>
        </w:rPr>
      </w:r>
    </w:p>
    <w:p>
      <w:pPr>
        <w:pStyle w:val="Normal"/>
        <w:jc w:val="both"/>
        <w:rPr>
          <w:sz w:val="22"/>
        </w:rPr>
      </w:pPr>
      <w:r>
        <w:rPr>
          <w:sz w:val="22"/>
        </w:rPr>
        <w:t xml:space="preserve">L’objectif partagé était de retenir l’organisation la plus adaptée aux attentes respectives de l’entreprise et des salariés. Etant entendu que la volonté des salariés était d’aboutir à une organisation favorisant les retours de chantiers les moins tardifs. Et la volonté de l’entreprise était d’aboutir à une organisation permettant de maintenir sa compétitivité en maîtrisant ses charges dans un contexte fortement concurrentiel. </w:t>
      </w:r>
    </w:p>
    <w:p>
      <w:pPr>
        <w:pStyle w:val="Normal"/>
        <w:jc w:val="both"/>
        <w:rPr>
          <w:sz w:val="22"/>
        </w:rPr>
      </w:pPr>
      <w:r>
        <w:rPr>
          <w:sz w:val="22"/>
        </w:rPr>
      </w:r>
    </w:p>
    <w:p>
      <w:pPr>
        <w:pStyle w:val="Normal"/>
        <w:jc w:val="both"/>
        <w:rPr>
          <w:sz w:val="22"/>
        </w:rPr>
      </w:pPr>
      <w:r>
        <w:rPr>
          <w:sz w:val="22"/>
        </w:rPr>
        <w:t xml:space="preserve">Ainsi, selon les modalités d’organisation négociées dans le cadre du présent accord : </w:t>
      </w:r>
    </w:p>
    <w:p>
      <w:pPr>
        <w:pStyle w:val="Normal"/>
        <w:jc w:val="both"/>
        <w:rPr>
          <w:sz w:val="22"/>
        </w:rPr>
      </w:pPr>
      <w:r>
        <w:rPr>
          <w:sz w:val="22"/>
        </w:rPr>
      </w:r>
    </w:p>
    <w:p>
      <w:pPr>
        <w:pStyle w:val="Normal"/>
        <w:numPr>
          <w:ilvl w:val="0"/>
          <w:numId w:val="4"/>
        </w:numPr>
        <w:spacing w:before="0" w:after="0"/>
        <w:contextualSpacing/>
        <w:jc w:val="both"/>
        <w:rPr>
          <w:rFonts w:eastAsia="Calibri"/>
          <w:sz w:val="22"/>
          <w:szCs w:val="20"/>
          <w:lang w:eastAsia="en-US"/>
        </w:rPr>
      </w:pPr>
      <w:r>
        <w:rPr>
          <w:rFonts w:eastAsia="Calibri"/>
          <w:sz w:val="22"/>
          <w:szCs w:val="20"/>
          <w:lang w:eastAsia="en-US"/>
        </w:rPr>
        <w:t>Les salariés, quelles que soient leurs fonctions, ne sont pas contraints de passer préalablement au siège, à l’agence ou au dépôt avant de se rendre sur les chantiers,</w:t>
      </w:r>
    </w:p>
    <w:p>
      <w:pPr>
        <w:pStyle w:val="Normal"/>
        <w:spacing w:before="0" w:after="0"/>
        <w:ind w:left="720" w:hanging="0"/>
        <w:contextualSpacing/>
        <w:jc w:val="both"/>
        <w:rPr>
          <w:rFonts w:eastAsia="Calibri"/>
          <w:sz w:val="22"/>
          <w:szCs w:val="20"/>
          <w:lang w:eastAsia="en-US"/>
        </w:rPr>
      </w:pPr>
      <w:r>
        <w:rPr>
          <w:rFonts w:eastAsia="Calibri"/>
          <w:sz w:val="22"/>
          <w:szCs w:val="20"/>
          <w:lang w:eastAsia="en-US"/>
        </w:rPr>
      </w:r>
    </w:p>
    <w:p>
      <w:pPr>
        <w:pStyle w:val="Normal"/>
        <w:numPr>
          <w:ilvl w:val="0"/>
          <w:numId w:val="4"/>
        </w:numPr>
        <w:spacing w:before="0" w:after="0"/>
        <w:contextualSpacing/>
        <w:jc w:val="both"/>
        <w:rPr>
          <w:rFonts w:eastAsia="Calibri"/>
          <w:sz w:val="22"/>
          <w:szCs w:val="20"/>
          <w:lang w:eastAsia="en-US"/>
        </w:rPr>
      </w:pPr>
      <w:r>
        <w:rPr>
          <w:rFonts w:eastAsia="Calibri"/>
          <w:sz w:val="22"/>
          <w:szCs w:val="20"/>
          <w:lang w:eastAsia="en-US"/>
        </w:rPr>
        <w:t xml:space="preserve">Il n’existe pas de salarié dédié à la conduite des véhicules pour se rendre sur les chantiers. </w:t>
      </w:r>
    </w:p>
    <w:p>
      <w:pPr>
        <w:pStyle w:val="Normal"/>
        <w:jc w:val="both"/>
        <w:rPr>
          <w:rFonts w:eastAsia="Calibri"/>
          <w:sz w:val="22"/>
          <w:szCs w:val="20"/>
          <w:lang w:eastAsia="en-US"/>
        </w:rPr>
      </w:pPr>
      <w:r>
        <w:rPr>
          <w:rFonts w:eastAsia="Calibri"/>
          <w:sz w:val="22"/>
          <w:szCs w:val="20"/>
          <w:lang w:eastAsia="en-US"/>
        </w:rPr>
      </w:r>
    </w:p>
    <w:p>
      <w:pPr>
        <w:pStyle w:val="Normal"/>
        <w:jc w:val="both"/>
        <w:rPr>
          <w:sz w:val="22"/>
        </w:rPr>
      </w:pPr>
      <w:r>
        <w:rPr>
          <w:sz w:val="22"/>
        </w:rPr>
        <w:t xml:space="preserve">En effet, les modalités d’organisation constatées préalablement à la rédaction du présent accord font apparaitre que les salariés ont le choix de se rendre directement sur les chantiers par leurs propres moyens ou de passer préalablement au siège, au dépôt ou à l’agence pour bénéficier des moyens de transports mis à leur disposition par l’entreprise. </w:t>
      </w:r>
    </w:p>
    <w:p>
      <w:pPr>
        <w:pStyle w:val="Normal"/>
        <w:jc w:val="both"/>
        <w:rPr>
          <w:sz w:val="22"/>
        </w:rPr>
      </w:pPr>
      <w:r>
        <w:rPr>
          <w:sz w:val="22"/>
        </w:rPr>
      </w:r>
    </w:p>
    <w:p>
      <w:pPr>
        <w:pStyle w:val="Normal"/>
        <w:jc w:val="both"/>
        <w:rPr>
          <w:sz w:val="22"/>
        </w:rPr>
      </w:pPr>
      <w:r>
        <w:rPr>
          <w:sz w:val="22"/>
        </w:rPr>
        <w:t>Les salariés devront affirmer leur choix par un questionnaire signé, préalablement remis par l’entreprise.</w:t>
      </w:r>
    </w:p>
    <w:p>
      <w:pPr>
        <w:pStyle w:val="Normal"/>
        <w:jc w:val="both"/>
        <w:rPr>
          <w:sz w:val="22"/>
        </w:rPr>
      </w:pPr>
      <w:r>
        <w:rPr>
          <w:sz w:val="22"/>
        </w:rPr>
      </w:r>
    </w:p>
    <w:p>
      <w:pPr>
        <w:pStyle w:val="Normal"/>
        <w:ind w:right="283" w:hanging="0"/>
        <w:jc w:val="both"/>
        <w:rPr>
          <w:sz w:val="22"/>
          <w:szCs w:val="22"/>
        </w:rPr>
      </w:pPr>
      <w:r>
        <w:rPr>
          <w:sz w:val="22"/>
        </w:rPr>
        <w:t>Durant le temps de trajet pour se rendre sur les chantiers, les salariés ne sont pas à la disposition de l’employeur, ne sont pas tenus de se conformer à ses directives et peuvent le cas échéant vaquer à des occupations personnelles</w:t>
      </w:r>
      <w:r>
        <w:rPr>
          <w:sz w:val="22"/>
          <w:szCs w:val="22"/>
        </w:rPr>
        <w:t>.</w:t>
      </w:r>
    </w:p>
    <w:p>
      <w:pPr>
        <w:pStyle w:val="Normal"/>
        <w:ind w:right="283" w:hanging="0"/>
        <w:jc w:val="both"/>
        <w:rPr>
          <w:sz w:val="22"/>
          <w:szCs w:val="22"/>
        </w:rPr>
      </w:pPr>
      <w:r>
        <w:rPr>
          <w:sz w:val="22"/>
          <w:szCs w:val="22"/>
        </w:rPr>
      </w:r>
    </w:p>
    <w:p>
      <w:pPr>
        <w:pStyle w:val="Normal"/>
        <w:ind w:right="283" w:hanging="0"/>
        <w:jc w:val="both"/>
        <w:rPr>
          <w:sz w:val="22"/>
          <w:szCs w:val="22"/>
        </w:rPr>
      </w:pPr>
      <w:r>
        <w:rPr>
          <w:sz w:val="22"/>
          <w:szCs w:val="22"/>
        </w:rPr>
      </w:r>
    </w:p>
    <w:p>
      <w:pPr>
        <w:pStyle w:val="Normal"/>
        <w:ind w:right="283" w:hanging="0"/>
        <w:jc w:val="both"/>
        <w:rPr>
          <w:b/>
          <w:b/>
          <w:sz w:val="22"/>
          <w:szCs w:val="22"/>
          <w:u w:val="single"/>
        </w:rPr>
      </w:pPr>
      <w:r>
        <w:rPr>
          <w:b/>
          <w:sz w:val="22"/>
          <w:szCs w:val="22"/>
          <w:u w:val="single"/>
        </w:rPr>
        <w:t>Article 2 – Temps de chargement / déchargement – Préparation du chantier</w:t>
      </w:r>
    </w:p>
    <w:p>
      <w:pPr>
        <w:pStyle w:val="Normal"/>
        <w:ind w:right="283" w:hanging="0"/>
        <w:jc w:val="both"/>
        <w:rPr>
          <w:b/>
          <w:b/>
          <w:sz w:val="22"/>
          <w:szCs w:val="22"/>
          <w:u w:val="single"/>
        </w:rPr>
      </w:pPr>
      <w:r>
        <w:rPr>
          <w:b/>
          <w:sz w:val="22"/>
          <w:szCs w:val="22"/>
          <w:u w:val="single"/>
        </w:rPr>
      </w:r>
    </w:p>
    <w:p>
      <w:pPr>
        <w:pStyle w:val="Normal"/>
        <w:ind w:right="283" w:hanging="0"/>
        <w:jc w:val="both"/>
        <w:rPr>
          <w:sz w:val="22"/>
          <w:szCs w:val="22"/>
        </w:rPr>
      </w:pPr>
      <w:r>
        <w:rPr>
          <w:sz w:val="22"/>
          <w:szCs w:val="22"/>
        </w:rPr>
        <w:t xml:space="preserve">Outre le temps de travail effectif sur les chantiers, l’ensemble du personnel de production peut être amené à accomplir des travaux de chargement/déchargement du matériel et de préparation des véhicules au dépôt (véhicules légers et/ou camions) et à prendre les instructions nécessaires à la réalisation de leurs missions. </w:t>
      </w:r>
    </w:p>
    <w:p>
      <w:pPr>
        <w:pStyle w:val="Normal"/>
        <w:ind w:right="283" w:hanging="0"/>
        <w:jc w:val="both"/>
        <w:rPr>
          <w:sz w:val="22"/>
          <w:szCs w:val="22"/>
        </w:rPr>
      </w:pPr>
      <w:r>
        <w:rPr>
          <w:sz w:val="22"/>
          <w:szCs w:val="22"/>
        </w:rPr>
      </w:r>
    </w:p>
    <w:p>
      <w:pPr>
        <w:pStyle w:val="Normal"/>
        <w:ind w:right="283" w:hanging="0"/>
        <w:jc w:val="both"/>
        <w:rPr/>
      </w:pPr>
      <w:r>
        <w:rPr>
          <w:sz w:val="22"/>
          <w:szCs w:val="22"/>
        </w:rPr>
        <w:t>Ces tâches constituent un temps de travail effectif qui est intégré dans la durée du travail mentionnée sur les fiches de relevé d’heures quotidiennes.</w:t>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b/>
          <w:b/>
          <w:sz w:val="22"/>
          <w:szCs w:val="22"/>
          <w:u w:val="single"/>
        </w:rPr>
      </w:pPr>
      <w:r>
        <w:rPr>
          <w:b/>
          <w:sz w:val="22"/>
          <w:szCs w:val="22"/>
          <w:u w:val="single"/>
        </w:rPr>
        <w:t xml:space="preserve">Article 3 – Déplacements pour se rendre sur les chantiers </w:t>
      </w:r>
    </w:p>
    <w:p>
      <w:pPr>
        <w:pStyle w:val="Normal"/>
        <w:ind w:right="283" w:hanging="0"/>
        <w:jc w:val="both"/>
        <w:rPr>
          <w:b/>
          <w:b/>
          <w:sz w:val="22"/>
          <w:szCs w:val="22"/>
          <w:u w:val="single"/>
        </w:rPr>
      </w:pPr>
      <w:r>
        <w:rPr>
          <w:b/>
          <w:sz w:val="22"/>
          <w:szCs w:val="22"/>
          <w:u w:val="single"/>
        </w:rPr>
      </w:r>
    </w:p>
    <w:p>
      <w:pPr>
        <w:pStyle w:val="Normal"/>
        <w:jc w:val="both"/>
        <w:rPr>
          <w:sz w:val="22"/>
          <w:szCs w:val="22"/>
        </w:rPr>
      </w:pPr>
      <w:r>
        <w:rPr>
          <w:sz w:val="22"/>
          <w:szCs w:val="22"/>
        </w:rPr>
        <w:t>Pour les salariés qui choisissent de passer au siège, à l’agence ou au dépôt pour être transportés sur les chantiers, il est convenu entre les parties que constitue un temps « normal » de trajet celui qui les éloigne de moins de 50 km (appréciation en rayon) du chantier.</w:t>
      </w:r>
    </w:p>
    <w:p>
      <w:pPr>
        <w:pStyle w:val="Normal"/>
        <w:jc w:val="both"/>
        <w:rPr>
          <w:sz w:val="22"/>
          <w:szCs w:val="22"/>
        </w:rPr>
      </w:pPr>
      <w:r>
        <w:rPr>
          <w:sz w:val="22"/>
          <w:szCs w:val="22"/>
        </w:rPr>
      </w:r>
    </w:p>
    <w:p>
      <w:pPr>
        <w:pStyle w:val="Normal"/>
        <w:jc w:val="both"/>
        <w:rPr>
          <w:sz w:val="22"/>
          <w:szCs w:val="22"/>
        </w:rPr>
      </w:pPr>
      <w:r>
        <w:rPr>
          <w:sz w:val="22"/>
          <w:szCs w:val="22"/>
        </w:rPr>
        <w:t xml:space="preserve">Le temps nécessaire aux trajets entre le siège, l’agence ou le dépôt et le lieu de travail qu’est le chantier ne constitue pas du temps de travail effectif dès lors que le salarié n’est pas contraint de passer préalablement par le siège, l’agence ou le dépôt. </w:t>
      </w:r>
    </w:p>
    <w:p>
      <w:pPr>
        <w:pStyle w:val="Normal"/>
        <w:jc w:val="both"/>
        <w:rPr>
          <w:sz w:val="22"/>
          <w:szCs w:val="22"/>
        </w:rPr>
      </w:pPr>
      <w:r>
        <w:rPr>
          <w:sz w:val="22"/>
          <w:szCs w:val="22"/>
        </w:rPr>
      </w:r>
    </w:p>
    <w:p>
      <w:pPr>
        <w:pStyle w:val="Normal"/>
        <w:jc w:val="both"/>
        <w:rPr>
          <w:sz w:val="22"/>
          <w:szCs w:val="22"/>
        </w:rPr>
      </w:pPr>
      <w:r>
        <w:rPr>
          <w:sz w:val="22"/>
          <w:szCs w:val="22"/>
        </w:rPr>
        <w:t>Leur temps de travail effectif est décompté entre l’heure d’arrivée sur le premier chantier et l’heure de départ du dernier chantier, déduction faite des temps de pause.</w:t>
      </w:r>
    </w:p>
    <w:p>
      <w:pPr>
        <w:pStyle w:val="Normal"/>
        <w:jc w:val="both"/>
        <w:rPr>
          <w:sz w:val="22"/>
          <w:szCs w:val="22"/>
        </w:rPr>
      </w:pPr>
      <w:r>
        <w:rPr>
          <w:sz w:val="22"/>
          <w:szCs w:val="22"/>
        </w:rPr>
      </w:r>
    </w:p>
    <w:p>
      <w:pPr>
        <w:pStyle w:val="Normal"/>
        <w:jc w:val="both"/>
        <w:rPr>
          <w:sz w:val="22"/>
          <w:szCs w:val="22"/>
        </w:rPr>
      </w:pPr>
      <w:r>
        <w:rPr>
          <w:sz w:val="22"/>
          <w:szCs w:val="22"/>
        </w:rPr>
        <w:t>Le point de départ du temps de travail effectif est par conséquent fonction de l’heure d’arrivée sur les chantiers.</w:t>
      </w:r>
    </w:p>
    <w:p>
      <w:pPr>
        <w:pStyle w:val="Normal"/>
        <w:jc w:val="both"/>
        <w:rPr>
          <w:sz w:val="22"/>
          <w:szCs w:val="22"/>
        </w:rPr>
      </w:pPr>
      <w:r>
        <w:rPr>
          <w:sz w:val="22"/>
          <w:szCs w:val="22"/>
        </w:rPr>
      </w:r>
    </w:p>
    <w:p>
      <w:pPr>
        <w:pStyle w:val="Normal"/>
        <w:spacing w:before="0" w:after="0"/>
        <w:contextualSpacing/>
        <w:jc w:val="both"/>
        <w:rPr/>
      </w:pPr>
      <w:r>
        <w:rPr>
          <w:sz w:val="22"/>
          <w:szCs w:val="22"/>
        </w:rPr>
        <w:t xml:space="preserve">Si les salariés choisissent de </w:t>
      </w:r>
      <w:r>
        <w:rPr>
          <w:rFonts w:eastAsia="Calibri"/>
          <w:sz w:val="22"/>
          <w:szCs w:val="22"/>
          <w:lang w:eastAsia="en-US"/>
        </w:rPr>
        <w:t>se rendre directement sur les chantiers par leurs propres moyens, ils perçoivent pour leurs frais de repas, et s’ils ne déjeunent ni à l’entreprise ni à leur domicile, une indemnité de panier dont le montant est égal à la valeur de 2,5 MG en vigueur au 1</w:t>
      </w:r>
      <w:r>
        <w:rPr>
          <w:rFonts w:eastAsia="Calibri"/>
          <w:sz w:val="22"/>
          <w:szCs w:val="22"/>
          <w:vertAlign w:val="superscript"/>
          <w:lang w:eastAsia="en-US"/>
        </w:rPr>
        <w:t>er</w:t>
      </w:r>
      <w:r>
        <w:rPr>
          <w:rFonts w:eastAsia="Calibri"/>
          <w:sz w:val="22"/>
          <w:szCs w:val="22"/>
          <w:lang w:eastAsia="en-US"/>
        </w:rPr>
        <w:t xml:space="preserve"> janvier de l’année en cours.</w:t>
      </w:r>
    </w:p>
    <w:p>
      <w:pPr>
        <w:pStyle w:val="Normal"/>
        <w:spacing w:before="0" w:after="0"/>
        <w:ind w:left="1271" w:hanging="0"/>
        <w:contextualSpacing/>
        <w:jc w:val="both"/>
        <w:rPr>
          <w:rFonts w:eastAsia="Calibri"/>
          <w:sz w:val="22"/>
          <w:szCs w:val="22"/>
          <w:lang w:eastAsia="en-US"/>
        </w:rPr>
      </w:pPr>
      <w:r>
        <w:rPr>
          <w:rFonts w:eastAsia="Calibri"/>
          <w:sz w:val="22"/>
          <w:szCs w:val="22"/>
          <w:lang w:eastAsia="en-US"/>
        </w:rPr>
      </w:r>
    </w:p>
    <w:p>
      <w:pPr>
        <w:pStyle w:val="Normal"/>
        <w:spacing w:before="0" w:after="0"/>
        <w:contextualSpacing/>
        <w:jc w:val="both"/>
        <w:rPr>
          <w:rFonts w:eastAsia="Calibri"/>
          <w:sz w:val="22"/>
          <w:szCs w:val="22"/>
          <w:lang w:eastAsia="en-US"/>
        </w:rPr>
      </w:pPr>
      <w:r>
        <w:rPr>
          <w:rFonts w:eastAsia="Calibri"/>
          <w:sz w:val="22"/>
          <w:szCs w:val="22"/>
          <w:lang w:eastAsia="en-US"/>
        </w:rPr>
        <w:t>S’ils choisissent de se rendre au siège, au dépôt ou à l’agence pour être transportés par les moyens de l’Entreprise sur les chantiers, ils sont indemnisés dans les conditions suivantes issues de la convention collective :</w:t>
      </w:r>
    </w:p>
    <w:p>
      <w:pPr>
        <w:pStyle w:val="Normal"/>
        <w:jc w:val="both"/>
        <w:rPr>
          <w:rFonts w:eastAsia="Calibri"/>
          <w:b/>
          <w:b/>
          <w:i/>
          <w:i/>
          <w:sz w:val="22"/>
          <w:szCs w:val="22"/>
          <w:lang w:eastAsia="en-US"/>
        </w:rPr>
      </w:pPr>
      <w:r>
        <w:rPr>
          <w:rFonts w:eastAsia="Calibri"/>
          <w:b/>
          <w:i/>
          <w:sz w:val="22"/>
          <w:szCs w:val="22"/>
          <w:lang w:eastAsia="en-US"/>
        </w:rPr>
      </w:r>
    </w:p>
    <w:p>
      <w:pPr>
        <w:pStyle w:val="Normal"/>
        <w:numPr>
          <w:ilvl w:val="0"/>
          <w:numId w:val="2"/>
        </w:numPr>
        <w:spacing w:lineRule="auto" w:line="256" w:before="0" w:after="160"/>
        <w:contextualSpacing/>
        <w:jc w:val="both"/>
        <w:rPr>
          <w:rFonts w:eastAsia="Calibri"/>
          <w:sz w:val="22"/>
          <w:szCs w:val="22"/>
          <w:lang w:eastAsia="en-US"/>
        </w:rPr>
      </w:pPr>
      <w:r>
        <w:rPr>
          <w:rFonts w:eastAsia="Calibri"/>
          <w:sz w:val="22"/>
          <w:szCs w:val="22"/>
          <w:lang w:eastAsia="en-US"/>
        </w:rPr>
        <w:t>Dans la limite du temps normal de trajet, le salarié est globalement indemnisé de ses frais de panier et de déplacement par le biais d’une indemnité pour petit déplacement fixée à la date des présentes comme suit par la convention collective :</w:t>
      </w:r>
    </w:p>
    <w:p>
      <w:pPr>
        <w:pStyle w:val="Normal"/>
        <w:ind w:left="1560" w:hanging="0"/>
        <w:jc w:val="both"/>
        <w:rPr>
          <w:rFonts w:eastAsia="Calibri"/>
          <w:sz w:val="22"/>
          <w:szCs w:val="22"/>
          <w:lang w:eastAsia="en-US"/>
        </w:rPr>
      </w:pPr>
      <w:r>
        <w:rPr>
          <w:rFonts w:eastAsia="Calibri"/>
          <w:sz w:val="22"/>
          <w:szCs w:val="22"/>
          <w:lang w:eastAsia="en-US"/>
        </w:rPr>
      </w:r>
    </w:p>
    <w:p>
      <w:pPr>
        <w:pStyle w:val="Normal"/>
        <w:numPr>
          <w:ilvl w:val="0"/>
          <w:numId w:val="3"/>
        </w:numPr>
        <w:spacing w:lineRule="auto" w:line="256" w:before="0" w:after="160"/>
        <w:ind w:left="1418" w:hanging="360"/>
        <w:contextualSpacing/>
        <w:jc w:val="both"/>
        <w:rPr>
          <w:rFonts w:eastAsia="Calibri"/>
          <w:sz w:val="22"/>
          <w:szCs w:val="22"/>
          <w:lang w:eastAsia="en-US"/>
        </w:rPr>
      </w:pPr>
      <w:r>
        <w:rPr>
          <w:rFonts w:eastAsia="Calibri"/>
          <w:sz w:val="22"/>
          <w:szCs w:val="22"/>
          <w:lang w:eastAsia="en-US"/>
        </w:rPr>
        <w:t>Zone 1, soit dans un rayon de 0 à 5 km du siège ou du dépôt jusqu’au chantier : 3 MG</w:t>
      </w:r>
    </w:p>
    <w:p>
      <w:pPr>
        <w:pStyle w:val="Normal"/>
        <w:numPr>
          <w:ilvl w:val="0"/>
          <w:numId w:val="3"/>
        </w:numPr>
        <w:spacing w:lineRule="auto" w:line="256" w:before="0" w:after="160"/>
        <w:ind w:left="1418" w:hanging="360"/>
        <w:contextualSpacing/>
        <w:jc w:val="both"/>
        <w:rPr>
          <w:rFonts w:eastAsia="Calibri"/>
          <w:sz w:val="22"/>
          <w:szCs w:val="22"/>
          <w:lang w:eastAsia="en-US"/>
        </w:rPr>
      </w:pPr>
      <w:r>
        <w:rPr>
          <w:rFonts w:eastAsia="Calibri"/>
          <w:sz w:val="22"/>
          <w:szCs w:val="22"/>
          <w:lang w:eastAsia="en-US"/>
        </w:rPr>
        <w:t>Zone 2, soit dans un rayon de plus de 5 km jusqu’à 20 km : 4,5  MG</w:t>
      </w:r>
    </w:p>
    <w:p>
      <w:pPr>
        <w:pStyle w:val="Normal"/>
        <w:numPr>
          <w:ilvl w:val="0"/>
          <w:numId w:val="3"/>
        </w:numPr>
        <w:spacing w:lineRule="auto" w:line="256" w:before="0" w:after="160"/>
        <w:ind w:left="1418" w:hanging="360"/>
        <w:contextualSpacing/>
        <w:jc w:val="both"/>
        <w:rPr>
          <w:rFonts w:eastAsia="Calibri"/>
          <w:sz w:val="22"/>
          <w:szCs w:val="22"/>
          <w:lang w:eastAsia="en-US"/>
        </w:rPr>
      </w:pPr>
      <w:r>
        <w:rPr>
          <w:rFonts w:eastAsia="Calibri"/>
          <w:sz w:val="22"/>
          <w:szCs w:val="22"/>
          <w:lang w:eastAsia="en-US"/>
        </w:rPr>
        <w:t>Zone 3, soit dans un rayon de plus de 20 km jusqu’à 30 km : 5,5  MG</w:t>
      </w:r>
    </w:p>
    <w:p>
      <w:pPr>
        <w:pStyle w:val="Normal"/>
        <w:numPr>
          <w:ilvl w:val="0"/>
          <w:numId w:val="3"/>
        </w:numPr>
        <w:spacing w:lineRule="auto" w:line="256" w:before="0" w:after="160"/>
        <w:ind w:left="1418" w:hanging="360"/>
        <w:contextualSpacing/>
        <w:jc w:val="both"/>
        <w:rPr>
          <w:rFonts w:eastAsia="Calibri"/>
          <w:sz w:val="22"/>
          <w:szCs w:val="22"/>
          <w:lang w:eastAsia="en-US"/>
        </w:rPr>
      </w:pPr>
      <w:r>
        <w:rPr>
          <w:rFonts w:eastAsia="Calibri"/>
          <w:sz w:val="22"/>
          <w:szCs w:val="22"/>
          <w:lang w:eastAsia="en-US"/>
        </w:rPr>
        <w:t>Zone 4, soit dans un rayon de 30 km jusqu’à 50 km : 6,5  MG</w:t>
      </w:r>
    </w:p>
    <w:p>
      <w:pPr>
        <w:pStyle w:val="Normal"/>
        <w:spacing w:before="0" w:after="0"/>
        <w:ind w:left="1418" w:hanging="0"/>
        <w:contextualSpacing/>
        <w:jc w:val="both"/>
        <w:rPr>
          <w:rFonts w:eastAsia="Calibri"/>
          <w:sz w:val="22"/>
          <w:szCs w:val="22"/>
          <w:lang w:eastAsia="en-US"/>
        </w:rPr>
      </w:pPr>
      <w:r>
        <w:rPr>
          <w:rFonts w:eastAsia="Calibri"/>
          <w:sz w:val="22"/>
          <w:szCs w:val="22"/>
          <w:lang w:eastAsia="en-US"/>
        </w:rPr>
      </w:r>
    </w:p>
    <w:p>
      <w:pPr>
        <w:pStyle w:val="Normal"/>
        <w:spacing w:before="0" w:after="0"/>
        <w:contextualSpacing/>
        <w:jc w:val="both"/>
        <w:rPr/>
      </w:pPr>
      <w:r>
        <w:rPr>
          <w:rFonts w:eastAsia="Calibri"/>
          <w:sz w:val="22"/>
          <w:szCs w:val="22"/>
          <w:lang w:eastAsia="en-US"/>
        </w:rPr>
        <w:t>Le MG applicable est celui en vigueur au 1</w:t>
      </w:r>
      <w:r>
        <w:rPr>
          <w:rFonts w:eastAsia="Calibri"/>
          <w:sz w:val="22"/>
          <w:szCs w:val="22"/>
          <w:vertAlign w:val="superscript"/>
          <w:lang w:eastAsia="en-US"/>
        </w:rPr>
        <w:t>er</w:t>
      </w:r>
      <w:r>
        <w:rPr>
          <w:rFonts w:eastAsia="Calibri"/>
          <w:sz w:val="22"/>
          <w:szCs w:val="22"/>
          <w:lang w:eastAsia="en-US"/>
        </w:rPr>
        <w:t xml:space="preserve"> janvier de l’année en cours.</w:t>
      </w:r>
    </w:p>
    <w:p>
      <w:pPr>
        <w:pStyle w:val="Normal"/>
        <w:spacing w:before="0" w:after="0"/>
        <w:contextualSpacing/>
        <w:jc w:val="both"/>
        <w:rPr>
          <w:rFonts w:eastAsia="Calibri"/>
          <w:sz w:val="22"/>
          <w:szCs w:val="22"/>
          <w:lang w:eastAsia="en-US"/>
        </w:rPr>
      </w:pPr>
      <w:r>
        <w:rPr>
          <w:rFonts w:eastAsia="Calibri"/>
          <w:sz w:val="22"/>
          <w:szCs w:val="22"/>
          <w:lang w:eastAsia="en-US"/>
        </w:rPr>
      </w:r>
    </w:p>
    <w:p>
      <w:pPr>
        <w:pStyle w:val="Normal"/>
        <w:ind w:right="283" w:hanging="0"/>
        <w:jc w:val="both"/>
        <w:rPr/>
      </w:pPr>
      <w:r>
        <w:rPr>
          <w:rFonts w:eastAsia="Calibri"/>
          <w:sz w:val="22"/>
          <w:szCs w:val="22"/>
          <w:lang w:eastAsia="en-US"/>
        </w:rPr>
        <w:t>Au-delà du temps normal de trajet, le salarié est, en outre, rémunéré pour le trajet restant comme s’il s’agissait d’un temps de travail. Ce temps de trajet servant au calcul de l’indemnité complémentaire n’est pas qualifié de temps de travail effectif.</w:t>
      </w:r>
    </w:p>
    <w:p>
      <w:pPr>
        <w:pStyle w:val="Normal"/>
        <w:ind w:right="283" w:hanging="0"/>
        <w:jc w:val="both"/>
        <w:rPr>
          <w:rFonts w:eastAsia="Calibri"/>
          <w:sz w:val="22"/>
          <w:szCs w:val="22"/>
          <w:lang w:eastAsia="en-US"/>
        </w:rPr>
      </w:pPr>
      <w:r>
        <w:rPr>
          <w:rFonts w:eastAsia="Calibri"/>
          <w:sz w:val="22"/>
          <w:szCs w:val="22"/>
          <w:lang w:eastAsia="en-US"/>
        </w:rPr>
      </w:r>
    </w:p>
    <w:p>
      <w:pPr>
        <w:pStyle w:val="Normal"/>
        <w:ind w:right="283" w:hanging="0"/>
        <w:jc w:val="both"/>
        <w:rPr>
          <w:sz w:val="22"/>
          <w:szCs w:val="22"/>
        </w:rPr>
      </w:pPr>
      <w:r>
        <w:rPr>
          <w:sz w:val="22"/>
          <w:szCs w:val="22"/>
        </w:rPr>
        <w:t>Pour des raisons pratiques liées à l’organisation du travail sur les chantiers et la gestion de la paie, les salariés s’engagent à informer par écrit leur responsable de leur choix d’être transporté ou non sur les chantiers chaque année civile (soit au plus tard le 31 janvier). Un questionnaire à cette fin est laissé à leur disposition au bureau du personnel.</w:t>
      </w:r>
    </w:p>
    <w:p>
      <w:pPr>
        <w:pStyle w:val="Normal"/>
        <w:ind w:right="283" w:hanging="0"/>
        <w:jc w:val="both"/>
        <w:rPr>
          <w:sz w:val="22"/>
          <w:szCs w:val="22"/>
        </w:rPr>
      </w:pPr>
      <w:r>
        <w:rPr>
          <w:sz w:val="22"/>
          <w:szCs w:val="22"/>
        </w:rPr>
      </w:r>
    </w:p>
    <w:p>
      <w:pPr>
        <w:pStyle w:val="Normal"/>
        <w:jc w:val="both"/>
        <w:rPr/>
      </w:pPr>
      <w:r>
        <w:rPr>
          <w:b/>
          <w:sz w:val="22"/>
          <w:szCs w:val="22"/>
          <w:u w:val="single"/>
        </w:rPr>
        <w:t xml:space="preserve">Article 4 – Temps de pause (pause méridienne)  </w:t>
      </w:r>
    </w:p>
    <w:p>
      <w:pPr>
        <w:pStyle w:val="Normal"/>
        <w:tabs>
          <w:tab w:val="right" w:pos="8222" w:leader="none"/>
        </w:tabs>
        <w:jc w:val="both"/>
        <w:rPr>
          <w:b/>
          <w:b/>
          <w:sz w:val="22"/>
          <w:szCs w:val="22"/>
          <w:u w:val="single"/>
        </w:rPr>
      </w:pPr>
      <w:r>
        <w:rPr>
          <w:b/>
          <w:sz w:val="22"/>
          <w:szCs w:val="22"/>
          <w:u w:val="single"/>
        </w:rPr>
      </w:r>
    </w:p>
    <w:p>
      <w:pPr>
        <w:pStyle w:val="Normal"/>
        <w:jc w:val="both"/>
        <w:rPr>
          <w:sz w:val="22"/>
          <w:szCs w:val="22"/>
        </w:rPr>
      </w:pPr>
      <w:r>
        <w:rPr>
          <w:sz w:val="22"/>
          <w:szCs w:val="22"/>
        </w:rPr>
        <w:t>Le temps de pause repas, est d’une durée minimum de 45 minutes, fixé à midi, sauf conditions exceptionnelles de chantier.</w:t>
      </w:r>
    </w:p>
    <w:p>
      <w:pPr>
        <w:pStyle w:val="Normal"/>
        <w:jc w:val="both"/>
        <w:rPr>
          <w:sz w:val="22"/>
          <w:szCs w:val="22"/>
        </w:rPr>
      </w:pPr>
      <w:r>
        <w:rPr>
          <w:sz w:val="22"/>
          <w:szCs w:val="22"/>
        </w:rPr>
      </w:r>
    </w:p>
    <w:p>
      <w:pPr>
        <w:pStyle w:val="Normal"/>
        <w:jc w:val="both"/>
        <w:rPr>
          <w:sz w:val="22"/>
          <w:szCs w:val="22"/>
        </w:rPr>
      </w:pPr>
      <w:r>
        <w:rPr>
          <w:sz w:val="22"/>
          <w:szCs w:val="22"/>
        </w:rPr>
        <w:t>Ce temps n’est pas un temps de travail effectif.</w:t>
      </w:r>
    </w:p>
    <w:p>
      <w:pPr>
        <w:pStyle w:val="Normal"/>
        <w:ind w:right="283" w:hanging="0"/>
        <w:jc w:val="both"/>
        <w:rPr>
          <w:sz w:val="22"/>
          <w:szCs w:val="22"/>
        </w:rPr>
      </w:pPr>
      <w:r>
        <w:rPr>
          <w:sz w:val="22"/>
          <w:szCs w:val="22"/>
        </w:rPr>
      </w:r>
    </w:p>
    <w:p>
      <w:pPr>
        <w:pStyle w:val="Normal"/>
        <w:tabs>
          <w:tab w:val="right" w:pos="8222" w:leader="none"/>
        </w:tabs>
        <w:jc w:val="both"/>
        <w:rPr>
          <w:b/>
          <w:b/>
          <w:sz w:val="22"/>
          <w:szCs w:val="22"/>
          <w:u w:val="single"/>
        </w:rPr>
      </w:pPr>
      <w:r>
        <w:rPr>
          <w:b/>
          <w:sz w:val="22"/>
          <w:szCs w:val="22"/>
          <w:u w:val="single"/>
        </w:rPr>
      </w:r>
    </w:p>
    <w:p>
      <w:pPr>
        <w:pStyle w:val="Normal"/>
        <w:rPr>
          <w:b/>
          <w:b/>
          <w:sz w:val="22"/>
          <w:szCs w:val="22"/>
          <w:u w:val="single"/>
        </w:rPr>
      </w:pPr>
      <w:r>
        <w:rPr>
          <w:b/>
          <w:sz w:val="22"/>
          <w:szCs w:val="22"/>
          <w:u w:val="single"/>
        </w:rPr>
        <w:t xml:space="preserve">TITRE III – GESTION DU TEMPS DE TRAVAIL </w:t>
      </w:r>
    </w:p>
    <w:p>
      <w:pPr>
        <w:pStyle w:val="Normal"/>
        <w:jc w:val="both"/>
        <w:rPr>
          <w:b/>
          <w:b/>
          <w:sz w:val="22"/>
          <w:szCs w:val="22"/>
          <w:u w:val="single"/>
        </w:rPr>
      </w:pPr>
      <w:r>
        <w:rPr>
          <w:b/>
          <w:sz w:val="22"/>
          <w:szCs w:val="22"/>
          <w:u w:val="single"/>
        </w:rPr>
      </w:r>
    </w:p>
    <w:p>
      <w:pPr>
        <w:pStyle w:val="Normal"/>
        <w:jc w:val="both"/>
        <w:rPr>
          <w:sz w:val="22"/>
          <w:szCs w:val="22"/>
        </w:rPr>
      </w:pPr>
      <w:r>
        <w:rPr>
          <w:sz w:val="22"/>
          <w:szCs w:val="22"/>
        </w:rPr>
        <w:t xml:space="preserve">Le présent titre s’applique à l’ensemble des salariés suivants : </w:t>
      </w:r>
    </w:p>
    <w:p>
      <w:pPr>
        <w:pStyle w:val="Normal"/>
        <w:jc w:val="both"/>
        <w:rPr>
          <w:sz w:val="22"/>
          <w:szCs w:val="22"/>
        </w:rPr>
      </w:pPr>
      <w:r>
        <w:rPr>
          <w:sz w:val="22"/>
          <w:szCs w:val="22"/>
        </w:rPr>
      </w:r>
    </w:p>
    <w:p>
      <w:pPr>
        <w:pStyle w:val="Normal"/>
        <w:ind w:firstLine="284"/>
        <w:jc w:val="both"/>
        <w:rPr>
          <w:sz w:val="22"/>
          <w:szCs w:val="22"/>
        </w:rPr>
      </w:pPr>
      <w:r>
        <w:rPr>
          <w:sz w:val="22"/>
          <w:szCs w:val="22"/>
        </w:rPr>
        <w:t>-</w:t>
        <w:tab/>
        <w:t>Aux ouvriers, positions O.1 à O.6 de la Convention collective des entreprises du Paysage,</w:t>
      </w:r>
    </w:p>
    <w:p>
      <w:pPr>
        <w:pStyle w:val="Normal"/>
        <w:ind w:firstLine="284"/>
        <w:jc w:val="both"/>
        <w:rPr>
          <w:sz w:val="22"/>
          <w:szCs w:val="22"/>
        </w:rPr>
      </w:pPr>
      <w:r>
        <w:rPr>
          <w:sz w:val="22"/>
          <w:szCs w:val="22"/>
        </w:rPr>
        <w:t>-</w:t>
        <w:tab/>
        <w:t>Aux employés, positions E.1 à E.4 de la Convention collective des entreprises du Paysage,</w:t>
      </w:r>
    </w:p>
    <w:p>
      <w:pPr>
        <w:pStyle w:val="Normal"/>
        <w:ind w:firstLine="284"/>
        <w:jc w:val="both"/>
        <w:rPr>
          <w:sz w:val="22"/>
          <w:szCs w:val="22"/>
        </w:rPr>
      </w:pPr>
      <w:r>
        <w:rPr>
          <w:sz w:val="22"/>
          <w:szCs w:val="22"/>
        </w:rPr>
        <w:t>-</w:t>
        <w:tab/>
        <w:t>Ainsi qu’aux Techniciens Agents de Maitrise, positions TAM 1 à TAM 4 de la Convention collective des entreprises du Paysage, non titulaires d’une convention de forfait annuel en jours ou en heures.</w:t>
      </w:r>
    </w:p>
    <w:p>
      <w:pPr>
        <w:pStyle w:val="Normal"/>
        <w:jc w:val="both"/>
        <w:rPr>
          <w:sz w:val="22"/>
          <w:szCs w:val="22"/>
        </w:rPr>
      </w:pPr>
      <w:r>
        <w:rPr>
          <w:sz w:val="22"/>
          <w:szCs w:val="22"/>
        </w:rPr>
      </w:r>
    </w:p>
    <w:p>
      <w:pPr>
        <w:pStyle w:val="Normal"/>
        <w:jc w:val="both"/>
        <w:rPr>
          <w:sz w:val="22"/>
          <w:szCs w:val="22"/>
        </w:rPr>
      </w:pPr>
      <w:r>
        <w:rPr>
          <w:sz w:val="22"/>
          <w:szCs w:val="22"/>
        </w:rPr>
        <w:t>Il s’applique aux salariés liés par un contrat de travail à durée indéterminée ou par un contrat de travail à durée déterminée, quel qu’en soit le motif, y compris aux apprentis.</w:t>
      </w:r>
    </w:p>
    <w:p>
      <w:pPr>
        <w:pStyle w:val="Normal"/>
        <w:jc w:val="both"/>
        <w:rPr>
          <w:sz w:val="22"/>
          <w:szCs w:val="22"/>
        </w:rPr>
      </w:pPr>
      <w:r>
        <w:rPr>
          <w:sz w:val="22"/>
          <w:szCs w:val="22"/>
        </w:rPr>
      </w:r>
    </w:p>
    <w:p>
      <w:pPr>
        <w:pStyle w:val="Normal"/>
        <w:rPr>
          <w:sz w:val="22"/>
          <w:szCs w:val="22"/>
        </w:rPr>
      </w:pPr>
      <w:r>
        <w:rPr>
          <w:sz w:val="22"/>
          <w:szCs w:val="22"/>
        </w:rPr>
      </w:r>
    </w:p>
    <w:p>
      <w:pPr>
        <w:pStyle w:val="Normal"/>
        <w:jc w:val="both"/>
        <w:rPr>
          <w:b/>
          <w:b/>
          <w:sz w:val="22"/>
          <w:szCs w:val="22"/>
          <w:u w:val="single"/>
        </w:rPr>
      </w:pPr>
      <w:r>
        <w:rPr>
          <w:b/>
          <w:sz w:val="22"/>
          <w:szCs w:val="22"/>
          <w:u w:val="single"/>
        </w:rPr>
        <w:t xml:space="preserve">Article 5 – Modalités d’organisation du temps de travail  </w:t>
      </w:r>
    </w:p>
    <w:p>
      <w:pPr>
        <w:pStyle w:val="Normal"/>
        <w:jc w:val="both"/>
        <w:rPr>
          <w:b/>
          <w:b/>
          <w:sz w:val="22"/>
          <w:szCs w:val="22"/>
          <w:u w:val="single"/>
        </w:rPr>
      </w:pPr>
      <w:r>
        <w:rPr>
          <w:b/>
          <w:sz w:val="22"/>
          <w:szCs w:val="22"/>
          <w:u w:val="single"/>
        </w:rPr>
      </w:r>
    </w:p>
    <w:p>
      <w:pPr>
        <w:pStyle w:val="Normal"/>
        <w:jc w:val="both"/>
        <w:rPr>
          <w:sz w:val="22"/>
          <w:szCs w:val="22"/>
        </w:rPr>
      </w:pPr>
      <w:r>
        <w:rPr>
          <w:sz w:val="22"/>
          <w:szCs w:val="22"/>
        </w:rPr>
        <w:t>Conformément à l’article L 3121-1 du code du travail, la durée du travail effectif est le temps pendant lequel le salarié est à la disposition de l’employeur et se conforme à ses directives, sans pouvoir vaquer librement à des occupations personnelles.</w:t>
      </w:r>
    </w:p>
    <w:p>
      <w:pPr>
        <w:pStyle w:val="Normal"/>
        <w:jc w:val="both"/>
        <w:rPr>
          <w:sz w:val="22"/>
          <w:szCs w:val="22"/>
        </w:rPr>
      </w:pPr>
      <w:r>
        <w:rPr>
          <w:sz w:val="22"/>
          <w:szCs w:val="22"/>
        </w:rPr>
      </w:r>
    </w:p>
    <w:p>
      <w:pPr>
        <w:pStyle w:val="Normal"/>
        <w:jc w:val="both"/>
        <w:rPr>
          <w:sz w:val="22"/>
          <w:szCs w:val="22"/>
        </w:rPr>
      </w:pPr>
      <w:r>
        <w:rPr>
          <w:sz w:val="22"/>
          <w:szCs w:val="22"/>
        </w:rPr>
        <w:t>En application de ces dispositions, ne sont pas considérés comme travail effectif :</w:t>
      </w:r>
    </w:p>
    <w:p>
      <w:pPr>
        <w:pStyle w:val="Normal"/>
        <w:jc w:val="both"/>
        <w:rPr>
          <w:sz w:val="22"/>
          <w:szCs w:val="22"/>
        </w:rPr>
      </w:pPr>
      <w:r>
        <w:rPr>
          <w:sz w:val="22"/>
          <w:szCs w:val="22"/>
        </w:rPr>
      </w:r>
    </w:p>
    <w:p>
      <w:pPr>
        <w:pStyle w:val="Normal"/>
        <w:numPr>
          <w:ilvl w:val="0"/>
          <w:numId w:val="7"/>
        </w:numPr>
        <w:jc w:val="both"/>
        <w:rPr>
          <w:sz w:val="22"/>
          <w:szCs w:val="22"/>
        </w:rPr>
      </w:pPr>
      <w:r>
        <w:rPr>
          <w:sz w:val="22"/>
          <w:szCs w:val="22"/>
        </w:rPr>
        <w:t>le temps nécessaire à la restauration et les temps consacrés aux pauses ;</w:t>
      </w:r>
    </w:p>
    <w:p>
      <w:pPr>
        <w:pStyle w:val="Normal"/>
        <w:numPr>
          <w:ilvl w:val="0"/>
          <w:numId w:val="7"/>
        </w:numPr>
        <w:jc w:val="both"/>
        <w:rPr>
          <w:sz w:val="22"/>
          <w:szCs w:val="22"/>
        </w:rPr>
      </w:pPr>
      <w:r>
        <w:rPr>
          <w:sz w:val="22"/>
          <w:szCs w:val="22"/>
        </w:rPr>
        <w:t>les temps de transport et de trajet domicile / lieu de travail et lieu de travail / domicile.</w:t>
      </w:r>
    </w:p>
    <w:p>
      <w:pPr>
        <w:pStyle w:val="Normal"/>
        <w:jc w:val="both"/>
        <w:rPr>
          <w:sz w:val="22"/>
          <w:szCs w:val="22"/>
        </w:rPr>
      </w:pPr>
      <w:r>
        <w:rPr>
          <w:sz w:val="22"/>
          <w:szCs w:val="22"/>
        </w:rPr>
      </w:r>
    </w:p>
    <w:p>
      <w:pPr>
        <w:pStyle w:val="Normal"/>
        <w:jc w:val="both"/>
        <w:rPr>
          <w:sz w:val="22"/>
          <w:szCs w:val="22"/>
        </w:rPr>
      </w:pPr>
      <w:r>
        <w:rPr>
          <w:sz w:val="22"/>
          <w:szCs w:val="22"/>
        </w:rPr>
        <w:t xml:space="preserve">La durée légale du travail des salariés à temps plein est fixée à 35 heures par semaine. </w:t>
      </w:r>
    </w:p>
    <w:p>
      <w:pPr>
        <w:pStyle w:val="Normal"/>
        <w:jc w:val="both"/>
        <w:rPr>
          <w:sz w:val="22"/>
          <w:szCs w:val="22"/>
        </w:rPr>
      </w:pPr>
      <w:r>
        <w:rPr>
          <w:sz w:val="22"/>
          <w:szCs w:val="22"/>
        </w:rPr>
      </w:r>
    </w:p>
    <w:p>
      <w:pPr>
        <w:pStyle w:val="Normal"/>
        <w:jc w:val="both"/>
        <w:rPr/>
      </w:pPr>
      <w:r>
        <w:rPr>
          <w:sz w:val="22"/>
          <w:szCs w:val="22"/>
        </w:rPr>
        <w:t>La rémunération des heures normales de travail est mensualisée sur la base de 151,67 heures.</w:t>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pPr>
      <w:r>
        <w:rPr>
          <w:b/>
          <w:sz w:val="22"/>
          <w:szCs w:val="22"/>
          <w:u w:val="single"/>
        </w:rPr>
        <w:t>Article 6 – Les durées maximum de travail</w:t>
      </w:r>
    </w:p>
    <w:p>
      <w:pPr>
        <w:pStyle w:val="Normal"/>
        <w:tabs>
          <w:tab w:val="left" w:pos="709" w:leader="none"/>
        </w:tabs>
        <w:jc w:val="both"/>
        <w:rPr>
          <w:b/>
          <w:b/>
          <w:sz w:val="22"/>
          <w:szCs w:val="22"/>
          <w:u w:val="single"/>
        </w:rPr>
      </w:pPr>
      <w:r>
        <w:rPr>
          <w:b/>
          <w:sz w:val="22"/>
          <w:szCs w:val="22"/>
          <w:u w:val="single"/>
        </w:rPr>
      </w:r>
    </w:p>
    <w:p>
      <w:pPr>
        <w:pStyle w:val="Normal"/>
        <w:tabs>
          <w:tab w:val="right" w:pos="8222" w:leader="none"/>
        </w:tabs>
        <w:jc w:val="both"/>
        <w:rPr>
          <w:sz w:val="22"/>
          <w:szCs w:val="22"/>
        </w:rPr>
      </w:pPr>
      <w:r>
        <w:rPr>
          <w:sz w:val="22"/>
          <w:szCs w:val="22"/>
        </w:rPr>
        <w:t xml:space="preserve">La durée de travail quotidienne est limitée à dix heures de travail effectif.  </w:t>
      </w:r>
    </w:p>
    <w:p>
      <w:pPr>
        <w:pStyle w:val="Normal"/>
        <w:tabs>
          <w:tab w:val="right" w:pos="8222" w:leader="none"/>
        </w:tabs>
        <w:jc w:val="both"/>
        <w:rPr>
          <w:sz w:val="22"/>
          <w:szCs w:val="22"/>
        </w:rPr>
      </w:pPr>
      <w:r>
        <w:rPr>
          <w:sz w:val="22"/>
          <w:szCs w:val="22"/>
        </w:rPr>
      </w:r>
    </w:p>
    <w:p>
      <w:pPr>
        <w:pStyle w:val="Normal"/>
        <w:tabs>
          <w:tab w:val="right" w:pos="8222" w:leader="none"/>
        </w:tabs>
        <w:jc w:val="both"/>
        <w:rPr/>
      </w:pPr>
      <w:r>
        <w:rPr>
          <w:sz w:val="22"/>
          <w:szCs w:val="22"/>
        </w:rPr>
        <w:t>Toutefois cette durée maximale quotidienne de travail effectif pourra être portée à 12 heures dans les cas suivants :</w:t>
      </w:r>
    </w:p>
    <w:p>
      <w:pPr>
        <w:pStyle w:val="Normal"/>
        <w:tabs>
          <w:tab w:val="right" w:pos="8222" w:leader="none"/>
        </w:tabs>
        <w:jc w:val="both"/>
        <w:rPr>
          <w:sz w:val="22"/>
          <w:szCs w:val="22"/>
        </w:rPr>
      </w:pPr>
      <w:r>
        <w:rPr>
          <w:sz w:val="22"/>
          <w:szCs w:val="22"/>
        </w:rPr>
      </w:r>
    </w:p>
    <w:p>
      <w:pPr>
        <w:pStyle w:val="Normal"/>
        <w:numPr>
          <w:ilvl w:val="0"/>
          <w:numId w:val="8"/>
        </w:numPr>
        <w:tabs>
          <w:tab w:val="right" w:pos="8222" w:leader="none"/>
        </w:tabs>
        <w:ind w:left="0" w:hanging="0"/>
        <w:jc w:val="both"/>
        <w:rPr>
          <w:sz w:val="22"/>
          <w:szCs w:val="22"/>
        </w:rPr>
      </w:pPr>
      <w:r>
        <w:rPr>
          <w:sz w:val="22"/>
          <w:szCs w:val="22"/>
        </w:rPr>
        <w:t>travaux devant être exécutés dans un délai déterminé en raison de leur nature, des charges imposées à l’entreprise ou des engagements contractés par celle-ci,</w:t>
      </w:r>
    </w:p>
    <w:p>
      <w:pPr>
        <w:pStyle w:val="Normal"/>
        <w:numPr>
          <w:ilvl w:val="0"/>
          <w:numId w:val="8"/>
        </w:numPr>
        <w:tabs>
          <w:tab w:val="right" w:pos="8222" w:leader="none"/>
        </w:tabs>
        <w:ind w:left="0" w:hanging="0"/>
        <w:jc w:val="both"/>
        <w:rPr>
          <w:sz w:val="22"/>
          <w:szCs w:val="22"/>
        </w:rPr>
      </w:pPr>
      <w:r>
        <w:rPr>
          <w:sz w:val="22"/>
          <w:szCs w:val="22"/>
        </w:rPr>
        <w:t>travaux saisonniers,</w:t>
      </w:r>
    </w:p>
    <w:p>
      <w:pPr>
        <w:pStyle w:val="Normal"/>
        <w:numPr>
          <w:ilvl w:val="0"/>
          <w:numId w:val="8"/>
        </w:numPr>
        <w:tabs>
          <w:tab w:val="right" w:pos="8222" w:leader="none"/>
        </w:tabs>
        <w:ind w:left="0" w:hanging="0"/>
        <w:jc w:val="both"/>
        <w:rPr>
          <w:sz w:val="22"/>
          <w:szCs w:val="22"/>
        </w:rPr>
      </w:pPr>
      <w:r>
        <w:rPr>
          <w:sz w:val="22"/>
          <w:szCs w:val="22"/>
        </w:rPr>
        <w:t>travaux impliquant une activité accrue pendant certains jours de la semaine, du mois ou de l’année.</w:t>
      </w:r>
    </w:p>
    <w:p>
      <w:pPr>
        <w:pStyle w:val="Normal"/>
        <w:tabs>
          <w:tab w:val="right" w:pos="8222" w:leader="none"/>
        </w:tabs>
        <w:jc w:val="both"/>
        <w:rPr>
          <w:sz w:val="22"/>
          <w:szCs w:val="22"/>
        </w:rPr>
      </w:pPr>
      <w:r>
        <w:rPr>
          <w:sz w:val="22"/>
          <w:szCs w:val="22"/>
        </w:rPr>
      </w:r>
    </w:p>
    <w:p>
      <w:pPr>
        <w:pStyle w:val="Normal"/>
        <w:tabs>
          <w:tab w:val="right" w:pos="8222" w:leader="none"/>
        </w:tabs>
        <w:jc w:val="both"/>
        <w:rPr/>
      </w:pPr>
      <w:r>
        <w:rPr>
          <w:sz w:val="22"/>
          <w:szCs w:val="22"/>
        </w:rPr>
        <w:t>Le nombre de jours consécutifs durant lesquels la durée du travail quotidienne excédera 10 heures ne pourra être supérieur à 6. Le nombre d’heures de dépassement au-delà de 10 heures par jour ne pourra être supérieur à 50 par an. La Société informera l’Inspection du travail de ce dépassement et des circonstances qui le motivent.</w:t>
      </w:r>
    </w:p>
    <w:p>
      <w:pPr>
        <w:pStyle w:val="Normal"/>
        <w:tabs>
          <w:tab w:val="right" w:pos="8222" w:leader="none"/>
        </w:tabs>
        <w:jc w:val="both"/>
        <w:rPr>
          <w:sz w:val="22"/>
          <w:szCs w:val="22"/>
        </w:rPr>
      </w:pPr>
      <w:r>
        <w:rPr>
          <w:sz w:val="22"/>
          <w:szCs w:val="22"/>
        </w:rPr>
      </w:r>
    </w:p>
    <w:p>
      <w:pPr>
        <w:pStyle w:val="Normal"/>
        <w:tabs>
          <w:tab w:val="right" w:pos="8222" w:leader="none"/>
        </w:tabs>
        <w:jc w:val="both"/>
        <w:rPr>
          <w:sz w:val="22"/>
          <w:szCs w:val="22"/>
        </w:rPr>
      </w:pPr>
      <w:r>
        <w:rPr>
          <w:sz w:val="22"/>
          <w:szCs w:val="22"/>
        </w:rPr>
        <w:t>La durée de travail hebdomadaire maximale est fixée à 48 heures de travail effectif sans pouvoir dépasser 46 heures en moyenne calculées sur une période quelconque de 12 semaines consécutives.</w:t>
      </w:r>
    </w:p>
    <w:p>
      <w:pPr>
        <w:pStyle w:val="Normal"/>
        <w:tabs>
          <w:tab w:val="right" w:pos="8222" w:leader="none"/>
        </w:tabs>
        <w:jc w:val="both"/>
        <w:rPr>
          <w:sz w:val="22"/>
          <w:szCs w:val="22"/>
        </w:rPr>
      </w:pPr>
      <w:r>
        <w:rPr>
          <w:sz w:val="22"/>
          <w:szCs w:val="22"/>
        </w:rPr>
      </w:r>
    </w:p>
    <w:p>
      <w:pPr>
        <w:pStyle w:val="Normal"/>
        <w:tabs>
          <w:tab w:val="right" w:pos="8222" w:leader="none"/>
        </w:tabs>
        <w:jc w:val="both"/>
        <w:rPr>
          <w:sz w:val="22"/>
          <w:szCs w:val="22"/>
        </w:rPr>
      </w:pPr>
      <w:r>
        <w:rPr>
          <w:sz w:val="22"/>
          <w:szCs w:val="22"/>
        </w:rPr>
        <w:t>Toutefois, conformément à l’article L3121-21 du code du travail, en cas de circonstances exceptionnelles et pour la durée de celles-ci, le dépassement de la durée maximale peut être autorisé par l'autorité administrative sans toutefois que ce dépassement puisse avoir pour effet de porter la durée du travail à plus de 60 heures par semaine.</w:t>
      </w:r>
    </w:p>
    <w:p>
      <w:pPr>
        <w:pStyle w:val="Normal"/>
        <w:tabs>
          <w:tab w:val="right" w:pos="8222" w:leader="none"/>
        </w:tabs>
        <w:jc w:val="both"/>
        <w:rPr>
          <w:sz w:val="22"/>
          <w:szCs w:val="22"/>
        </w:rPr>
      </w:pPr>
      <w:r>
        <w:rPr>
          <w:sz w:val="22"/>
          <w:szCs w:val="22"/>
        </w:rPr>
      </w:r>
    </w:p>
    <w:p>
      <w:pPr>
        <w:pStyle w:val="Normal"/>
        <w:tabs>
          <w:tab w:val="right" w:pos="8222" w:leader="none"/>
        </w:tabs>
        <w:jc w:val="both"/>
        <w:rPr>
          <w:sz w:val="22"/>
          <w:szCs w:val="22"/>
        </w:rPr>
      </w:pPr>
      <w:r>
        <w:rPr>
          <w:sz w:val="22"/>
          <w:szCs w:val="22"/>
        </w:rPr>
      </w:r>
    </w:p>
    <w:p>
      <w:pPr>
        <w:pStyle w:val="Normal"/>
        <w:spacing w:lineRule="auto" w:line="256"/>
        <w:rPr/>
      </w:pPr>
      <w:r>
        <w:rPr>
          <w:b/>
          <w:sz w:val="22"/>
          <w:szCs w:val="22"/>
          <w:u w:val="single"/>
        </w:rPr>
        <w:t>Article 7 – Heures supplémentaires</w:t>
      </w:r>
    </w:p>
    <w:p>
      <w:pPr>
        <w:pStyle w:val="Normal"/>
        <w:tabs>
          <w:tab w:val="right" w:pos="8222" w:leader="none"/>
        </w:tabs>
        <w:jc w:val="both"/>
        <w:rPr>
          <w:b/>
          <w:b/>
          <w:sz w:val="22"/>
          <w:szCs w:val="22"/>
          <w:u w:val="single"/>
        </w:rPr>
      </w:pPr>
      <w:r>
        <w:rPr>
          <w:b/>
          <w:sz w:val="22"/>
          <w:szCs w:val="22"/>
          <w:u w:val="single"/>
        </w:rPr>
      </w:r>
    </w:p>
    <w:p>
      <w:pPr>
        <w:pStyle w:val="Normal"/>
        <w:tabs>
          <w:tab w:val="left" w:pos="709" w:leader="none"/>
        </w:tabs>
        <w:jc w:val="both"/>
        <w:rPr>
          <w:sz w:val="22"/>
          <w:szCs w:val="22"/>
        </w:rPr>
      </w:pPr>
      <w:r>
        <w:rPr>
          <w:sz w:val="22"/>
          <w:szCs w:val="22"/>
        </w:rPr>
        <w:t>Les heures effectuées au-delà de 35 heures par semaine sont des heures supplémentaires.</w:t>
      </w:r>
    </w:p>
    <w:p>
      <w:pPr>
        <w:pStyle w:val="Normal"/>
        <w:tabs>
          <w:tab w:val="left" w:pos="709" w:leader="none"/>
        </w:tabs>
        <w:jc w:val="both"/>
        <w:rPr>
          <w:sz w:val="22"/>
          <w:szCs w:val="22"/>
        </w:rPr>
      </w:pPr>
      <w:r>
        <w:rPr>
          <w:sz w:val="22"/>
          <w:szCs w:val="22"/>
        </w:rPr>
      </w:r>
    </w:p>
    <w:p>
      <w:pPr>
        <w:pStyle w:val="Normal"/>
        <w:tabs>
          <w:tab w:val="left" w:pos="709" w:leader="none"/>
        </w:tabs>
        <w:jc w:val="both"/>
        <w:rPr>
          <w:sz w:val="22"/>
          <w:szCs w:val="22"/>
        </w:rPr>
      </w:pPr>
      <w:r>
        <w:rPr>
          <w:sz w:val="22"/>
          <w:szCs w:val="22"/>
        </w:rPr>
        <w:t>Les heures supplémentaires se décomptent par semaine civile qui débute le lundi à zéro heure et se termine le dimanche à vingt-quatre heures.</w:t>
      </w:r>
    </w:p>
    <w:p>
      <w:pPr>
        <w:pStyle w:val="Normal"/>
        <w:tabs>
          <w:tab w:val="left" w:pos="709" w:leader="none"/>
        </w:tabs>
        <w:jc w:val="both"/>
        <w:rPr>
          <w:sz w:val="22"/>
          <w:szCs w:val="22"/>
        </w:rPr>
      </w:pPr>
      <w:r>
        <w:rPr>
          <w:sz w:val="22"/>
          <w:szCs w:val="22"/>
        </w:rPr>
      </w:r>
    </w:p>
    <w:p>
      <w:pPr>
        <w:pStyle w:val="Normal"/>
        <w:tabs>
          <w:tab w:val="left" w:pos="709" w:leader="none"/>
        </w:tabs>
        <w:jc w:val="both"/>
        <w:rPr>
          <w:sz w:val="22"/>
          <w:szCs w:val="22"/>
        </w:rPr>
      </w:pPr>
      <w:r>
        <w:rPr>
          <w:sz w:val="22"/>
          <w:szCs w:val="22"/>
        </w:rPr>
        <w:t>Seules les heures supplémentaires autorisées par les responsables hiérarchiques peuvent être réalisées.</w:t>
      </w:r>
    </w:p>
    <w:p>
      <w:pPr>
        <w:pStyle w:val="Normal"/>
        <w:tabs>
          <w:tab w:val="left" w:pos="709" w:leader="none"/>
        </w:tabs>
        <w:jc w:val="both"/>
        <w:rPr>
          <w:sz w:val="22"/>
          <w:szCs w:val="22"/>
        </w:rPr>
      </w:pPr>
      <w:r>
        <w:rPr>
          <w:sz w:val="22"/>
          <w:szCs w:val="22"/>
        </w:rPr>
      </w:r>
    </w:p>
    <w:p>
      <w:pPr>
        <w:pStyle w:val="Normal"/>
        <w:tabs>
          <w:tab w:val="left" w:pos="709" w:leader="none"/>
        </w:tabs>
        <w:jc w:val="both"/>
        <w:rPr>
          <w:sz w:val="22"/>
          <w:szCs w:val="22"/>
        </w:rPr>
      </w:pPr>
      <w:r>
        <w:rPr>
          <w:sz w:val="22"/>
          <w:szCs w:val="22"/>
        </w:rPr>
        <w:t>Toute heure supplémentaire ouvre droit à une majoration salariale.</w:t>
      </w:r>
    </w:p>
    <w:p>
      <w:pPr>
        <w:pStyle w:val="Normal"/>
        <w:jc w:val="both"/>
        <w:rPr>
          <w:sz w:val="22"/>
          <w:szCs w:val="22"/>
        </w:rPr>
      </w:pPr>
      <w:r>
        <w:rPr>
          <w:sz w:val="22"/>
          <w:szCs w:val="22"/>
        </w:rPr>
      </w:r>
    </w:p>
    <w:p>
      <w:pPr>
        <w:pStyle w:val="Normal"/>
        <w:jc w:val="both"/>
        <w:rPr>
          <w:sz w:val="22"/>
          <w:szCs w:val="22"/>
        </w:rPr>
      </w:pPr>
      <w:r>
        <w:rPr>
          <w:sz w:val="22"/>
          <w:szCs w:val="22"/>
        </w:rPr>
      </w:r>
    </w:p>
    <w:p>
      <w:pPr>
        <w:pStyle w:val="Normal"/>
        <w:ind w:firstLine="284"/>
        <w:jc w:val="both"/>
        <w:rPr/>
      </w:pPr>
      <w:r>
        <w:rPr>
          <w:b/>
          <w:sz w:val="22"/>
          <w:szCs w:val="22"/>
          <w:u w:val="single"/>
        </w:rPr>
        <w:t>Article 7-1 : Contingent annuel d’heures supplémentaires</w:t>
      </w:r>
    </w:p>
    <w:p>
      <w:pPr>
        <w:pStyle w:val="Normal"/>
        <w:jc w:val="both"/>
        <w:rPr>
          <w:b/>
          <w:b/>
          <w:sz w:val="22"/>
          <w:szCs w:val="22"/>
          <w:u w:val="single"/>
        </w:rPr>
      </w:pPr>
      <w:r>
        <w:rPr>
          <w:b/>
          <w:sz w:val="22"/>
          <w:szCs w:val="22"/>
          <w:u w:val="single"/>
        </w:rPr>
      </w:r>
    </w:p>
    <w:p>
      <w:pPr>
        <w:pStyle w:val="Normal"/>
        <w:jc w:val="both"/>
        <w:rPr>
          <w:sz w:val="22"/>
        </w:rPr>
      </w:pPr>
      <w:r>
        <w:rPr>
          <w:sz w:val="22"/>
        </w:rPr>
        <w:t>Le contingent annuel d’heures supplémentaires est fixé à 400 heures par salariés.</w:t>
      </w:r>
    </w:p>
    <w:p>
      <w:pPr>
        <w:pStyle w:val="Normal"/>
        <w:jc w:val="both"/>
        <w:rPr>
          <w:sz w:val="22"/>
        </w:rPr>
      </w:pPr>
      <w:r>
        <w:rPr>
          <w:sz w:val="22"/>
        </w:rPr>
      </w:r>
    </w:p>
    <w:p>
      <w:pPr>
        <w:pStyle w:val="Normal"/>
        <w:jc w:val="both"/>
        <w:rPr>
          <w:sz w:val="22"/>
        </w:rPr>
      </w:pPr>
      <w:r>
        <w:rPr>
          <w:sz w:val="22"/>
        </w:rPr>
        <w:t>Le contingent annuel d’heures supplémentaires est apprécié sur l’année civile.</w:t>
      </w:r>
    </w:p>
    <w:p>
      <w:pPr>
        <w:pStyle w:val="Normal"/>
        <w:jc w:val="both"/>
        <w:rPr>
          <w:sz w:val="22"/>
        </w:rPr>
      </w:pPr>
      <w:r>
        <w:rPr>
          <w:sz w:val="22"/>
        </w:rPr>
      </w:r>
    </w:p>
    <w:p>
      <w:pPr>
        <w:pStyle w:val="Normal"/>
        <w:jc w:val="both"/>
        <w:rPr>
          <w:sz w:val="22"/>
        </w:rPr>
      </w:pPr>
      <w:r>
        <w:rPr>
          <w:sz w:val="22"/>
        </w:rPr>
      </w:r>
    </w:p>
    <w:p>
      <w:pPr>
        <w:pStyle w:val="Normal"/>
        <w:ind w:firstLine="284"/>
        <w:jc w:val="both"/>
        <w:rPr>
          <w:sz w:val="22"/>
          <w:szCs w:val="22"/>
        </w:rPr>
      </w:pPr>
      <w:r>
        <w:rPr>
          <w:b/>
          <w:sz w:val="22"/>
          <w:szCs w:val="22"/>
          <w:u w:val="single"/>
        </w:rPr>
        <w:t>Article 7-2 : Rémunération des heures supplémentaires</w:t>
      </w:r>
    </w:p>
    <w:p>
      <w:pPr>
        <w:pStyle w:val="Normal"/>
        <w:jc w:val="both"/>
        <w:rPr>
          <w:sz w:val="22"/>
          <w:szCs w:val="22"/>
        </w:rPr>
      </w:pPr>
      <w:r>
        <w:rPr>
          <w:sz w:val="22"/>
          <w:szCs w:val="22"/>
        </w:rPr>
      </w:r>
    </w:p>
    <w:p>
      <w:pPr>
        <w:pStyle w:val="Normal"/>
        <w:jc w:val="both"/>
        <w:rPr>
          <w:sz w:val="22"/>
        </w:rPr>
      </w:pPr>
      <w:r>
        <w:rPr>
          <w:sz w:val="22"/>
        </w:rPr>
        <w:t>Les heures supplémentaires réalisées par le personnel sont rémunérées mensuellement.</w:t>
      </w:r>
    </w:p>
    <w:p>
      <w:pPr>
        <w:pStyle w:val="Normal"/>
        <w:jc w:val="both"/>
        <w:rPr>
          <w:sz w:val="22"/>
        </w:rPr>
      </w:pPr>
      <w:r>
        <w:rPr>
          <w:sz w:val="22"/>
        </w:rPr>
      </w:r>
    </w:p>
    <w:p>
      <w:pPr>
        <w:pStyle w:val="Normal"/>
        <w:jc w:val="both"/>
        <w:rPr>
          <w:sz w:val="22"/>
        </w:rPr>
      </w:pPr>
      <w:r>
        <w:rPr>
          <w:sz w:val="22"/>
        </w:rPr>
        <w:t>Le taux de majoration de l’ensemble des heures supplémentaires est fixé à 25 %.</w:t>
      </w:r>
    </w:p>
    <w:p>
      <w:pPr>
        <w:pStyle w:val="Normal"/>
        <w:jc w:val="both"/>
        <w:rPr>
          <w:sz w:val="22"/>
        </w:rPr>
      </w:pPr>
      <w:r>
        <w:rPr>
          <w:sz w:val="22"/>
        </w:rPr>
      </w:r>
    </w:p>
    <w:p>
      <w:pPr>
        <w:pStyle w:val="Normal"/>
        <w:jc w:val="both"/>
        <w:rPr>
          <w:sz w:val="22"/>
        </w:rPr>
      </w:pPr>
      <w:r>
        <w:rPr>
          <w:sz w:val="22"/>
        </w:rPr>
        <w:t>Au choix de l’employeur, ces heures peuvent être payées ou transformées en repos compensateur de remplacement dont les modalités de prise seront fixées d’un commun accord.</w:t>
      </w:r>
    </w:p>
    <w:p>
      <w:pPr>
        <w:pStyle w:val="Normal"/>
        <w:jc w:val="both"/>
        <w:rPr>
          <w:sz w:val="22"/>
        </w:rPr>
      </w:pPr>
      <w:r>
        <w:rPr>
          <w:sz w:val="22"/>
        </w:rPr>
      </w:r>
    </w:p>
    <w:p>
      <w:pPr>
        <w:pStyle w:val="Normal"/>
        <w:jc w:val="both"/>
        <w:rPr>
          <w:sz w:val="22"/>
        </w:rPr>
      </w:pPr>
      <w:r>
        <w:rPr>
          <w:sz w:val="22"/>
        </w:rPr>
        <w:t>Les périodes non travaillées, même indemnisées, ne sont pas prises en compte pour calculer les heures supplémentaires. Tel est le cas des jours fériés, des jours de congés, des heures de récupération liées aux intempéries par exemple.</w:t>
      </w:r>
    </w:p>
    <w:p>
      <w:pPr>
        <w:pStyle w:val="Normal"/>
        <w:jc w:val="both"/>
        <w:rPr>
          <w:sz w:val="22"/>
        </w:rPr>
      </w:pPr>
      <w:r>
        <w:rPr>
          <w:sz w:val="22"/>
        </w:rPr>
      </w:r>
    </w:p>
    <w:p>
      <w:pPr>
        <w:pStyle w:val="Normal"/>
        <w:jc w:val="both"/>
        <w:rPr>
          <w:sz w:val="22"/>
        </w:rPr>
      </w:pPr>
      <w:r>
        <w:rPr>
          <w:sz w:val="22"/>
        </w:rPr>
      </w:r>
    </w:p>
    <w:p>
      <w:pPr>
        <w:pStyle w:val="Normal"/>
        <w:jc w:val="both"/>
        <w:rPr/>
      </w:pPr>
      <w:r>
        <w:rPr>
          <w:b/>
          <w:sz w:val="22"/>
          <w:szCs w:val="22"/>
          <w:u w:val="single"/>
        </w:rPr>
        <w:t>Article 8  – Modalités d’enregistrement du temps de travail</w:t>
      </w:r>
    </w:p>
    <w:p>
      <w:pPr>
        <w:pStyle w:val="Normal"/>
        <w:jc w:val="both"/>
        <w:rPr>
          <w:b/>
          <w:b/>
          <w:sz w:val="22"/>
          <w:szCs w:val="22"/>
          <w:u w:val="single"/>
        </w:rPr>
      </w:pPr>
      <w:r>
        <w:rPr>
          <w:b/>
          <w:sz w:val="22"/>
          <w:szCs w:val="22"/>
          <w:u w:val="single"/>
        </w:rPr>
      </w:r>
    </w:p>
    <w:p>
      <w:pPr>
        <w:pStyle w:val="Normal"/>
        <w:jc w:val="both"/>
        <w:rPr>
          <w:sz w:val="22"/>
          <w:szCs w:val="22"/>
        </w:rPr>
      </w:pPr>
      <w:r>
        <w:rPr>
          <w:sz w:val="22"/>
          <w:szCs w:val="22"/>
        </w:rPr>
        <w:t>Le temps de travail quotidien fait l’objet d’un enregistrement sur des fiches de relevé d’heures dûment complétées et signées par le Chef d’équipe.</w:t>
      </w:r>
    </w:p>
    <w:p>
      <w:pPr>
        <w:pStyle w:val="Normal"/>
        <w:jc w:val="both"/>
        <w:rPr>
          <w:sz w:val="22"/>
          <w:szCs w:val="22"/>
        </w:rPr>
      </w:pPr>
      <w:r>
        <w:rPr>
          <w:sz w:val="22"/>
          <w:szCs w:val="22"/>
        </w:rPr>
      </w:r>
    </w:p>
    <w:p>
      <w:pPr>
        <w:pStyle w:val="Normal"/>
        <w:jc w:val="both"/>
        <w:rPr/>
      </w:pPr>
      <w:r>
        <w:rPr>
          <w:sz w:val="22"/>
          <w:szCs w:val="22"/>
        </w:rPr>
        <w:t>Ces relevés quotidiens sont transmis chaque fin de journée à la Société qui les retranscrit ensuite en informatique.</w:t>
      </w:r>
    </w:p>
    <w:p>
      <w:pPr>
        <w:pStyle w:val="Normal"/>
        <w:jc w:val="both"/>
        <w:rPr>
          <w:sz w:val="22"/>
          <w:szCs w:val="22"/>
        </w:rPr>
      </w:pPr>
      <w:r>
        <w:rPr>
          <w:sz w:val="22"/>
          <w:szCs w:val="22"/>
        </w:rPr>
      </w:r>
    </w:p>
    <w:p>
      <w:pPr>
        <w:pStyle w:val="Normal"/>
        <w:jc w:val="both"/>
        <w:rPr>
          <w:sz w:val="22"/>
        </w:rPr>
      </w:pPr>
      <w:r>
        <w:rPr>
          <w:sz w:val="22"/>
        </w:rPr>
      </w:r>
    </w:p>
    <w:p>
      <w:pPr>
        <w:pStyle w:val="Normal"/>
        <w:jc w:val="both"/>
        <w:rPr>
          <w:sz w:val="22"/>
        </w:rPr>
      </w:pPr>
      <w:r>
        <w:rPr>
          <w:sz w:val="22"/>
        </w:rPr>
      </w:r>
    </w:p>
    <w:p>
      <w:pPr>
        <w:pStyle w:val="Normal"/>
        <w:jc w:val="both"/>
        <w:rPr>
          <w:b/>
          <w:b/>
          <w:sz w:val="22"/>
          <w:szCs w:val="22"/>
          <w:u w:val="single"/>
        </w:rPr>
      </w:pPr>
      <w:r>
        <w:rPr>
          <w:b/>
          <w:sz w:val="22"/>
          <w:szCs w:val="22"/>
          <w:u w:val="single"/>
        </w:rPr>
        <w:t>TITRE IV – CONGES PAYES</w:t>
      </w:r>
    </w:p>
    <w:p>
      <w:pPr>
        <w:pStyle w:val="Normal"/>
        <w:jc w:val="both"/>
        <w:rPr>
          <w:b/>
          <w:b/>
          <w:sz w:val="22"/>
          <w:szCs w:val="22"/>
          <w:u w:val="single"/>
        </w:rPr>
      </w:pPr>
      <w:r>
        <w:rPr>
          <w:b/>
          <w:sz w:val="22"/>
          <w:szCs w:val="22"/>
          <w:u w:val="single"/>
        </w:rPr>
      </w:r>
    </w:p>
    <w:p>
      <w:pPr>
        <w:pStyle w:val="Normal"/>
        <w:jc w:val="both"/>
        <w:rPr>
          <w:sz w:val="22"/>
          <w:szCs w:val="22"/>
        </w:rPr>
      </w:pPr>
      <w:r>
        <w:rPr>
          <w:b/>
          <w:sz w:val="22"/>
          <w:szCs w:val="22"/>
          <w:u w:val="single"/>
        </w:rPr>
        <w:t>Article 9 – Période de prise des congés payés</w:t>
      </w:r>
    </w:p>
    <w:p>
      <w:pPr>
        <w:pStyle w:val="Normal"/>
        <w:jc w:val="both"/>
        <w:rPr>
          <w:sz w:val="22"/>
          <w:szCs w:val="22"/>
        </w:rPr>
      </w:pPr>
      <w:r>
        <w:rPr>
          <w:sz w:val="22"/>
          <w:szCs w:val="22"/>
        </w:rPr>
      </w:r>
    </w:p>
    <w:p>
      <w:pPr>
        <w:pStyle w:val="Normal"/>
        <w:jc w:val="both"/>
        <w:rPr>
          <w:sz w:val="22"/>
          <w:szCs w:val="22"/>
        </w:rPr>
      </w:pPr>
      <w:r>
        <w:rPr>
          <w:sz w:val="22"/>
          <w:szCs w:val="22"/>
        </w:rPr>
        <w:t xml:space="preserve">Il est rappelé que l'organisation des congés payés incombe à l'employeur. </w:t>
      </w:r>
    </w:p>
    <w:p>
      <w:pPr>
        <w:pStyle w:val="Normal"/>
        <w:jc w:val="both"/>
        <w:rPr>
          <w:sz w:val="22"/>
          <w:szCs w:val="22"/>
        </w:rPr>
      </w:pPr>
      <w:r>
        <w:rPr>
          <w:sz w:val="22"/>
          <w:szCs w:val="22"/>
        </w:rPr>
      </w:r>
    </w:p>
    <w:p>
      <w:pPr>
        <w:pStyle w:val="Normal"/>
        <w:jc w:val="both"/>
        <w:rPr/>
      </w:pPr>
      <w:r>
        <w:rPr>
          <w:sz w:val="22"/>
          <w:szCs w:val="22"/>
        </w:rPr>
        <w:t>Il est également rappelé que les dispositions de la Convention collective des entreprises du Paysage fixent la période de prise des congés payés du 1</w:t>
      </w:r>
      <w:r>
        <w:rPr>
          <w:sz w:val="22"/>
          <w:szCs w:val="22"/>
          <w:vertAlign w:val="superscript"/>
        </w:rPr>
        <w:t>er</w:t>
      </w:r>
      <w:r>
        <w:rPr>
          <w:sz w:val="22"/>
          <w:szCs w:val="22"/>
        </w:rPr>
        <w:t xml:space="preserve"> mai au 31 octobre. </w:t>
      </w:r>
    </w:p>
    <w:p>
      <w:pPr>
        <w:pStyle w:val="Normal"/>
        <w:jc w:val="both"/>
        <w:rPr>
          <w:sz w:val="22"/>
          <w:szCs w:val="22"/>
        </w:rPr>
      </w:pPr>
      <w:r>
        <w:rPr>
          <w:sz w:val="22"/>
          <w:szCs w:val="22"/>
        </w:rPr>
      </w:r>
    </w:p>
    <w:p>
      <w:pPr>
        <w:pStyle w:val="Normal"/>
        <w:jc w:val="both"/>
        <w:rPr>
          <w:sz w:val="22"/>
          <w:szCs w:val="22"/>
        </w:rPr>
      </w:pPr>
      <w:r>
        <w:rPr>
          <w:sz w:val="22"/>
          <w:szCs w:val="22"/>
        </w:rPr>
        <w:t>Aussi, conformément à l’article L. 3141-13 du code du travail, les parties sont convenues d’élargir cette durée de prise des congés payés à la période du 1</w:t>
      </w:r>
      <w:r>
        <w:rPr>
          <w:sz w:val="22"/>
          <w:szCs w:val="22"/>
          <w:vertAlign w:val="superscript"/>
        </w:rPr>
        <w:t>er</w:t>
      </w:r>
      <w:r>
        <w:rPr>
          <w:sz w:val="22"/>
          <w:szCs w:val="22"/>
        </w:rPr>
        <w:t xml:space="preserve"> mai au 30 avril.</w:t>
      </w:r>
    </w:p>
    <w:p>
      <w:pPr>
        <w:pStyle w:val="Normal"/>
        <w:jc w:val="both"/>
        <w:rPr>
          <w:sz w:val="22"/>
          <w:szCs w:val="22"/>
        </w:rPr>
      </w:pPr>
      <w:r>
        <w:rPr>
          <w:sz w:val="22"/>
          <w:szCs w:val="22"/>
        </w:rPr>
      </w:r>
    </w:p>
    <w:p>
      <w:pPr>
        <w:pStyle w:val="Normal"/>
        <w:rPr>
          <w:sz w:val="22"/>
          <w:szCs w:val="22"/>
        </w:rPr>
      </w:pPr>
      <w:r>
        <w:rPr>
          <w:sz w:val="22"/>
          <w:szCs w:val="22"/>
        </w:rPr>
      </w:r>
    </w:p>
    <w:p>
      <w:pPr>
        <w:pStyle w:val="Normal"/>
        <w:ind w:right="283" w:hanging="0"/>
        <w:jc w:val="both"/>
        <w:rPr>
          <w:b/>
          <w:b/>
          <w:sz w:val="22"/>
          <w:szCs w:val="22"/>
          <w:u w:val="single"/>
        </w:rPr>
      </w:pPr>
      <w:r>
        <w:rPr>
          <w:b/>
          <w:sz w:val="22"/>
          <w:szCs w:val="22"/>
          <w:u w:val="single"/>
        </w:rPr>
        <w:t xml:space="preserve">TITRE V – DISPOSITIONS FINALES </w:t>
      </w:r>
    </w:p>
    <w:p>
      <w:pPr>
        <w:pStyle w:val="Normal"/>
        <w:rPr>
          <w:b/>
          <w:b/>
          <w:sz w:val="22"/>
          <w:szCs w:val="22"/>
          <w:u w:val="single"/>
        </w:rPr>
      </w:pPr>
      <w:r>
        <w:rPr>
          <w:b/>
          <w:sz w:val="22"/>
          <w:szCs w:val="22"/>
          <w:u w:val="single"/>
        </w:rPr>
      </w:r>
    </w:p>
    <w:p>
      <w:pPr>
        <w:pStyle w:val="Normal"/>
        <w:jc w:val="both"/>
        <w:rPr/>
      </w:pPr>
      <w:r>
        <w:rPr>
          <w:b/>
          <w:sz w:val="22"/>
          <w:szCs w:val="22"/>
          <w:u w:val="single"/>
        </w:rPr>
        <w:t>Article 10 – Modalités de conclusion du présent accord</w:t>
      </w:r>
    </w:p>
    <w:p>
      <w:pPr>
        <w:pStyle w:val="Normal"/>
        <w:rPr>
          <w:b/>
          <w:b/>
          <w:sz w:val="22"/>
          <w:szCs w:val="22"/>
          <w:u w:val="single"/>
        </w:rPr>
      </w:pPr>
      <w:r>
        <w:rPr>
          <w:b/>
          <w:sz w:val="22"/>
          <w:szCs w:val="22"/>
          <w:u w:val="single"/>
        </w:rPr>
      </w:r>
    </w:p>
    <w:p>
      <w:pPr>
        <w:pStyle w:val="Normal"/>
        <w:jc w:val="both"/>
        <w:rPr/>
      </w:pPr>
      <w:r>
        <w:rPr>
          <w:sz w:val="22"/>
          <w:szCs w:val="22"/>
        </w:rPr>
        <w:t>Le présent accord est conclu selon les modalités prévues à l’article L.2232-23-1 du code du travail</w:t>
      </w:r>
      <w:r>
        <w:rPr>
          <w:i/>
          <w:sz w:val="22"/>
          <w:szCs w:val="22"/>
        </w:rPr>
        <w:t>.</w:t>
      </w:r>
    </w:p>
    <w:p>
      <w:pPr>
        <w:pStyle w:val="Normal"/>
        <w:rPr>
          <w:b/>
          <w:b/>
          <w:i/>
          <w:i/>
          <w:sz w:val="22"/>
          <w:szCs w:val="22"/>
          <w:u w:val="single"/>
        </w:rPr>
      </w:pPr>
      <w:r>
        <w:rPr>
          <w:b/>
          <w:i/>
          <w:sz w:val="22"/>
          <w:szCs w:val="22"/>
          <w:u w:val="single"/>
        </w:rPr>
      </w:r>
    </w:p>
    <w:p>
      <w:pPr>
        <w:pStyle w:val="Normal"/>
        <w:rPr>
          <w:b/>
          <w:b/>
          <w:sz w:val="22"/>
          <w:szCs w:val="22"/>
          <w:u w:val="single"/>
        </w:rPr>
      </w:pPr>
      <w:r>
        <w:rPr>
          <w:b/>
          <w:sz w:val="22"/>
          <w:szCs w:val="22"/>
          <w:u w:val="single"/>
        </w:rPr>
      </w:r>
    </w:p>
    <w:p>
      <w:pPr>
        <w:pStyle w:val="Normal"/>
        <w:jc w:val="both"/>
        <w:rPr/>
      </w:pPr>
      <w:r>
        <w:rPr>
          <w:b/>
          <w:sz w:val="22"/>
          <w:szCs w:val="22"/>
          <w:u w:val="single"/>
        </w:rPr>
        <w:t>Article 11 – Date d’effet et durée d’application</w:t>
      </w:r>
    </w:p>
    <w:p>
      <w:pPr>
        <w:pStyle w:val="Normal"/>
        <w:jc w:val="both"/>
        <w:rPr>
          <w:b/>
          <w:b/>
          <w:sz w:val="22"/>
          <w:szCs w:val="22"/>
          <w:u w:val="single"/>
        </w:rPr>
      </w:pPr>
      <w:r>
        <w:rPr>
          <w:b/>
          <w:sz w:val="22"/>
          <w:szCs w:val="22"/>
          <w:u w:val="single"/>
        </w:rPr>
      </w:r>
    </w:p>
    <w:p>
      <w:pPr>
        <w:pStyle w:val="Normal"/>
        <w:jc w:val="both"/>
        <w:rPr>
          <w:sz w:val="22"/>
          <w:szCs w:val="22"/>
        </w:rPr>
      </w:pPr>
      <w:r>
        <w:rPr>
          <w:sz w:val="22"/>
          <w:szCs w:val="22"/>
        </w:rPr>
        <w:t>Le présent accord prend effet, de manière rétroactive, à compter du 1</w:t>
      </w:r>
      <w:r>
        <w:rPr>
          <w:sz w:val="22"/>
          <w:szCs w:val="22"/>
          <w:vertAlign w:val="superscript"/>
        </w:rPr>
        <w:t>er</w:t>
      </w:r>
      <w:r>
        <w:rPr>
          <w:sz w:val="22"/>
          <w:szCs w:val="22"/>
        </w:rPr>
        <w:t xml:space="preserve"> janvier 2020.</w:t>
      </w:r>
    </w:p>
    <w:p>
      <w:pPr>
        <w:pStyle w:val="Normal"/>
        <w:jc w:val="both"/>
        <w:rPr>
          <w:sz w:val="22"/>
          <w:szCs w:val="22"/>
        </w:rPr>
      </w:pPr>
      <w:r>
        <w:rPr>
          <w:sz w:val="22"/>
          <w:szCs w:val="22"/>
        </w:rPr>
      </w:r>
    </w:p>
    <w:p>
      <w:pPr>
        <w:pStyle w:val="Normal"/>
        <w:jc w:val="both"/>
        <w:rPr>
          <w:sz w:val="22"/>
          <w:szCs w:val="22"/>
        </w:rPr>
      </w:pPr>
      <w:r>
        <w:rPr>
          <w:sz w:val="22"/>
          <w:szCs w:val="22"/>
        </w:rPr>
        <w:t>Le présent accord est conclu pour une durée indéterminée.</w:t>
      </w:r>
    </w:p>
    <w:p>
      <w:pPr>
        <w:pStyle w:val="Normal"/>
        <w:jc w:val="both"/>
        <w:rPr>
          <w:b/>
          <w:b/>
          <w:sz w:val="22"/>
          <w:szCs w:val="22"/>
          <w:u w:val="single"/>
        </w:rPr>
      </w:pPr>
      <w:r>
        <w:rPr>
          <w:b/>
          <w:sz w:val="22"/>
          <w:szCs w:val="22"/>
          <w:u w:val="single"/>
        </w:rPr>
      </w:r>
    </w:p>
    <w:p>
      <w:pPr>
        <w:pStyle w:val="Normal"/>
        <w:jc w:val="both"/>
        <w:rPr>
          <w:b/>
          <w:b/>
          <w:sz w:val="22"/>
          <w:szCs w:val="22"/>
          <w:u w:val="single"/>
        </w:rPr>
      </w:pPr>
      <w:r>
        <w:rPr>
          <w:b/>
          <w:sz w:val="22"/>
          <w:szCs w:val="22"/>
          <w:u w:val="single"/>
        </w:rPr>
      </w:r>
    </w:p>
    <w:p>
      <w:pPr>
        <w:pStyle w:val="Normal"/>
        <w:jc w:val="both"/>
        <w:rPr/>
      </w:pPr>
      <w:r>
        <w:rPr>
          <w:b/>
          <w:sz w:val="22"/>
          <w:szCs w:val="22"/>
          <w:u w:val="single"/>
        </w:rPr>
        <w:t>Article 12 – Dénonciation de l’accord</w:t>
      </w:r>
    </w:p>
    <w:p>
      <w:pPr>
        <w:pStyle w:val="Normal"/>
        <w:jc w:val="both"/>
        <w:rPr>
          <w:b/>
          <w:b/>
          <w:sz w:val="22"/>
          <w:szCs w:val="22"/>
          <w:u w:val="single"/>
        </w:rPr>
      </w:pPr>
      <w:r>
        <w:rPr>
          <w:b/>
          <w:sz w:val="22"/>
          <w:szCs w:val="22"/>
          <w:u w:val="single"/>
        </w:rPr>
      </w:r>
    </w:p>
    <w:p>
      <w:pPr>
        <w:pStyle w:val="Normal"/>
        <w:jc w:val="both"/>
        <w:rPr/>
      </w:pPr>
      <w:r>
        <w:rPr>
          <w:sz w:val="22"/>
          <w:szCs w:val="22"/>
        </w:rPr>
        <w:t>Le</w:t>
      </w:r>
      <w:r>
        <w:rPr>
          <w:b/>
          <w:sz w:val="22"/>
          <w:szCs w:val="22"/>
        </w:rPr>
        <w:t xml:space="preserve"> </w:t>
      </w:r>
      <w:r>
        <w:rPr>
          <w:sz w:val="22"/>
          <w:szCs w:val="22"/>
        </w:rPr>
        <w:t>présent accord pourra être dénoncé par les parties conformément aux dispositions légales en vigueur.</w:t>
      </w:r>
    </w:p>
    <w:p>
      <w:pPr>
        <w:pStyle w:val="Normal"/>
        <w:jc w:val="both"/>
        <w:rPr>
          <w:sz w:val="22"/>
          <w:szCs w:val="22"/>
        </w:rPr>
      </w:pPr>
      <w:r>
        <w:rPr>
          <w:sz w:val="22"/>
          <w:szCs w:val="22"/>
        </w:rPr>
      </w:r>
    </w:p>
    <w:p>
      <w:pPr>
        <w:pStyle w:val="Normal"/>
        <w:jc w:val="both"/>
        <w:rPr>
          <w:sz w:val="22"/>
          <w:szCs w:val="22"/>
        </w:rPr>
      </w:pPr>
      <w:r>
        <w:rPr>
          <w:sz w:val="22"/>
          <w:szCs w:val="22"/>
        </w:rPr>
      </w:r>
    </w:p>
    <w:p>
      <w:pPr>
        <w:pStyle w:val="Normal"/>
        <w:jc w:val="both"/>
        <w:rPr/>
      </w:pPr>
      <w:r>
        <w:rPr>
          <w:b/>
          <w:sz w:val="22"/>
          <w:szCs w:val="22"/>
          <w:u w:val="single"/>
        </w:rPr>
        <w:t xml:space="preserve">Article 13 – Dépôt et publicité de l’accord  </w:t>
      </w:r>
    </w:p>
    <w:p>
      <w:pPr>
        <w:pStyle w:val="Normal"/>
        <w:jc w:val="both"/>
        <w:rPr>
          <w:b/>
          <w:b/>
          <w:sz w:val="22"/>
          <w:szCs w:val="22"/>
          <w:u w:val="single"/>
        </w:rPr>
      </w:pPr>
      <w:r>
        <w:rPr>
          <w:b/>
          <w:sz w:val="22"/>
          <w:szCs w:val="22"/>
          <w:u w:val="single"/>
        </w:rPr>
      </w:r>
    </w:p>
    <w:p>
      <w:pPr>
        <w:pStyle w:val="Normal"/>
        <w:jc w:val="both"/>
        <w:rPr>
          <w:sz w:val="22"/>
          <w:szCs w:val="22"/>
        </w:rPr>
      </w:pPr>
      <w:r>
        <w:rPr>
          <w:sz w:val="22"/>
          <w:szCs w:val="22"/>
        </w:rPr>
        <w:t xml:space="preserve">Le présent accord sera déposé, à la diligence de l’employeur : </w:t>
      </w:r>
    </w:p>
    <w:p>
      <w:pPr>
        <w:pStyle w:val="Normal"/>
        <w:jc w:val="both"/>
        <w:rPr>
          <w:sz w:val="22"/>
          <w:szCs w:val="22"/>
        </w:rPr>
      </w:pPr>
      <w:r>
        <w:rPr>
          <w:sz w:val="22"/>
          <w:szCs w:val="22"/>
        </w:rPr>
      </w:r>
    </w:p>
    <w:p>
      <w:pPr>
        <w:pStyle w:val="Paragraphedeliste"/>
        <w:numPr>
          <w:ilvl w:val="0"/>
          <w:numId w:val="5"/>
        </w:numPr>
        <w:jc w:val="both"/>
        <w:rPr>
          <w:szCs w:val="22"/>
        </w:rPr>
      </w:pPr>
      <w:r>
        <w:rPr>
          <w:szCs w:val="22"/>
        </w:rPr>
        <w:t xml:space="preserve">Auprès de la DIRECCTE en version électronique sur la plateforme de téléprocédure du ministère du Travail dénommée « TéléAccords » accessible sur le site Internet </w:t>
      </w:r>
      <w:hyperlink r:id="rId2">
        <w:r>
          <w:rPr>
            <w:rStyle w:val="InternetLink"/>
            <w:szCs w:val="22"/>
          </w:rPr>
          <w:t>www.teleaccords.travail-emploi.gouv.fr</w:t>
        </w:r>
      </w:hyperlink>
      <w:r>
        <w:rPr>
          <w:szCs w:val="22"/>
        </w:rPr>
        <w:t>.</w:t>
      </w:r>
    </w:p>
    <w:p>
      <w:pPr>
        <w:pStyle w:val="Paragraphedeliste"/>
        <w:jc w:val="both"/>
        <w:rPr>
          <w:szCs w:val="22"/>
        </w:rPr>
      </w:pPr>
      <w:r>
        <w:rPr>
          <w:szCs w:val="22"/>
        </w:rPr>
      </w:r>
    </w:p>
    <w:p>
      <w:pPr>
        <w:pStyle w:val="Paragraphedeliste"/>
        <w:numPr>
          <w:ilvl w:val="0"/>
          <w:numId w:val="5"/>
        </w:numPr>
        <w:jc w:val="both"/>
        <w:rPr/>
      </w:pPr>
      <w:r>
        <w:rPr>
          <w:szCs w:val="22"/>
        </w:rPr>
        <w:t xml:space="preserve">Auprès de la commission paritaire permanente de négociation et d'interprétation (CPPNI) : </w:t>
      </w:r>
      <w:hyperlink r:id="rId3">
        <w:r>
          <w:rPr>
            <w:rStyle w:val="InternetLink"/>
            <w:szCs w:val="22"/>
          </w:rPr>
          <w:t>cppnipaysage@unep-fr.org</w:t>
        </w:r>
      </w:hyperlink>
      <w:r>
        <w:rPr>
          <w:szCs w:val="22"/>
        </w:rPr>
        <w:t>.</w:t>
      </w:r>
    </w:p>
    <w:p>
      <w:pPr>
        <w:pStyle w:val="Paragraphedeliste"/>
        <w:jc w:val="both"/>
        <w:rPr>
          <w:szCs w:val="22"/>
        </w:rPr>
      </w:pPr>
      <w:r>
        <w:rPr>
          <w:szCs w:val="22"/>
        </w:rPr>
      </w:r>
    </w:p>
    <w:p>
      <w:pPr>
        <w:pStyle w:val="Paragraphedeliste"/>
        <w:numPr>
          <w:ilvl w:val="0"/>
          <w:numId w:val="5"/>
        </w:numPr>
        <w:jc w:val="both"/>
        <w:rPr>
          <w:szCs w:val="22"/>
        </w:rPr>
      </w:pPr>
      <w:r>
        <w:rPr>
          <w:szCs w:val="22"/>
        </w:rPr>
        <w:t>Auprès du secrétariat du greffe du Conseil de Prud’hommes de COMPIEGNE.</w:t>
      </w:r>
    </w:p>
    <w:p>
      <w:pPr>
        <w:pStyle w:val="Normal"/>
        <w:jc w:val="both"/>
        <w:rPr>
          <w:sz w:val="22"/>
          <w:szCs w:val="22"/>
        </w:rPr>
      </w:pPr>
      <w:r>
        <w:rPr>
          <w:sz w:val="22"/>
          <w:szCs w:val="22"/>
        </w:rPr>
      </w:r>
    </w:p>
    <w:p>
      <w:pPr>
        <w:pStyle w:val="Normal"/>
        <w:jc w:val="both"/>
        <w:rPr/>
      </w:pPr>
      <w:r>
        <w:rPr>
          <w:sz w:val="22"/>
          <w:szCs w:val="22"/>
        </w:rPr>
        <w:t xml:space="preserve">Le présent accord sera publié, dans une version anonyme, sur la base de données en ligne des accords collectifs : </w:t>
      </w:r>
      <w:hyperlink r:id="rId4" w:tgtFrame="_blank">
        <w:r>
          <w:rPr>
            <w:rStyle w:val="InternetLink"/>
            <w:sz w:val="22"/>
            <w:szCs w:val="22"/>
          </w:rPr>
          <w:t>legifrance.gouv.fr</w:t>
        </w:r>
      </w:hyperlink>
      <w:r>
        <w:rPr>
          <w:sz w:val="22"/>
          <w:szCs w:val="22"/>
        </w:rPr>
        <w:t>.</w:t>
      </w:r>
    </w:p>
    <w:p>
      <w:pPr>
        <w:pStyle w:val="Normal"/>
        <w:rPr>
          <w:sz w:val="22"/>
          <w:szCs w:val="22"/>
        </w:rPr>
      </w:pPr>
      <w:r>
        <w:rPr>
          <w:sz w:val="22"/>
          <w:szCs w:val="22"/>
        </w:rPr>
      </w:r>
    </w:p>
    <w:p>
      <w:pPr>
        <w:pStyle w:val="Normal"/>
        <w:rPr>
          <w:sz w:val="22"/>
          <w:szCs w:val="22"/>
        </w:rPr>
      </w:pPr>
      <w:r>
        <w:rPr>
          <w:sz w:val="22"/>
          <w:szCs w:val="22"/>
        </w:rPr>
      </w:r>
    </w:p>
    <w:p>
      <w:pPr>
        <w:pStyle w:val="Normal"/>
        <w:jc w:val="both"/>
        <w:rPr>
          <w:sz w:val="22"/>
          <w:szCs w:val="22"/>
        </w:rPr>
      </w:pPr>
      <w:r>
        <w:rPr>
          <w:sz w:val="22"/>
          <w:szCs w:val="22"/>
        </w:rPr>
        <w:t>Fait à JAUX, le 24 janvier 2020</w:t>
      </w:r>
    </w:p>
    <w:p>
      <w:pPr>
        <w:pStyle w:val="Normal"/>
        <w:jc w:val="both"/>
        <w:rPr/>
      </w:pPr>
      <w:r>
        <w:rPr>
          <w:sz w:val="22"/>
          <w:szCs w:val="22"/>
        </w:rPr>
        <w:t>En 4 originaux dont 1 pour le dépôt</w:t>
      </w:r>
    </w:p>
    <w:p>
      <w:pPr>
        <w:pStyle w:val="Normal"/>
        <w:jc w:val="both"/>
        <w:rPr>
          <w:sz w:val="22"/>
          <w:szCs w:val="22"/>
        </w:rPr>
      </w:pPr>
      <w:r>
        <w:rPr>
          <w:sz w:val="22"/>
          <w:szCs w:val="22"/>
        </w:rPr>
      </w:r>
    </w:p>
    <w:p>
      <w:pPr>
        <w:pStyle w:val="Normal"/>
        <w:jc w:val="both"/>
        <w:rPr/>
      </w:pPr>
      <w:r>
        <w:rPr>
          <w:b/>
          <w:sz w:val="22"/>
          <w:szCs w:val="22"/>
        </w:rPr>
        <w:t>Pour la Société HIE PAYSAGE</w:t>
        <w:tab/>
        <w:tab/>
        <w:t xml:space="preserve">         </w:t>
      </w:r>
    </w:p>
    <w:p>
      <w:pPr>
        <w:pStyle w:val="Normal"/>
        <w:jc w:val="both"/>
        <w:rPr>
          <w:b/>
          <w:b/>
          <w:sz w:val="22"/>
          <w:szCs w:val="22"/>
        </w:rPr>
      </w:pPr>
      <w:r>
        <w:rPr>
          <w:b/>
          <w:sz w:val="22"/>
          <w:szCs w:val="22"/>
        </w:rPr>
        <w:tab/>
        <w:tab/>
        <w:tab/>
        <w:tab/>
        <w:t xml:space="preserve">         </w:t>
      </w:r>
    </w:p>
    <w:p>
      <w:pPr>
        <w:pStyle w:val="Normal"/>
        <w:jc w:val="both"/>
        <w:rPr>
          <w:b/>
          <w:b/>
          <w:sz w:val="22"/>
          <w:szCs w:val="22"/>
        </w:rPr>
      </w:pPr>
      <w:r>
        <w:rPr>
          <w:b/>
          <w:sz w:val="22"/>
          <w:szCs w:val="22"/>
        </w:rPr>
      </w:r>
    </w:p>
    <w:p>
      <w:pPr>
        <w:pStyle w:val="Normal"/>
        <w:jc w:val="both"/>
        <w:rPr>
          <w:b/>
          <w:b/>
          <w:sz w:val="22"/>
          <w:szCs w:val="22"/>
        </w:rPr>
      </w:pPr>
      <w:r>
        <w:rPr>
          <w:b/>
          <w:sz w:val="22"/>
          <w:szCs w:val="22"/>
        </w:rPr>
      </w:r>
    </w:p>
    <w:p>
      <w:pPr>
        <w:pStyle w:val="Normal"/>
        <w:jc w:val="both"/>
        <w:rPr>
          <w:b/>
          <w:b/>
          <w:sz w:val="22"/>
          <w:szCs w:val="22"/>
        </w:rPr>
      </w:pPr>
      <w:r>
        <w:rPr>
          <w:b/>
          <w:sz w:val="22"/>
          <w:szCs w:val="22"/>
        </w:rPr>
      </w:r>
    </w:p>
    <w:p>
      <w:pPr>
        <w:pStyle w:val="Normal"/>
        <w:jc w:val="both"/>
        <w:rPr>
          <w:b/>
          <w:b/>
          <w:sz w:val="22"/>
          <w:szCs w:val="22"/>
        </w:rPr>
      </w:pPr>
      <w:r>
        <w:rPr>
          <w:b/>
          <w:sz w:val="22"/>
          <w:szCs w:val="22"/>
        </w:rPr>
      </w:r>
    </w:p>
    <w:p>
      <w:pPr>
        <w:pStyle w:val="Normal"/>
        <w:jc w:val="both"/>
        <w:rPr/>
      </w:pPr>
      <w:r>
        <w:rPr>
          <w:b/>
          <w:sz w:val="22"/>
          <w:szCs w:val="22"/>
        </w:rPr>
        <w:t>Les Représentants du Personnel, élus titulaires du Comité social et économique ayant obtenu la majorité des suffrages exprimés lors des dernières élections professionnelles,</w:t>
      </w:r>
    </w:p>
    <w:p>
      <w:pPr>
        <w:pStyle w:val="Normal"/>
        <w:jc w:val="both"/>
        <w:rPr>
          <w:b/>
          <w:b/>
          <w:sz w:val="22"/>
          <w:szCs w:val="22"/>
        </w:rPr>
      </w:pPr>
      <w:r>
        <w:rPr>
          <w:b/>
          <w:sz w:val="22"/>
          <w:szCs w:val="22"/>
        </w:rPr>
      </w:r>
    </w:p>
    <w:p>
      <w:pPr>
        <w:pStyle w:val="Paragraphedeliste"/>
        <w:ind w:left="0" w:hanging="0"/>
        <w:jc w:val="both"/>
        <w:rPr>
          <w:vanish/>
          <w:sz w:val="20"/>
        </w:rPr>
      </w:pPr>
      <w:bookmarkStart w:id="0" w:name="_PictureBullets"/>
      <w:bookmarkEnd w:id="0"/>
      <w:r>
        <w:rPr>
          <w:rFonts w:eastAsia="Times New Roman"/>
          <w:b/>
          <w:szCs w:val="22"/>
          <w:lang w:eastAsia="fr-FR"/>
        </w:rPr>
        <w:t xml:space="preserve">Monsieur </w:t>
      </w:r>
    </w:p>
    <w:sectPr>
      <w:footerReference w:type="default" r:id="rId5"/>
      <w:type w:val="nextPage"/>
      <w:pgSz w:w="11906" w:h="16838"/>
      <w:pgMar w:left="1417" w:right="1417" w:header="0" w:top="708" w:footer="708"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fldChar w:fldCharType="begin"/>
    </w:r>
    <w:r>
      <w:instrText> PAGE </w:instrText>
    </w:r>
    <w:r>
      <w:fldChar w:fldCharType="separate"/>
    </w:r>
    <w:r>
      <w:t>6</w:t>
    </w:r>
    <w:r>
      <w:fldChar w:fldCharType="end"/>
    </w:r>
  </w:p>
  <w:p>
    <w:pPr>
      <w:pStyle w:val="Footer"/>
      <w:ind w:right="360" w:hanging="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rFonts w:cs="Symbol"/>
      </w:rPr>
    </w:lvl>
  </w:abstractNum>
  <w:abstractNum w:abstractNumId="3">
    <w:lvl w:ilvl="0">
      <w:numFmt w:val="bullet"/>
      <w:lvlText w:val="-"/>
      <w:lvlJc w:val="left"/>
      <w:pPr>
        <w:ind w:left="1211" w:hanging="360"/>
      </w:pPr>
      <w:rPr>
        <w:rFonts w:ascii="Times New Roman" w:hAnsi="Times New Roman" w:cs="Times New Roman" w:hint="default"/>
        <w:rFonts w:cs="Times New Roman"/>
      </w:rPr>
    </w:lvl>
  </w:abstractNum>
  <w:abstractNum w:abstractNumId="4">
    <w:lvl w:ilvl="0">
      <w:start w:val="1"/>
      <w:numFmt w:val="bullet"/>
      <w:lvlText w:val="-"/>
      <w:lvlJc w:val="left"/>
      <w:pPr>
        <w:ind w:left="720" w:hanging="360"/>
      </w:pPr>
      <w:rPr>
        <w:rFonts w:ascii="Times New Roman" w:hAnsi="Times New Roman" w:cs="Times New Roman" w:hint="default"/>
        <w:rFonts w:cs="Times New Roman"/>
      </w:rPr>
    </w:lvl>
  </w:abstractNum>
  <w:abstractNum w:abstractNumId="5">
    <w:lvl w:ilvl="0">
      <w:start w:val="1"/>
      <w:numFmt w:val="bullet"/>
      <w:lvlText w:val=""/>
      <w:lvlJc w:val="left"/>
      <w:pPr>
        <w:ind w:left="720" w:hanging="360"/>
      </w:pPr>
      <w:rPr>
        <w:rFonts w:ascii="Wingdings" w:hAnsi="Wingdings" w:cs="Wingdings" w:hint="default"/>
        <w:szCs w:val="22"/>
        <w:rFonts w:cs="Wingdings"/>
      </w:rPr>
    </w:lvl>
  </w:abstractNum>
  <w:abstractNum w:abstractNumId="6">
    <w:lvl w:ilvl="0">
      <w:start w:val="1"/>
      <w:numFmt w:val="bullet"/>
      <w:lvlText w:val=""/>
      <w:lvlJc w:val="left"/>
      <w:pPr>
        <w:ind w:left="720" w:hanging="360"/>
      </w:pPr>
      <w:rPr>
        <w:rFonts w:ascii="Symbol" w:hAnsi="Symbol" w:cs="Symbol" w:hint="default"/>
        <w:rFonts w:cs="Symbol"/>
      </w:rPr>
    </w:lvl>
  </w:abstractNum>
  <w:abstractNum w:abstractNumId="7">
    <w:lvl w:ilvl="0">
      <w:start w:val="1"/>
      <w:numFmt w:val="bullet"/>
      <w:lvlText w:val="-"/>
      <w:lvlJc w:val="left"/>
      <w:pPr>
        <w:ind w:left="720" w:hanging="360"/>
      </w:pPr>
      <w:rPr>
        <w:rFonts w:ascii="Times New Roman" w:hAnsi="Times New Roman" w:cs="Times New Roman" w:hint="default"/>
        <w:rFonts w:cs="Times New Roman"/>
      </w:rPr>
    </w:lvl>
  </w:abstractNum>
  <w:abstractNum w:abstractNumId="8">
    <w:lvl w:ilvl="0">
      <w:numFmt w:val="bullet"/>
      <w:lvlText w:val=""/>
      <w:lvlJc w:val="left"/>
      <w:pPr>
        <w:tabs>
          <w:tab w:val="num" w:pos="283"/>
        </w:tabs>
        <w:ind w:left="709" w:hanging="283"/>
      </w:pPr>
      <w:rPr>
        <w:rFonts w:ascii="Symbol" w:hAnsi="Symbol" w:cs="Symbol" w:hint="default"/>
        <w:rFonts w:cs="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WW8Num1z0">
    <w:name w:val="WW8Num1z0"/>
    <w:qFormat/>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eastAsia="Times New Roman" w:cs="Times New Roman"/>
      <w:b w:val="false"/>
      <w:u w:val="none"/>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Symbol" w:hAnsi="Symbol"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b/>
      <w:u w:val="none"/>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rFonts w:ascii="Times New Roman" w:hAnsi="Times New Roman" w:eastAsia="Times New Roman" w:cs="Times New Roman"/>
      <w:color w:val="000000"/>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Wingdings" w:hAnsi="Wingdings" w:cs="Wingdings"/>
      <w:szCs w:val="22"/>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Calibri"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Times New Roman" w:hAnsi="Times New Roman"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Times New Roman" w:hAnsi="Times New Roman" w:eastAsia="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imes New Roman" w:hAnsi="Times New Roman" w:eastAsia="Times New Roman"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Times New Roman" w:hAnsi="Times New Roman" w:eastAsia="Times New Roman"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style>
  <w:style w:type="character" w:styleId="WW8Num33z1">
    <w:name w:val="WW8Num33z1"/>
    <w:qFormat/>
    <w:rPr/>
  </w:style>
  <w:style w:type="character" w:styleId="WW8Num33z2">
    <w:name w:val="WW8Num33z2"/>
    <w:qFormat/>
    <w:rPr/>
  </w:style>
  <w:style w:type="character" w:styleId="WW8Num33z3">
    <w:name w:val="WW8Num33z3"/>
    <w:qFormat/>
    <w:rPr/>
  </w:style>
  <w:style w:type="character" w:styleId="WW8Num33z4">
    <w:name w:val="WW8Num33z4"/>
    <w:qFormat/>
    <w:rPr/>
  </w:style>
  <w:style w:type="character" w:styleId="WW8Num33z5">
    <w:name w:val="WW8Num33z5"/>
    <w:qFormat/>
    <w:rPr/>
  </w:style>
  <w:style w:type="character" w:styleId="WW8Num33z6">
    <w:name w:val="WW8Num33z6"/>
    <w:qFormat/>
    <w:rPr/>
  </w:style>
  <w:style w:type="character" w:styleId="WW8Num33z7">
    <w:name w:val="WW8Num33z7"/>
    <w:qFormat/>
    <w:rPr/>
  </w:style>
  <w:style w:type="character" w:styleId="WW8Num33z8">
    <w:name w:val="WW8Num33z8"/>
    <w:qFormat/>
    <w:rPr/>
  </w:style>
  <w:style w:type="character" w:styleId="WW8Num34z0">
    <w:name w:val="WW8Num34z0"/>
    <w:qFormat/>
    <w:rPr>
      <w:rFonts w:ascii="Times New Roman" w:hAnsi="Times New Roman" w:eastAsia="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Times New Roman" w:hAnsi="Times New Roman" w:eastAsia="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Times New Roman" w:hAnsi="Times New Roman" w:eastAsia="Calibri" w:cs="Times New Roman"/>
      <w:b w:val="false"/>
      <w:u w:val="none"/>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Wingdings" w:hAnsi="Wingdings" w:eastAsia="Calibri" w:cs="Times New Roman"/>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Times New Roman" w:hAnsi="Times New Roman" w:eastAsia="Calibri" w:cs="Times New Roman"/>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style>
  <w:style w:type="character" w:styleId="WW8Num42z1">
    <w:name w:val="WW8Num42z1"/>
    <w:qFormat/>
    <w:rPr/>
  </w:style>
  <w:style w:type="character" w:styleId="WW8Num42z2">
    <w:name w:val="WW8Num42z2"/>
    <w:qFormat/>
    <w:rPr/>
  </w:style>
  <w:style w:type="character" w:styleId="WW8Num42z3">
    <w:name w:val="WW8Num42z3"/>
    <w:qFormat/>
    <w:rPr/>
  </w:style>
  <w:style w:type="character" w:styleId="WW8Num42z4">
    <w:name w:val="WW8Num42z4"/>
    <w:qFormat/>
    <w:rPr/>
  </w:style>
  <w:style w:type="character" w:styleId="WW8Num42z5">
    <w:name w:val="WW8Num42z5"/>
    <w:qFormat/>
    <w:rPr/>
  </w:style>
  <w:style w:type="character" w:styleId="WW8Num42z6">
    <w:name w:val="WW8Num42z6"/>
    <w:qFormat/>
    <w:rPr/>
  </w:style>
  <w:style w:type="character" w:styleId="WW8Num42z7">
    <w:name w:val="WW8Num42z7"/>
    <w:qFormat/>
    <w:rPr/>
  </w:style>
  <w:style w:type="character" w:styleId="WW8Num42z8">
    <w:name w:val="WW8Num42z8"/>
    <w:qFormat/>
    <w:rPr/>
  </w:style>
  <w:style w:type="character" w:styleId="WW8Num43z0">
    <w:name w:val="WW8Num43z0"/>
    <w:qFormat/>
    <w:rPr>
      <w:rFonts w:ascii="Times New Roman" w:hAnsi="Times New Roman" w:cs="Times New Roman"/>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3z3">
    <w:name w:val="WW8Num43z3"/>
    <w:qFormat/>
    <w:rPr>
      <w:rFonts w:ascii="Symbol" w:hAnsi="Symbol" w:cs="Symbol"/>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style>
  <w:style w:type="character" w:styleId="WW8Num45z1">
    <w:name w:val="WW8Num45z1"/>
    <w:qFormat/>
    <w:rPr/>
  </w:style>
  <w:style w:type="character" w:styleId="WW8Num45z2">
    <w:name w:val="WW8Num45z2"/>
    <w:qFormat/>
    <w:rPr/>
  </w:style>
  <w:style w:type="character" w:styleId="WW8Num45z3">
    <w:name w:val="WW8Num45z3"/>
    <w:qFormat/>
    <w:rPr/>
  </w:style>
  <w:style w:type="character" w:styleId="WW8Num45z4">
    <w:name w:val="WW8Num45z4"/>
    <w:qFormat/>
    <w:rPr/>
  </w:style>
  <w:style w:type="character" w:styleId="WW8Num45z5">
    <w:name w:val="WW8Num45z5"/>
    <w:qFormat/>
    <w:rPr/>
  </w:style>
  <w:style w:type="character" w:styleId="WW8Num45z6">
    <w:name w:val="WW8Num45z6"/>
    <w:qFormat/>
    <w:rPr/>
  </w:style>
  <w:style w:type="character" w:styleId="WW8Num45z7">
    <w:name w:val="WW8Num45z7"/>
    <w:qFormat/>
    <w:rPr/>
  </w:style>
  <w:style w:type="character" w:styleId="WW8Num45z8">
    <w:name w:val="WW8Num45z8"/>
    <w:qFormat/>
    <w:rPr/>
  </w:style>
  <w:style w:type="character" w:styleId="WW8Num46z0">
    <w:name w:val="WW8Num46z0"/>
    <w:qFormat/>
    <w:rPr/>
  </w:style>
  <w:style w:type="character" w:styleId="WW8Num46z1">
    <w:name w:val="WW8Num46z1"/>
    <w:qFormat/>
    <w:rPr/>
  </w:style>
  <w:style w:type="character" w:styleId="WW8Num46z2">
    <w:name w:val="WW8Num46z2"/>
    <w:qFormat/>
    <w:rPr/>
  </w:style>
  <w:style w:type="character" w:styleId="WW8Num46z3">
    <w:name w:val="WW8Num46z3"/>
    <w:qFormat/>
    <w:rPr/>
  </w:style>
  <w:style w:type="character" w:styleId="WW8Num46z4">
    <w:name w:val="WW8Num46z4"/>
    <w:qFormat/>
    <w:rPr/>
  </w:style>
  <w:style w:type="character" w:styleId="WW8Num46z5">
    <w:name w:val="WW8Num46z5"/>
    <w:qFormat/>
    <w:rPr/>
  </w:style>
  <w:style w:type="character" w:styleId="WW8Num46z6">
    <w:name w:val="WW8Num46z6"/>
    <w:qFormat/>
    <w:rPr/>
  </w:style>
  <w:style w:type="character" w:styleId="WW8Num46z7">
    <w:name w:val="WW8Num46z7"/>
    <w:qFormat/>
    <w:rPr/>
  </w:style>
  <w:style w:type="character" w:styleId="WW8Num46z8">
    <w:name w:val="WW8Num46z8"/>
    <w:qFormat/>
    <w:rPr/>
  </w:style>
  <w:style w:type="character" w:styleId="WW8Num47z0">
    <w:name w:val="WW8Num47z0"/>
    <w:qFormat/>
    <w:rPr>
      <w:rFonts w:ascii="Times New Roman" w:hAnsi="Times New Roman" w:eastAsia="Times New Roman" w:cs="Times New Roman"/>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style>
  <w:style w:type="character" w:styleId="WW8Num48z1">
    <w:name w:val="WW8Num48z1"/>
    <w:qFormat/>
    <w:rPr/>
  </w:style>
  <w:style w:type="character" w:styleId="WW8Num48z2">
    <w:name w:val="WW8Num48z2"/>
    <w:qFormat/>
    <w:rPr/>
  </w:style>
  <w:style w:type="character" w:styleId="WW8Num48z3">
    <w:name w:val="WW8Num48z3"/>
    <w:qFormat/>
    <w:rPr/>
  </w:style>
  <w:style w:type="character" w:styleId="WW8Num48z4">
    <w:name w:val="WW8Num48z4"/>
    <w:qFormat/>
    <w:rPr/>
  </w:style>
  <w:style w:type="character" w:styleId="WW8Num48z5">
    <w:name w:val="WW8Num48z5"/>
    <w:qFormat/>
    <w:rPr/>
  </w:style>
  <w:style w:type="character" w:styleId="WW8Num48z6">
    <w:name w:val="WW8Num48z6"/>
    <w:qFormat/>
    <w:rPr/>
  </w:style>
  <w:style w:type="character" w:styleId="WW8Num48z7">
    <w:name w:val="WW8Num48z7"/>
    <w:qFormat/>
    <w:rPr/>
  </w:style>
  <w:style w:type="character" w:styleId="WW8Num48z8">
    <w:name w:val="WW8Num48z8"/>
    <w:qFormat/>
    <w:rPr/>
  </w:style>
  <w:style w:type="character" w:styleId="WW8Num49z0">
    <w:name w:val="WW8Num49z0"/>
    <w:qFormat/>
    <w:rPr/>
  </w:style>
  <w:style w:type="character" w:styleId="WW8Num49z1">
    <w:name w:val="WW8Num49z1"/>
    <w:qFormat/>
    <w:rPr/>
  </w:style>
  <w:style w:type="character" w:styleId="WW8Num49z2">
    <w:name w:val="WW8Num49z2"/>
    <w:qFormat/>
    <w:rPr/>
  </w:style>
  <w:style w:type="character" w:styleId="WW8Num49z3">
    <w:name w:val="WW8Num49z3"/>
    <w:qFormat/>
    <w:rPr/>
  </w:style>
  <w:style w:type="character" w:styleId="WW8Num49z4">
    <w:name w:val="WW8Num49z4"/>
    <w:qFormat/>
    <w:rPr/>
  </w:style>
  <w:style w:type="character" w:styleId="WW8Num49z5">
    <w:name w:val="WW8Num49z5"/>
    <w:qFormat/>
    <w:rPr/>
  </w:style>
  <w:style w:type="character" w:styleId="WW8Num49z6">
    <w:name w:val="WW8Num49z6"/>
    <w:qFormat/>
    <w:rPr/>
  </w:style>
  <w:style w:type="character" w:styleId="WW8Num49z7">
    <w:name w:val="WW8Num49z7"/>
    <w:qFormat/>
    <w:rPr/>
  </w:style>
  <w:style w:type="character" w:styleId="WW8Num49z8">
    <w:name w:val="WW8Num49z8"/>
    <w:qFormat/>
    <w:rPr/>
  </w:style>
  <w:style w:type="character" w:styleId="WW8NumSt40z0">
    <w:name w:val="WW8NumSt40z0"/>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TextedebullesCar">
    <w:name w:val="Texte de bulles Car"/>
    <w:qFormat/>
    <w:rPr>
      <w:rFonts w:ascii="Segoe UI" w:hAnsi="Segoe UI" w:cs="Segoe UI"/>
      <w:sz w:val="18"/>
      <w:szCs w:val="18"/>
    </w:rPr>
  </w:style>
  <w:style w:type="character" w:styleId="RetraitcorpsdetexteCar">
    <w:name w:val="Retrait corps de texte Car"/>
    <w:qFormat/>
    <w:rPr>
      <w:sz w:val="24"/>
    </w:rPr>
  </w:style>
  <w:style w:type="character" w:styleId="Retraitcorpsdetexte2Car">
    <w:name w:val="Retrait corps de texte 2 Car"/>
    <w:qFormat/>
    <w:rPr>
      <w:sz w:val="24"/>
      <w:szCs w:val="24"/>
    </w:rPr>
  </w:style>
  <w:style w:type="character" w:styleId="PieddepageCar">
    <w:name w:val="Pied de page Car"/>
    <w:qFormat/>
    <w:rPr>
      <w:sz w:val="24"/>
      <w:szCs w:val="24"/>
    </w:rPr>
  </w:style>
  <w:style w:type="character" w:styleId="InternetLink">
    <w:name w:val="Internet Link"/>
    <w:rPr>
      <w:color w:val="0563C1"/>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Rfrences">
    <w:name w:val="références"/>
    <w:basedOn w:val="Heading2"/>
    <w:qFormat/>
    <w:pPr>
      <w:numPr>
        <w:ilvl w:val="0"/>
        <w:numId w:val="0"/>
      </w:numPr>
      <w:spacing w:before="0" w:after="0"/>
    </w:pPr>
    <w:rPr>
      <w:rFonts w:ascii="Times New Roman" w:hAnsi="Times New Roman" w:cs="Times New Roman"/>
      <w:bCs w:val="false"/>
      <w:i w:val="false"/>
      <w:iCs w:val="false"/>
      <w:sz w:val="22"/>
      <w:szCs w:val="22"/>
    </w:rPr>
  </w:style>
  <w:style w:type="paragraph" w:styleId="Footer">
    <w:name w:val="Footer"/>
    <w:basedOn w:val="Normal"/>
    <w:pPr>
      <w:tabs>
        <w:tab w:val="center" w:pos="4536" w:leader="none"/>
        <w:tab w:val="right" w:pos="9072" w:leader="none"/>
      </w:tabs>
    </w:pPr>
    <w:rPr>
      <w:lang w:val="en-GB"/>
    </w:rPr>
  </w:style>
  <w:style w:type="paragraph" w:styleId="Header">
    <w:name w:val="Header"/>
    <w:basedOn w:val="Normal"/>
    <w:pPr>
      <w:tabs>
        <w:tab w:val="center" w:pos="4536" w:leader="none"/>
        <w:tab w:val="right" w:pos="9072" w:leader="none"/>
      </w:tabs>
    </w:pPr>
    <w:rPr/>
  </w:style>
  <w:style w:type="paragraph" w:styleId="NormalWeb">
    <w:name w:val="Normal (Web)"/>
    <w:basedOn w:val="Normal"/>
    <w:qFormat/>
    <w:pPr>
      <w:spacing w:before="280" w:after="280"/>
    </w:pPr>
    <w:rPr>
      <w:lang w:bidi="en-GB"/>
    </w:rPr>
  </w:style>
  <w:style w:type="paragraph" w:styleId="Textedebulles">
    <w:name w:val="Texte de bulles"/>
    <w:basedOn w:val="Normal"/>
    <w:qFormat/>
    <w:pPr/>
    <w:rPr>
      <w:rFonts w:ascii="Segoe UI" w:hAnsi="Segoe UI" w:cs="Segoe UI"/>
      <w:sz w:val="18"/>
      <w:szCs w:val="18"/>
      <w:lang w:val="en-GB"/>
    </w:rPr>
  </w:style>
  <w:style w:type="paragraph" w:styleId="TextBodyIndent">
    <w:name w:val="Body Text Indent"/>
    <w:basedOn w:val="Normal"/>
    <w:pPr>
      <w:tabs>
        <w:tab w:val="right" w:pos="8222" w:leader="none"/>
      </w:tabs>
      <w:ind w:left="851" w:hanging="0"/>
      <w:jc w:val="both"/>
    </w:pPr>
    <w:rPr>
      <w:szCs w:val="20"/>
      <w:lang w:val="en-GB"/>
    </w:rPr>
  </w:style>
  <w:style w:type="paragraph" w:styleId="Paragraphedeliste">
    <w:name w:val="Paragraphe de liste"/>
    <w:basedOn w:val="Normal"/>
    <w:qFormat/>
    <w:pPr>
      <w:spacing w:before="0" w:after="0"/>
      <w:ind w:left="720" w:hanging="0"/>
      <w:contextualSpacing/>
    </w:pPr>
    <w:rPr>
      <w:rFonts w:eastAsia="Calibri"/>
      <w:sz w:val="22"/>
      <w:szCs w:val="20"/>
    </w:rPr>
  </w:style>
  <w:style w:type="paragraph" w:styleId="Retraitcorpsdetexte2">
    <w:name w:val="Retrait corps de texte 2"/>
    <w:basedOn w:val="Normal"/>
    <w:qFormat/>
    <w:pPr>
      <w:spacing w:lineRule="auto" w:line="480" w:before="0" w:after="120"/>
      <w:ind w:left="283" w:hanging="0"/>
    </w:pPr>
    <w:rPr>
      <w:lang w:val="en-GB"/>
    </w:rPr>
  </w:style>
  <w:style w:type="paragraph" w:styleId="Normalcentr">
    <w:name w:val="Normal centré"/>
    <w:basedOn w:val="Normal"/>
    <w:qFormat/>
    <w:pPr>
      <w:ind w:left="567" w:right="567" w:hanging="0"/>
      <w:jc w:val="both"/>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eleaccords.travail-emploi.gouv.fr/" TargetMode="External"/><Relationship Id="rId3" Type="http://schemas.openxmlformats.org/officeDocument/2006/relationships/hyperlink" Target="mailto:cppnipaysage@unep-fr.org" TargetMode="External"/><Relationship Id="rId4" Type="http://schemas.openxmlformats.org/officeDocument/2006/relationships/hyperlink" Target="http://www.legifrance.gouv.fr/"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2020-01-28T16:54:00Z</dcterms:created>
  <dc:creator/>
  <dc:description/>
  <dc:language>en-GB</dc:language>
  <cp:lastModifiedBy/>
  <cp:lastPrinted>2020-01-23T15:15:00Z</cp:lastPrinted>
  <dcterms:modified xsi:type="dcterms:W3CDTF">2020-01-28T17:17:00Z</dcterms:modified>
  <cp:revision>4</cp:revision>
  <dc:subject/>
  <dc:title>ACCORD COLLECTIF</dc:title>
</cp:coreProperties>
</file>