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footer1.xml.rels"/>
  <Override ContentType="application/vnd.openxmlformats-package.relationships+xml" PartName="/word/_rels/header1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png" PartName="/word/media/image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background w:color="FFFFFF"/>
  <w:body>
    <w:tbl>
      <w:tblPr>
        <w:tblW w:type="dxa" w:w="9070"/>
        <w:jc w:val="left"/>
        <w:tblInd w:type="dxa" w:w="28"/>
        <w:tblLayout w:type="fixed"/>
        <w:tblCellMar>
          <w:top w:type="dxa" w:w="28"/>
          <w:left w:type="dxa" w:w="28"/>
          <w:bottom w:type="dxa" w:w="28"/>
          <w:right w:type="dxa" w:w="28"/>
        </w:tblCellMar>
        <w:tblLook w:firstColumn="0" w:firstRow="0" w:lastColumn="0" w:lastRow="0" w:noHBand="0" w:noVBand="0" w:val="0000"/>
      </w:tblPr>
      <w:tblGrid>
        <w:gridCol w:w="9070"/>
      </w:tblGrid>
      <w:tr>
        <w:trPr/>
        <w:tc>
          <w:tcPr>
            <w:tcW w:type="dxa" w:w="9070"/>
            <w:tcBorders>
              <w:top w:color="000000" w:space="0" w:sz="2" w:val="single"/>
              <w:left w:color="000000" w:space="0" w:sz="2" w:val="single"/>
              <w:bottom w:color="000000" w:space="0" w:sz="2" w:val="single"/>
              <w:right w:color="000000" w:space="0" w:sz="2" w:val="single"/>
            </w:tcBorders>
            <w:shd w:color="auto" w:fill="auto" w:val="clear"/>
          </w:tcPr>
          <w:p>
            <w:pPr>
              <w:pStyle w:val="Contenudetableau"/>
              <w:widowControl w:val="false"/>
              <w:jc w:val="center"/>
              <w:rPr/>
            </w:pPr>
            <w:r>
              <w:rPr>
                <w:b/>
                <w:bCs/>
                <w:sz w:val="32"/>
                <w:szCs w:val="32"/>
              </w:rPr>
              <w:t>ACCORD D’ENTREPRISE RELATIF AU CONTINGENT D’HEURES SUPPLEMENTAIRES ET A LA DEROGATION AUX DUREES MAXIMALES JOURNALIERES ET HEBDOMADAIRES DE TRAVAIL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Calibri" w:cs="Calibri" w:hAnsi="Calibri"/>
          <w:sz w:val="26"/>
          <w:szCs w:val="26"/>
          <w:u w:val="single"/>
        </w:rPr>
      </w:pPr>
      <w:r>
        <w:rPr>
          <w:rFonts w:ascii="Calibri" w:cs="Calibri" w:hAnsi="Calibri"/>
          <w:sz w:val="26"/>
          <w:szCs w:val="26"/>
          <w:u w:val="single"/>
        </w:rPr>
      </w:r>
    </w:p>
    <w:p>
      <w:pPr>
        <w:pStyle w:val="Normal"/>
        <w:rPr>
          <w:rFonts w:ascii="Calibri" w:cs="Calibri" w:hAnsi="Calibri"/>
          <w:sz w:val="26"/>
          <w:szCs w:val="26"/>
          <w:u w:val="single"/>
        </w:rPr>
      </w:pPr>
      <w:r>
        <w:rPr>
          <w:rFonts w:ascii="Calibri" w:cs="Calibri" w:hAnsi="Calibri"/>
          <w:sz w:val="26"/>
          <w:szCs w:val="26"/>
          <w:u w:val="single"/>
        </w:rPr>
      </w:r>
    </w:p>
    <w:p>
      <w:pPr>
        <w:pStyle w:val="Normal"/>
        <w:rPr/>
      </w:pPr>
      <w:r>
        <w:rPr>
          <w:rFonts w:ascii="Calibri" w:cs="Calibri" w:hAnsi="Calibri"/>
          <w:sz w:val="26"/>
          <w:szCs w:val="26"/>
          <w:u w:val="single"/>
        </w:rPr>
        <w:t>Entre les soussignés,</w:t>
      </w:r>
    </w:p>
    <w:p>
      <w:pPr>
        <w:pStyle w:val="Normal"/>
        <w:tabs>
          <w:tab w:pos="708" w:val="clear"/>
          <w:tab w:leader="none" w:pos="960" w:val="left"/>
        </w:tabs>
        <w:spacing w:after="120" w:before="120"/>
        <w:jc w:val="both"/>
        <w:rPr/>
      </w:pPr>
      <w:r>
        <w:rPr>
          <w:rFonts w:ascii="Calibri" w:cs="Calibri" w:hAnsi="Calibri"/>
          <w:sz w:val="22"/>
          <w:szCs w:val="22"/>
        </w:rPr>
        <w:t xml:space="preserve">La </w:t>
      </w:r>
      <w:r>
        <w:rPr>
          <w:rFonts w:ascii="Calibri" w:cs="Calibri" w:hAnsi="Calibri"/>
          <w:b/>
          <w:smallCaps/>
          <w:sz w:val="22"/>
          <w:szCs w:val="22"/>
        </w:rPr>
        <w:t>S.A.S CENM</w:t>
      </w:r>
      <w:r>
        <w:rPr>
          <w:rFonts w:ascii="Calibri" w:cs="Calibri" w:hAnsi="Calibri"/>
          <w:b/>
          <w:smallCaps/>
        </w:rPr>
        <w:t xml:space="preserve"> </w:t>
      </w:r>
      <w:r>
        <w:rPr>
          <w:rFonts w:ascii="Calibri" w:cs="Calibri" w:hAnsi="Calibri"/>
          <w:smallCaps/>
          <w:sz w:val="22"/>
          <w:szCs w:val="22"/>
        </w:rPr>
        <w:t>–</w:t>
      </w:r>
      <w:r>
        <w:rPr>
          <w:rFonts w:ascii="Calibri" w:cs="Calibri" w:hAnsi="Calibri"/>
          <w:sz w:val="22"/>
          <w:szCs w:val="22"/>
        </w:rPr>
        <w:t xml:space="preserve"> dont le siège social est situé 2 rue du Berger 62223 Sainte-Catherine, immatriculée au RC des Sociétés de Arras sous le n° B 949 297 055, représentée par Monsieur </w:t>
      </w:r>
      <w:r>
        <w:rPr>
          <w:rFonts w:ascii="Calibri" w:cs="Calibri" w:hAnsi="Calibri"/>
          <w:sz w:val="22"/>
          <w:szCs w:val="22"/>
        </w:rPr>
        <w:t>XXX</w:t>
      </w:r>
      <w:r>
        <w:rPr>
          <w:rFonts w:ascii="Calibri" w:cs="Calibri" w:hAnsi="Calibri"/>
          <w:sz w:val="22"/>
          <w:szCs w:val="22"/>
        </w:rPr>
        <w:t xml:space="preserve"> gérant de la SARL ELIO,</w:t>
      </w:r>
    </w:p>
    <w:p>
      <w:pPr>
        <w:pStyle w:val="Normal"/>
        <w:tabs>
          <w:tab w:pos="708" w:val="clear"/>
          <w:tab w:leader="none" w:pos="960" w:val="left"/>
        </w:tabs>
        <w:spacing w:after="120" w:before="120"/>
        <w:rPr/>
      </w:pPr>
      <w:r>
        <w:rPr>
          <w:rFonts w:ascii="Calibri" w:cs="Calibri" w:hAnsi="Calibri"/>
          <w:sz w:val="22"/>
          <w:szCs w:val="22"/>
        </w:rPr>
        <w:tab/>
        <w:tab/>
        <w:tab/>
        <w:tab/>
        <w:tab/>
        <w:tab/>
        <w:tab/>
        <w:t>Ci après dénommée</w:t>
      </w:r>
      <w:r>
        <w:rPr>
          <w:rFonts w:ascii="Calibri" w:cs="Calibri" w:hAnsi="Calibri"/>
          <w:b/>
          <w:bCs/>
          <w:sz w:val="22"/>
          <w:szCs w:val="22"/>
        </w:rPr>
        <w:t xml:space="preserve"> « la société »</w:t>
      </w:r>
    </w:p>
    <w:p>
      <w:pPr>
        <w:pStyle w:val="Normal"/>
        <w:spacing w:after="119" w:before="0"/>
        <w:jc w:val="both"/>
        <w:rPr/>
      </w:pPr>
      <w:r>
        <w:rPr>
          <w:rFonts w:ascii="Calibri" w:cs="Calibri" w:hAnsi="Calibri"/>
          <w:sz w:val="26"/>
          <w:szCs w:val="26"/>
        </w:rPr>
        <w:t>Et :</w:t>
      </w:r>
    </w:p>
    <w:p>
      <w:pPr>
        <w:pStyle w:val="Normal"/>
        <w:spacing w:after="113" w:before="0"/>
        <w:jc w:val="both"/>
        <w:rPr/>
      </w:pPr>
      <w:r>
        <w:rPr>
          <w:rFonts w:ascii="Calibri" w:cs="Calibri" w:hAnsi="Calibri"/>
          <w:b/>
          <w:bCs/>
          <w:sz w:val="22"/>
          <w:szCs w:val="22"/>
        </w:rPr>
        <w:t>Les salariés au forfait heure.</w:t>
        <w:tab/>
        <w:tab/>
      </w:r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color w:val="000000"/>
          <w:sz w:val="26"/>
          <w:szCs w:val="26"/>
          <w:u w:val="single"/>
        </w:rPr>
        <w:t>Il a été convenu ce qui suit :</w:t>
      </w:r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b/>
          <w:sz w:val="28"/>
          <w:szCs w:val="28"/>
        </w:rPr>
        <w:t>PREAMBULE</w:t>
      </w:r>
    </w:p>
    <w:p>
      <w:pPr>
        <w:pStyle w:val="Normal"/>
        <w:spacing w:after="119" w:before="0"/>
        <w:jc w:val="both"/>
        <w:rPr/>
      </w:pPr>
      <w:bookmarkStart w:id="0" w:name="_Hlk164067747"/>
      <w:r>
        <w:rPr>
          <w:rFonts w:ascii="Calibri" w:cs="Calibri" w:hAnsi="Calibri"/>
          <w:sz w:val="22"/>
          <w:szCs w:val="22"/>
        </w:rPr>
        <w:t>La société CENM envisage de se développer sur une offre de marché de qualité, en un temps restreint qui justifie un coût de production plus élevé.</w:t>
      </w:r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sz w:val="22"/>
          <w:szCs w:val="22"/>
        </w:rPr>
        <w:t xml:space="preserve">Le développement de l’entreprise et de son image nécessitent donc </w:t>
      </w:r>
      <w:r>
        <w:rPr>
          <w:rFonts w:ascii="Calibri" w:cs="Calibri" w:hAnsi="Calibri"/>
          <w:color w:val="000000"/>
          <w:sz w:val="22"/>
          <w:szCs w:val="22"/>
        </w:rPr>
        <w:t xml:space="preserve">de permettre une augmentation du contingent d’heures supplémentaires et de la durée maximale de travail pour pouvoir répondre à ces exigences.  </w:t>
      </w:r>
      <w:bookmarkEnd w:id="0"/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b/>
          <w:sz w:val="28"/>
          <w:szCs w:val="28"/>
        </w:rPr>
        <w:t>ARTICLE 1 – CHAMP D’APPLICATION</w:t>
      </w:r>
    </w:p>
    <w:p>
      <w:pPr>
        <w:pStyle w:val="Titre2"/>
        <w:numPr>
          <w:ilvl w:val="1"/>
          <w:numId w:val="1"/>
        </w:numPr>
        <w:spacing w:after="227" w:before="0"/>
        <w:ind w:hanging="0" w:left="0" w:right="0"/>
        <w:rPr/>
      </w:pPr>
      <w:r>
        <w:rPr>
          <w:rFonts w:ascii="Calibri" w:cs="Calibri" w:hAnsi="Calibri"/>
          <w:b w:val="false"/>
          <w:color w:val="000000"/>
          <w:sz w:val="22"/>
          <w:szCs w:val="22"/>
        </w:rPr>
        <w:t>Le présent accord s’applique à l’ensemble des salariés à compter du 1</w:t>
      </w:r>
      <w:r>
        <w:rPr>
          <w:rFonts w:ascii="Calibri" w:cs="Calibri" w:hAnsi="Calibri"/>
          <w:b w:val="false"/>
          <w:color w:val="000000"/>
          <w:sz w:val="22"/>
          <w:szCs w:val="22"/>
          <w:vertAlign w:val="superscript"/>
        </w:rPr>
        <w:t>er</w:t>
      </w:r>
      <w:r>
        <w:rPr>
          <w:rFonts w:ascii="Calibri" w:cs="Calibri" w:hAnsi="Calibri"/>
          <w:b w:val="false"/>
          <w:color w:val="000000"/>
          <w:sz w:val="22"/>
          <w:szCs w:val="22"/>
        </w:rPr>
        <w:t xml:space="preserve"> janvier 2024 et est reconduit tacitement.</w:t>
      </w:r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b/>
          <w:bCs/>
          <w:sz w:val="28"/>
          <w:szCs w:val="28"/>
        </w:rPr>
        <w:t>ARTICLE 2 – CONTINGENT D’HEURES SUPPLEMENTAIRES</w:t>
      </w:r>
    </w:p>
    <w:p>
      <w:pPr>
        <w:pStyle w:val="Normal"/>
        <w:keepNext w:val="true"/>
        <w:tabs>
          <w:tab w:pos="708" w:val="clear"/>
          <w:tab w:leader="none" w:pos="1843" w:val="left"/>
        </w:tabs>
        <w:spacing w:after="227" w:before="0"/>
        <w:jc w:val="both"/>
        <w:rPr/>
      </w:pPr>
      <w:r>
        <w:rPr>
          <w:rFonts w:ascii="Calibri" w:cs="Calibri" w:hAnsi="Calibri"/>
          <w:sz w:val="22"/>
          <w:szCs w:val="22"/>
        </w:rPr>
        <w:t>A compter du 1</w:t>
      </w:r>
      <w:r>
        <w:rPr>
          <w:rFonts w:ascii="Calibri" w:cs="Calibri" w:hAnsi="Calibri"/>
          <w:sz w:val="22"/>
          <w:szCs w:val="22"/>
          <w:vertAlign w:val="superscript"/>
        </w:rPr>
        <w:t>er</w:t>
      </w:r>
      <w:r>
        <w:rPr>
          <w:rFonts w:ascii="Calibri" w:cs="Calibri" w:hAnsi="Calibri"/>
          <w:sz w:val="22"/>
          <w:szCs w:val="22"/>
        </w:rPr>
        <w:t xml:space="preserve"> janvier 2024, le contingent d’heures supplémentaires applicables à l’ensemble des salariés de </w:t>
      </w:r>
      <w:r>
        <w:rPr>
          <w:rFonts w:ascii="Calibri" w:cs="Calibri" w:hAnsi="Calibri"/>
          <w:b/>
          <w:bCs/>
          <w:sz w:val="22"/>
          <w:szCs w:val="22"/>
        </w:rPr>
        <w:t xml:space="preserve">« la société » </w:t>
      </w:r>
      <w:r>
        <w:rPr>
          <w:rFonts w:ascii="Calibri" w:cs="Calibri" w:hAnsi="Calibri"/>
          <w:sz w:val="22"/>
          <w:szCs w:val="22"/>
        </w:rPr>
        <w:t>est de 300 heures par an et par salarié.</w:t>
      </w:r>
    </w:p>
    <w:p>
      <w:pPr>
        <w:pStyle w:val="Normal"/>
        <w:spacing w:after="227" w:before="0"/>
        <w:jc w:val="both"/>
        <w:rPr>
          <w:rFonts w:ascii="Calibri" w:cs="Calibri" w:hAnsi="Calibri"/>
          <w:b/>
          <w:bCs/>
          <w:sz w:val="28"/>
          <w:szCs w:val="28"/>
        </w:rPr>
      </w:pPr>
      <w:r>
        <w:rPr>
          <w:rFonts w:ascii="Calibri" w:cs="Calibri" w:hAnsi="Calibri"/>
          <w:b/>
          <w:bCs/>
          <w:sz w:val="28"/>
          <w:szCs w:val="28"/>
        </w:rPr>
        <w:t>ARTICLE 3 – DEROGATION A LA DUREE MAXMALE DES HEURES SUPPLEMENTAIRES</w:t>
      </w:r>
    </w:p>
    <w:p>
      <w:pPr>
        <w:pStyle w:val="Normal"/>
        <w:spacing w:after="227" w:before="0"/>
        <w:jc w:val="both"/>
        <w:rPr>
          <w:rFonts w:ascii="Calibri" w:cs="Calibri" w:hAnsi="Calibri"/>
          <w:bCs/>
          <w:sz w:val="22"/>
          <w:szCs w:val="22"/>
        </w:rPr>
      </w:pPr>
      <w:r>
        <w:rPr>
          <w:rFonts w:ascii="Calibri" w:cs="Calibri" w:hAnsi="Calibri"/>
          <w:bCs/>
          <w:sz w:val="22"/>
          <w:szCs w:val="22"/>
        </w:rPr>
        <w:t xml:space="preserve">Il est dérogé à la durée maximale quotidienne de travail de 10 heures en cas d’activité accrue ou pour des motifs liés à l’organisation de l’entreprise. </w:t>
      </w:r>
    </w:p>
    <w:p>
      <w:pPr>
        <w:pStyle w:val="Normal"/>
        <w:spacing w:after="227" w:before="0"/>
        <w:jc w:val="both"/>
        <w:rPr>
          <w:rFonts w:ascii="Calibri" w:cs="Calibri" w:hAnsi="Calibri"/>
          <w:bCs/>
          <w:sz w:val="22"/>
          <w:szCs w:val="22"/>
        </w:rPr>
      </w:pPr>
      <w:r>
        <w:rPr>
          <w:rFonts w:ascii="Calibri" w:cs="Calibri" w:hAnsi="Calibri"/>
          <w:bCs/>
          <w:sz w:val="22"/>
          <w:szCs w:val="22"/>
        </w:rPr>
        <w:t>La durée maximale quotidienne de travail effective ne pourra excéder 12 heures, conformément à l’article L. 3121-19 du Code du Travail.</w:t>
      </w:r>
    </w:p>
    <w:p>
      <w:pPr>
        <w:pStyle w:val="Normal"/>
        <w:spacing w:after="227" w:before="0"/>
        <w:jc w:val="both"/>
        <w:rPr/>
      </w:pPr>
      <w:r>
        <w:rPr/>
        <w:t>Il est dérogé à la durée maximale hebdomadaire de 44 heures sur une période quelconque de 12 semaines consécutives, dans la limite d’une durée totale maximale de 46 heures.</w:t>
      </w:r>
    </w:p>
    <w:p>
      <w:pPr>
        <w:pStyle w:val="Normal"/>
        <w:spacing w:after="227" w:before="0"/>
        <w:jc w:val="both"/>
        <w:rPr/>
      </w:pPr>
      <w:r>
        <w:rPr>
          <w:rFonts w:ascii="Calibri" w:cs="Calibri" w:hAnsi="Calibri"/>
          <w:b/>
          <w:bCs/>
          <w:sz w:val="28"/>
          <w:szCs w:val="28"/>
        </w:rPr>
        <w:t>ARTICLE 4 – DEROGATION A LA DUREE</w:t>
      </w:r>
    </w:p>
    <w:p>
      <w:pPr>
        <w:pStyle w:val="Normal"/>
        <w:jc w:val="both"/>
        <w:rPr/>
      </w:pPr>
      <w:r>
        <w:rPr>
          <w:rFonts w:ascii="Calibri" w:cs="Calibri" w:hAnsi="Calibri"/>
          <w:sz w:val="22"/>
          <w:szCs w:val="22"/>
        </w:rPr>
        <w:t>Le présent contrat est établi en trois exemplaires originaux, dont l’un a été remis a chaque salarié.</w:t>
      </w:r>
    </w:p>
    <w:p>
      <w:pPr>
        <w:pStyle w:val="Normal"/>
        <w:jc w:val="both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</w:r>
    </w:p>
    <w:p>
      <w:pPr>
        <w:pStyle w:val="Normal"/>
        <w:jc w:val="both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sz w:val="22"/>
          <w:szCs w:val="22"/>
        </w:rPr>
      </w:r>
    </w:p>
    <w:p>
      <w:pPr>
        <w:pStyle w:val="Normal"/>
        <w:jc w:val="both"/>
        <w:rPr>
          <w:rFonts w:ascii="Calibri" w:cs="Calibri" w:hAnsi="Calibri"/>
          <w:color w:val="000000"/>
          <w:sz w:val="22"/>
          <w:szCs w:val="22"/>
          <w:shd w:fill="FFFF00" w:val="clear"/>
        </w:rPr>
      </w:pPr>
      <w:r>
        <w:rPr>
          <w:rFonts w:ascii="Calibri" w:cs="Calibri" w:hAnsi="Calibri"/>
          <w:sz w:val="22"/>
          <w:szCs w:val="22"/>
        </w:rPr>
        <w:t xml:space="preserve">Fait à SAINTE-CATHERINE, le </w:t>
      </w:r>
      <w:r>
        <w:rPr>
          <w:rFonts w:ascii="Calibri" w:cs="Calibri" w:hAnsi="Calibri"/>
          <w:color w:val="000000"/>
          <w:sz w:val="22"/>
          <w:szCs w:val="22"/>
        </w:rPr>
        <w:t>1</w:t>
      </w:r>
      <w:r>
        <w:rPr>
          <w:rFonts w:ascii="Calibri" w:cs="Calibri" w:hAnsi="Calibri"/>
          <w:color w:val="000000"/>
          <w:sz w:val="22"/>
          <w:szCs w:val="22"/>
          <w:vertAlign w:val="superscript"/>
        </w:rPr>
        <w:t>er</w:t>
      </w:r>
      <w:r>
        <w:rPr>
          <w:rFonts w:ascii="Calibri" w:cs="Calibri" w:hAnsi="Calibri"/>
          <w:color w:val="000000"/>
          <w:sz w:val="22"/>
          <w:szCs w:val="22"/>
        </w:rPr>
        <w:t xml:space="preserve"> mars 2024</w:t>
      </w:r>
    </w:p>
    <w:p>
      <w:pPr>
        <w:pStyle w:val="Normal"/>
        <w:jc w:val="both"/>
        <w:rPr>
          <w:rFonts w:ascii="Calibri" w:cs="Calibri" w:hAnsi="Calibri"/>
          <w:color w:val="000000"/>
          <w:sz w:val="22"/>
          <w:szCs w:val="22"/>
          <w:shd w:fill="FFFF00" w:val="clear"/>
        </w:rPr>
      </w:pPr>
      <w:r>
        <w:rPr>
          <w:rFonts w:ascii="Calibri" w:cs="Calibri" w:hAnsi="Calibri"/>
          <w:color w:val="000000"/>
          <w:sz w:val="22"/>
          <w:szCs w:val="22"/>
          <w:shd w:fill="FFFF00" w:val="clear"/>
        </w:rPr>
      </w:r>
    </w:p>
    <w:p>
      <w:pPr>
        <w:pStyle w:val="Normal"/>
        <w:jc w:val="both"/>
        <w:rPr>
          <w:rFonts w:ascii="Calibri" w:cs="Calibri" w:hAnsi="Calibri"/>
          <w:color w:val="000000"/>
          <w:sz w:val="22"/>
          <w:szCs w:val="22"/>
          <w:shd w:fill="FFFF00" w:val="clear"/>
        </w:rPr>
      </w:pPr>
      <w:r>
        <w:rPr>
          <w:rFonts w:ascii="Calibri" w:cs="Calibri" w:hAnsi="Calibri"/>
          <w:color w:val="000000"/>
          <w:sz w:val="22"/>
          <w:szCs w:val="22"/>
          <w:shd w:fill="FFFF00" w:val="clear"/>
        </w:rPr>
      </w:r>
    </w:p>
    <w:p>
      <w:pPr>
        <w:pStyle w:val="Normal"/>
        <w:rPr/>
      </w:pPr>
      <w:r>
        <w:rPr/>
        <w:t>xxx</w:t>
        <w:tab/>
        <w:tab/>
        <w:tab/>
        <w:t>xxx</w:t>
      </w:r>
    </w:p>
    <w:p>
      <w:pPr>
        <w:pStyle w:val="Normal"/>
        <w:rPr>
          <w:rFonts w:ascii="Calibri" w:cs="Calibri" w:hAnsi="Calibri"/>
          <w:i/>
          <w:i/>
          <w:sz w:val="20"/>
          <w:szCs w:val="20"/>
        </w:rPr>
      </w:pPr>
      <w:r>
        <w:rPr>
          <w:rFonts w:ascii="Calibri" w:cs="Calibri" w:hAnsi="Calibri"/>
          <w:i/>
          <w:sz w:val="20"/>
          <w:szCs w:val="20"/>
        </w:rPr>
      </w:r>
    </w:p>
    <w:p>
      <w:pPr>
        <w:pStyle w:val="Normal"/>
        <w:rPr/>
      </w:pPr>
      <w:r>
        <w:rPr/>
      </w:r>
    </w:p>
    <w:sectPr>
      <w:headerReference r:id="rId2" w:type="default"/>
      <w:footerReference r:id="rId3" w:type="default"/>
      <w:type w:val="nextPage"/>
      <w:pgSz w:h="16838" w:w="11906"/>
      <w:pgMar w:bottom="851" w:footer="624" w:gutter="0" w:header="624" w:left="1418" w:right="1418" w:top="851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Symbol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ourier New">
    <w:charset w:val="01"/>
    <w:family w:val="roman"/>
    <w:pitch w:val="default"/>
  </w:font>
  <w:font w:name="Wingdings">
    <w:charset w:val="01"/>
    <w:family w:val="roman"/>
    <w:pitch w:val="default"/>
  </w:font>
  <w:font w:name="Segoe UI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roman"/>
    <w:pitch w:val="default"/>
  </w:font>
  <w:font w:name="Arial">
    <w:charset w:val="01"/>
    <w:family w:val="roman"/>
    <w:pitch w:val="default"/>
  </w:font>
  <w:font w:name="Calibri">
    <w:charset w:val="01"/>
    <w:family w:val="roman"/>
    <w:pitch w:val="default"/>
  </w:font>
  <w:font w:name="Ink Free">
    <w:charset w:val="01"/>
    <w:family w:val="roman"/>
    <w:pitch w:val="default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Pieddepage"/>
      <w:jc w:val="center"/>
      <w:rPr>
        <w:i/>
        <w:i/>
        <w:iCs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Pieddepage"/>
      <w:tabs>
        <w:tab w:pos="4536" w:val="clear"/>
        <w:tab w:pos="9072" w:val="clear"/>
        <w:tab w:leader="none" w:pos="6165" w:val="left"/>
      </w:tabs>
      <w:ind w:hanging="0" w:right="360"/>
      <w:jc w:val="center"/>
      <w:rPr/>
    </w:pPr>
    <w:r>
      <w:rPr>
        <w:i/>
        <w:iCs/>
        <w:sz w:val="20"/>
        <w:szCs w:val="20"/>
      </w:rPr>
      <w:t>CENM  Fabrication de menuiseries aluminium</w:t>
    </w:r>
  </w:p>
  <w:p>
    <w:pPr>
      <w:pStyle w:val="Pieddepage"/>
      <w:tabs>
        <w:tab w:pos="4536" w:val="clear"/>
        <w:tab w:pos="9072" w:val="clear"/>
        <w:tab w:leader="none" w:pos="6165" w:val="left"/>
      </w:tabs>
      <w:ind w:hanging="0" w:right="360"/>
      <w:jc w:val="center"/>
      <w:rPr/>
    </w:pPr>
    <w:r>
      <w:rPr>
        <w:i/>
        <w:iCs/>
        <w:sz w:val="20"/>
        <w:szCs w:val="20"/>
      </w:rPr>
      <w:t xml:space="preserve"> </w:t>
    </w:r>
    <w:r>
      <w:rPr>
        <w:i/>
        <w:iCs/>
        <w:sz w:val="20"/>
        <w:szCs w:val="20"/>
      </w:rPr>
      <w:t>société par actions simplifiées au capital de 1000 €</w:t>
    </w:r>
  </w:p>
  <w:p>
    <w:pPr>
      <w:pStyle w:val="Pieddepage"/>
      <w:tabs>
        <w:tab w:pos="4536" w:val="clear"/>
        <w:tab w:pos="9072" w:val="clear"/>
        <w:tab w:leader="none" w:pos="6165" w:val="left"/>
      </w:tabs>
      <w:ind w:hanging="0" w:right="360"/>
      <w:jc w:val="center"/>
      <w:rPr/>
    </w:pPr>
    <w:r>
      <w:rPr>
        <w:i/>
        <w:iCs/>
        <w:sz w:val="20"/>
        <w:szCs w:val="20"/>
      </w:rPr>
      <w:t>2, rue du Berger 62223 SAINTE-CATHERINE</w:t>
    </w:r>
  </w:p>
  <w:p>
    <w:pPr>
      <w:pStyle w:val="Pieddepage"/>
      <w:tabs>
        <w:tab w:pos="4536" w:val="clear"/>
        <w:tab w:pos="9072" w:val="clear"/>
        <w:tab w:leader="none" w:pos="6165" w:val="left"/>
      </w:tabs>
      <w:ind w:hanging="0" w:right="360"/>
      <w:jc w:val="center"/>
      <w:rPr/>
    </w:pPr>
    <w:hyperlink r:id="rId1">
      <w:r>
        <w:rPr>
          <w:rStyle w:val="LienInternet"/>
          <w:i/>
          <w:iCs/>
          <w:sz w:val="20"/>
          <w:szCs w:val="20"/>
        </w:rPr>
        <w:t>contact@cenm.fr</w:t>
      </w:r>
    </w:hyperlink>
    <w:r>
      <w:rPr>
        <w:i/>
        <w:iCs/>
        <w:sz w:val="20"/>
        <w:szCs w:val="20"/>
      </w:rPr>
      <w:t xml:space="preserve">  -  06 45 78 64 98 /  06 24 96 00 89</w:t>
    </w:r>
  </w:p>
  <w:p>
    <w:pPr>
      <w:pStyle w:val="Pieddepage"/>
      <w:tabs>
        <w:tab w:pos="4536" w:val="clear"/>
        <w:tab w:pos="9072" w:val="clear"/>
        <w:tab w:leader="none" w:pos="6165" w:val="left"/>
      </w:tabs>
      <w:ind w:hanging="0" w:right="360"/>
      <w:jc w:val="center"/>
      <w:rPr/>
    </w:pPr>
    <w:r>
      <w:rPr>
        <w:i/>
        <w:iCs/>
        <w:sz w:val="20"/>
        <w:szCs w:val="20"/>
      </w:rPr>
      <w:t>SIRET : 94929705500020 – RCS : Arras B 949 297 055 –  APE/NAF : 2512Z – TVA : FR83949297055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 w15">
  <w:p>
    <w:pPr>
      <w:pStyle w:val="En-tte"/>
      <w:jc w:val="center"/>
      <w:rPr>
        <w:rFonts w:ascii="Ink Free" w:cs="Ink Free" w:hAnsi="Ink Free"/>
        <w:b/>
        <w:bCs/>
        <w:sz w:val="108"/>
        <w:szCs w:val="108"/>
        <w:lang w:eastAsia="fr-FR" w:val="fr-FR"/>
      </w:rPr>
    </w:pPr>
    <w:r>
      <w:rPr>
        <w:rFonts w:ascii="Ink Free" w:cs="Ink Free" w:hAnsi="Ink Free"/>
        <w:b/>
        <w:bCs/>
        <w:sz w:val="108"/>
        <w:szCs w:val="108"/>
        <w:lang w:eastAsia="fr-FR" w:val="fr-FR"/>
      </w:rPr>
      <mc:AlternateContent>
        <mc:Choice Requires="wps">
          <w:drawing>
            <wp:anchor allowOverlap="1" behindDoc="1" distB="0" distL="0" distR="0" distT="0" layoutInCell="0" locked="0" relativeHeight="3" simplePos="0">
              <wp:simplePos x="0" y="0"/>
              <wp:positionH relativeFrom="column">
                <wp:posOffset>1746250</wp:posOffset>
              </wp:positionH>
              <wp:positionV relativeFrom="paragraph">
                <wp:posOffset>-257175</wp:posOffset>
              </wp:positionV>
              <wp:extent cx="2133600" cy="1021715"/>
              <wp:effectExtent b="0" l="0" r="0" t="0"/>
              <wp:wrapSquare wrapText="bothSides"/>
              <wp:docPr id="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descr="" id="2" name=""/>
                      <pic:cNvPicPr/>
                    </pic:nvPicPr>
                    <pic:blipFill>
                      <a:blip r:embed="rId1">
                        <a:alphaModFix amt="0"/>
                      </a:blip>
                      <a:stretch/>
                    </pic:blipFill>
                    <pic:spPr>
                      <a:xfrm>
                        <a:off x="0" y="0"/>
                        <a:ext cx="2133720" cy="10216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coordsize="21600,21600" filled="f" id="_x0000_t75" o:preferrelative="t" o:spt="75" path="m@4@5l@4@11@9@11@9@5xe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aspectratio="t" v:ext="edit"/>
            </v:shapetype>
            <v:shape id="shape_0" o:allowincell="f" stroked="f" style="position:absolute;margin-left:137.5pt;margin-top:-20.25pt;width:167.95pt;height:80.4pt;mso-wrap-style:none;v-text-anchor:middle" type="_x0000_t75">
              <v:imagedata o:detectmouseclick="t" r:id="rId2"/>
              <v:stroke color="#3465a4" endcap="flat" joinstyle="round"/>
              <w10:wrap type="square"/>
            </v:shape>
          </w:pict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08"/>
  <w:autoHyphenation w:val="true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bidi="" w:eastAsia="" w:val="fr-FR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/>
      <w:suppressAutoHyphens w:val="true"/>
      <w:bidi w:val="0"/>
      <w:spacing w:after="0" w:before="0"/>
      <w:jc w:val="left"/>
    </w:pPr>
    <w:rPr>
      <w:rFonts w:ascii="Times New Roman" w:cs="Times New Roman" w:eastAsia="Times New Roman" w:hAnsi="Times New Roman"/>
      <w:color w:val="auto"/>
      <w:kern w:val="0"/>
      <w:sz w:val="24"/>
      <w:szCs w:val="24"/>
      <w:lang w:bidi="ar-SA" w:eastAsia="zh-CN" w:val="fr-FR"/>
    </w:rPr>
  </w:style>
  <w:style w:styleId="Titre1" w:type="paragraph">
    <w:name w:val="Heading 1"/>
    <w:basedOn w:val="Normal"/>
    <w:next w:val="Normal"/>
    <w:qFormat/>
    <w:pPr>
      <w:keepNext w:val="true"/>
      <w:numPr>
        <w:ilvl w:val="0"/>
        <w:numId w:val="1"/>
      </w:numPr>
      <w:ind w:hanging="0" w:left="1620"/>
      <w:jc w:val="center"/>
      <w:outlineLvl w:val="0"/>
    </w:pPr>
    <w:rPr>
      <w:b/>
      <w:bCs/>
      <w:sz w:val="40"/>
    </w:rPr>
  </w:style>
  <w:style w:styleId="Titre2" w:type="paragraph">
    <w:name w:val="Heading 2"/>
    <w:basedOn w:val="Normal"/>
    <w:next w:val="Normal"/>
    <w:qFormat/>
    <w:pPr>
      <w:keepNext w:val="true"/>
      <w:numPr>
        <w:ilvl w:val="1"/>
        <w:numId w:val="1"/>
      </w:numPr>
      <w:ind w:hanging="0" w:left="1620" w:right="-828"/>
      <w:jc w:val="both"/>
      <w:outlineLvl w:val="1"/>
    </w:pPr>
    <w:rPr>
      <w:b/>
      <w:bCs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WW8Num1z0" w:type="character">
    <w:name w:val="WW8Num1z0"/>
    <w:qFormat/>
    <w:rPr/>
  </w:style>
  <w:style w:customStyle="1" w:styleId="WW8Num1z1" w:type="character">
    <w:name w:val="WW8Num1z1"/>
    <w:qFormat/>
    <w:rPr/>
  </w:style>
  <w:style w:customStyle="1" w:styleId="WW8Num1z2" w:type="character">
    <w:name w:val="WW8Num1z2"/>
    <w:qFormat/>
    <w:rPr/>
  </w:style>
  <w:style w:customStyle="1" w:styleId="WW8Num1z3" w:type="character">
    <w:name w:val="WW8Num1z3"/>
    <w:qFormat/>
    <w:rPr/>
  </w:style>
  <w:style w:customStyle="1" w:styleId="WW8Num1z4" w:type="character">
    <w:name w:val="WW8Num1z4"/>
    <w:qFormat/>
    <w:rPr/>
  </w:style>
  <w:style w:customStyle="1" w:styleId="WW8Num1z5" w:type="character">
    <w:name w:val="WW8Num1z5"/>
    <w:qFormat/>
    <w:rPr/>
  </w:style>
  <w:style w:customStyle="1" w:styleId="WW8Num1z6" w:type="character">
    <w:name w:val="WW8Num1z6"/>
    <w:qFormat/>
    <w:rPr/>
  </w:style>
  <w:style w:customStyle="1" w:styleId="WW8Num1z7" w:type="character">
    <w:name w:val="WW8Num1z7"/>
    <w:qFormat/>
    <w:rPr/>
  </w:style>
  <w:style w:customStyle="1" w:styleId="WW8Num1z8" w:type="character">
    <w:name w:val="WW8Num1z8"/>
    <w:qFormat/>
    <w:rPr/>
  </w:style>
  <w:style w:customStyle="1" w:styleId="WW8Num2z0" w:type="character">
    <w:name w:val="WW8Num2z0"/>
    <w:qFormat/>
    <w:rPr>
      <w:rFonts w:ascii="Symbol" w:cs="OpenSymbol" w:hAnsi="Symbol"/>
    </w:rPr>
  </w:style>
  <w:style w:customStyle="1" w:styleId="WW8Num2z1" w:type="character">
    <w:name w:val="WW8Num2z1"/>
    <w:qFormat/>
    <w:rPr>
      <w:rFonts w:ascii="OpenSymbol" w:cs="OpenSymbol" w:hAnsi="OpenSymbol"/>
    </w:rPr>
  </w:style>
  <w:style w:customStyle="1" w:styleId="WW8Num3z0" w:type="character">
    <w:name w:val="WW8Num3z0"/>
    <w:qFormat/>
    <w:rPr>
      <w:rFonts w:ascii="Symbol" w:cs="Symbol" w:hAnsi="Symbol"/>
      <w:color w:val="000000"/>
    </w:rPr>
  </w:style>
  <w:style w:customStyle="1" w:styleId="WW8Num4z0" w:type="character">
    <w:name w:val="WW8Num4z0"/>
    <w:qFormat/>
    <w:rPr/>
  </w:style>
  <w:style w:customStyle="1" w:styleId="WW8Num5z0" w:type="character">
    <w:name w:val="WW8Num5z0"/>
    <w:qFormat/>
    <w:rPr>
      <w:rFonts w:ascii="Symbol" w:cs="OpenSymbol" w:hAnsi="Symbol"/>
    </w:rPr>
  </w:style>
  <w:style w:customStyle="1" w:styleId="WW8Num5z1" w:type="character">
    <w:name w:val="WW8Num5z1"/>
    <w:qFormat/>
    <w:rPr>
      <w:rFonts w:ascii="OpenSymbol" w:cs="OpenSymbol" w:hAnsi="OpenSymbol"/>
    </w:rPr>
  </w:style>
  <w:style w:customStyle="1" w:styleId="WW8Num3z1" w:type="character">
    <w:name w:val="WW8Num3z1"/>
    <w:qFormat/>
    <w:rPr>
      <w:rFonts w:ascii="Courier New" w:cs="Courier New" w:hAnsi="Courier New"/>
    </w:rPr>
  </w:style>
  <w:style w:customStyle="1" w:styleId="WW8Num3z2" w:type="character">
    <w:name w:val="WW8Num3z2"/>
    <w:qFormat/>
    <w:rPr>
      <w:rFonts w:ascii="Wingdings" w:cs="Wingdings" w:hAnsi="Wingdings"/>
    </w:rPr>
  </w:style>
  <w:style w:customStyle="1" w:styleId="WW8Num3z3" w:type="character">
    <w:name w:val="WW8Num3z3"/>
    <w:qFormat/>
    <w:rPr>
      <w:rFonts w:ascii="Symbol" w:cs="Symbol" w:hAnsi="Symbol"/>
    </w:rPr>
  </w:style>
  <w:style w:customStyle="1" w:styleId="WW8Num4z1" w:type="character">
    <w:name w:val="WW8Num4z1"/>
    <w:qFormat/>
    <w:rPr>
      <w:rFonts w:ascii="Courier New" w:cs="Courier New" w:hAnsi="Courier New"/>
    </w:rPr>
  </w:style>
  <w:style w:customStyle="1" w:styleId="WW8Num4z2" w:type="character">
    <w:name w:val="WW8Num4z2"/>
    <w:qFormat/>
    <w:rPr>
      <w:rFonts w:ascii="Wingdings" w:cs="Wingdings" w:hAnsi="Wingdings"/>
    </w:rPr>
  </w:style>
  <w:style w:customStyle="1" w:styleId="WW8Num4z3" w:type="character">
    <w:name w:val="WW8Num4z3"/>
    <w:qFormat/>
    <w:rPr>
      <w:rFonts w:ascii="Symbol" w:cs="Symbol" w:hAnsi="Symbol"/>
    </w:rPr>
  </w:style>
  <w:style w:customStyle="1" w:styleId="WW8Num5z2" w:type="character">
    <w:name w:val="WW8Num5z2"/>
    <w:qFormat/>
    <w:rPr>
      <w:rFonts w:ascii="Wingdings" w:cs="Wingdings" w:hAnsi="Wingdings"/>
    </w:rPr>
  </w:style>
  <w:style w:customStyle="1" w:styleId="WW8Num5z3" w:type="character">
    <w:name w:val="WW8Num5z3"/>
    <w:qFormat/>
    <w:rPr>
      <w:rFonts w:ascii="Symbol" w:cs="Symbol" w:hAnsi="Symbol"/>
    </w:rPr>
  </w:style>
  <w:style w:customStyle="1" w:styleId="WW8Num6z0" w:type="character">
    <w:name w:val="WW8Num6z0"/>
    <w:qFormat/>
    <w:rPr/>
  </w:style>
  <w:style w:customStyle="1" w:styleId="WW8Num6z1" w:type="character">
    <w:name w:val="WW8Num6z1"/>
    <w:qFormat/>
    <w:rPr/>
  </w:style>
  <w:style w:customStyle="1" w:styleId="WW8Num6z2" w:type="character">
    <w:name w:val="WW8Num6z2"/>
    <w:qFormat/>
    <w:rPr/>
  </w:style>
  <w:style w:customStyle="1" w:styleId="WW8Num6z3" w:type="character">
    <w:name w:val="WW8Num6z3"/>
    <w:qFormat/>
    <w:rPr/>
  </w:style>
  <w:style w:customStyle="1" w:styleId="WW8Num6z4" w:type="character">
    <w:name w:val="WW8Num6z4"/>
    <w:qFormat/>
    <w:rPr/>
  </w:style>
  <w:style w:customStyle="1" w:styleId="WW8Num6z5" w:type="character">
    <w:name w:val="WW8Num6z5"/>
    <w:qFormat/>
    <w:rPr/>
  </w:style>
  <w:style w:customStyle="1" w:styleId="WW8Num6z6" w:type="character">
    <w:name w:val="WW8Num6z6"/>
    <w:qFormat/>
    <w:rPr/>
  </w:style>
  <w:style w:customStyle="1" w:styleId="WW8Num6z7" w:type="character">
    <w:name w:val="WW8Num6z7"/>
    <w:qFormat/>
    <w:rPr/>
  </w:style>
  <w:style w:customStyle="1" w:styleId="WW8Num6z8" w:type="character">
    <w:name w:val="WW8Num6z8"/>
    <w:qFormat/>
    <w:rPr/>
  </w:style>
  <w:style w:customStyle="1" w:styleId="WW8Num7z0" w:type="character">
    <w:name w:val="WW8Num7z0"/>
    <w:qFormat/>
    <w:rPr/>
  </w:style>
  <w:style w:customStyle="1" w:styleId="WW8Num8z0" w:type="character">
    <w:name w:val="WW8Num8z0"/>
    <w:qFormat/>
    <w:rPr>
      <w:rFonts w:ascii="Times New Roman" w:cs="Times New Roman" w:eastAsia="Times New Roman" w:hAnsi="Times New Roman"/>
    </w:rPr>
  </w:style>
  <w:style w:customStyle="1" w:styleId="WW8Num8z1" w:type="character">
    <w:name w:val="WW8Num8z1"/>
    <w:qFormat/>
    <w:rPr>
      <w:rFonts w:ascii="Courier New" w:cs="Courier New" w:hAnsi="Courier New"/>
    </w:rPr>
  </w:style>
  <w:style w:customStyle="1" w:styleId="WW8Num8z2" w:type="character">
    <w:name w:val="WW8Num8z2"/>
    <w:qFormat/>
    <w:rPr>
      <w:rFonts w:ascii="Wingdings" w:cs="Wingdings" w:hAnsi="Wingdings"/>
    </w:rPr>
  </w:style>
  <w:style w:customStyle="1" w:styleId="WW8Num8z3" w:type="character">
    <w:name w:val="WW8Num8z3"/>
    <w:qFormat/>
    <w:rPr>
      <w:rFonts w:ascii="Symbol" w:cs="Symbol" w:hAnsi="Symbol"/>
    </w:rPr>
  </w:style>
  <w:style w:customStyle="1" w:styleId="Policepardfaut1" w:type="character">
    <w:name w:val="Police par défaut1"/>
    <w:qFormat/>
    <w:rPr/>
  </w:style>
  <w:style w:styleId="Pagenumber" w:type="character">
    <w:name w:val="page number"/>
    <w:basedOn w:val="Policepardfaut1"/>
    <w:qFormat/>
    <w:rPr/>
  </w:style>
  <w:style w:customStyle="1" w:styleId="PieddepageCar" w:type="character">
    <w:name w:val="Pied de page Car"/>
    <w:qFormat/>
    <w:rPr>
      <w:sz w:val="24"/>
      <w:szCs w:val="24"/>
    </w:rPr>
  </w:style>
  <w:style w:customStyle="1" w:styleId="Marquedecommentaire1" w:type="character">
    <w:name w:val="Marque de commentaire1"/>
    <w:qFormat/>
    <w:rPr>
      <w:sz w:val="16"/>
      <w:szCs w:val="16"/>
    </w:rPr>
  </w:style>
  <w:style w:customStyle="1" w:styleId="CommentaireCar" w:type="character">
    <w:name w:val="Commentaire Car"/>
    <w:basedOn w:val="Policepardfaut1"/>
    <w:qFormat/>
    <w:rPr/>
  </w:style>
  <w:style w:customStyle="1" w:styleId="ObjetducommentaireCar" w:type="character">
    <w:name w:val="Objet du commentaire Car"/>
    <w:qFormat/>
    <w:rPr>
      <w:b/>
      <w:bCs/>
    </w:rPr>
  </w:style>
  <w:style w:customStyle="1" w:styleId="TextedebullesCar" w:type="character">
    <w:name w:val="Texte de bulles Car"/>
    <w:qFormat/>
    <w:rPr>
      <w:rFonts w:ascii="Segoe UI" w:cs="Segoe UI" w:hAnsi="Segoe UI"/>
      <w:sz w:val="18"/>
      <w:szCs w:val="18"/>
    </w:rPr>
  </w:style>
  <w:style w:customStyle="1" w:styleId="En-tteCar" w:type="character">
    <w:name w:val="En-tête Car"/>
    <w:qFormat/>
    <w:rPr>
      <w:sz w:val="24"/>
      <w:szCs w:val="24"/>
    </w:rPr>
  </w:style>
  <w:style w:customStyle="1" w:styleId="CorpsdetexteCar" w:type="character">
    <w:name w:val="Corps de texte Car"/>
    <w:qFormat/>
    <w:rPr>
      <w:sz w:val="24"/>
      <w:szCs w:val="24"/>
    </w:rPr>
  </w:style>
  <w:style w:customStyle="1" w:styleId="Puces" w:type="character">
    <w:name w:val="Puces"/>
    <w:qFormat/>
    <w:rPr>
      <w:rFonts w:ascii="OpenSymbol" w:cs="OpenSymbol" w:eastAsia="OpenSymbol" w:hAnsi="OpenSymbol"/>
    </w:rPr>
  </w:style>
  <w:style w:styleId="LienInternet" w:type="character">
    <w:name w:val="Hyperlink"/>
    <w:rPr>
      <w:color w:val="000080"/>
      <w:u w:val="single"/>
    </w:rPr>
  </w:style>
  <w:style w:styleId="Titre" w:type="paragraph">
    <w:name w:val="Titre"/>
    <w:basedOn w:val="Normal"/>
    <w:next w:val="Corpsdetexte"/>
    <w:qFormat/>
    <w:pPr>
      <w:keepNext w:val="true"/>
      <w:spacing w:after="120" w:before="240"/>
    </w:pPr>
    <w:rPr>
      <w:rFonts w:ascii="Arial" w:cs="Arial Unicode MS" w:eastAsia="Microsoft YaHei" w:hAnsi="Arial"/>
      <w:sz w:val="28"/>
      <w:szCs w:val="28"/>
    </w:rPr>
  </w:style>
  <w:style w:styleId="Corpsdetexte" w:type="paragraph">
    <w:name w:val="Body Text"/>
    <w:basedOn w:val="Normal"/>
    <w:pPr>
      <w:jc w:val="both"/>
    </w:pPr>
    <w:rPr/>
  </w:style>
  <w:style w:styleId="Liste" w:type="paragraph">
    <w:name w:val="List"/>
    <w:basedOn w:val="Corpsdetexte"/>
    <w:pPr/>
    <w:rPr>
      <w:rFonts w:cs="Arial"/>
    </w:rPr>
  </w:style>
  <w:style w:styleId="Lgende" w:type="paragraph">
    <w:name w:val="Caption"/>
    <w:basedOn w:val="Normal"/>
    <w:qFormat/>
    <w:pPr>
      <w:suppressLineNumbers/>
      <w:spacing w:after="120" w:before="120"/>
    </w:pPr>
    <w:rPr>
      <w:rFonts w:ascii="Times New Roman" w:cs="Arial Unicode MS" w:hAnsi="Times New Roman"/>
      <w:i/>
      <w:iCs/>
      <w:sz w:val="24"/>
      <w:szCs w:val="24"/>
    </w:rPr>
  </w:style>
  <w:style w:customStyle="1" w:styleId="Index" w:type="paragraph">
    <w:name w:val="Index"/>
    <w:basedOn w:val="Normal"/>
    <w:qFormat/>
    <w:pPr>
      <w:suppressLineNumbers/>
    </w:pPr>
    <w:rPr>
      <w:rFonts w:cs="Arial"/>
    </w:rPr>
  </w:style>
  <w:style w:customStyle="1" w:styleId="Titre11" w:type="paragraph">
    <w:name w:val="Titre1"/>
    <w:basedOn w:val="Normal"/>
    <w:next w:val="Corpsdetexte"/>
    <w:qFormat/>
    <w:pPr>
      <w:keepNext w:val="true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"/>
      <w:i/>
      <w:iCs/>
    </w:rPr>
  </w:style>
  <w:style w:customStyle="1" w:styleId="Normalcentr1" w:type="paragraph">
    <w:name w:val="Normal centré1"/>
    <w:basedOn w:val="Normal"/>
    <w:qFormat/>
    <w:pPr>
      <w:ind w:hanging="0" w:left="1620" w:right="-828"/>
      <w:jc w:val="both"/>
    </w:pPr>
    <w:rPr/>
  </w:style>
  <w:style w:customStyle="1" w:styleId="En-tteetpieddepage" w:type="paragraph">
    <w:name w:val="En-tête et pied de page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Pieddepage" w:type="paragraph">
    <w:name w:val="Footer"/>
    <w:basedOn w:val="Normal"/>
    <w:pPr>
      <w:tabs>
        <w:tab w:pos="708" w:val="clear"/>
        <w:tab w:leader="none" w:pos="4536" w:val="center"/>
        <w:tab w:leader="none" w:pos="9072" w:val="right"/>
      </w:tabs>
    </w:pPr>
    <w:rPr/>
  </w:style>
  <w:style w:styleId="En-tte" w:type="paragraph">
    <w:name w:val="Header"/>
    <w:basedOn w:val="Normal"/>
    <w:pPr>
      <w:tabs>
        <w:tab w:pos="708" w:val="clear"/>
        <w:tab w:leader="none" w:pos="4536" w:val="center"/>
        <w:tab w:leader="none" w:pos="9072" w:val="right"/>
      </w:tabs>
    </w:pPr>
    <w:rPr/>
  </w:style>
  <w:style w:customStyle="1" w:styleId="Commentaire1" w:type="paragraph">
    <w:name w:val="Commentaire1"/>
    <w:basedOn w:val="Normal"/>
    <w:qFormat/>
    <w:pPr/>
    <w:rPr>
      <w:sz w:val="20"/>
      <w:szCs w:val="20"/>
    </w:rPr>
  </w:style>
  <w:style w:styleId="Annotationsubject" w:type="paragraph">
    <w:name w:val="annotation subject"/>
    <w:basedOn w:val="Commentaire1"/>
    <w:next w:val="Commentaire1"/>
    <w:qFormat/>
    <w:pPr/>
    <w:rPr>
      <w:b/>
      <w:bCs/>
    </w:rPr>
  </w:style>
  <w:style w:styleId="BalloonText" w:type="paragraph">
    <w:name w:val="Balloon Text"/>
    <w:basedOn w:val="Normal"/>
    <w:qFormat/>
    <w:pPr/>
    <w:rPr>
      <w:rFonts w:ascii="Segoe UI" w:cs="Segoe UI" w:hAnsi="Segoe UI"/>
      <w:sz w:val="18"/>
      <w:szCs w:val="18"/>
    </w:rPr>
  </w:style>
  <w:style w:customStyle="1" w:styleId="Default" w:type="paragraph">
    <w:name w:val="Default"/>
    <w:qFormat/>
    <w:pPr>
      <w:widowControl/>
      <w:suppressAutoHyphens w:val="true"/>
      <w:bidi w:val="0"/>
      <w:spacing w:after="0" w:before="0"/>
      <w:jc w:val="left"/>
    </w:pPr>
    <w:rPr>
      <w:rFonts w:ascii="Arial" w:cs="Arial" w:eastAsia="Calibri" w:hAnsi="Arial"/>
      <w:color w:val="000000"/>
      <w:kern w:val="0"/>
      <w:sz w:val="24"/>
      <w:szCs w:val="24"/>
      <w:lang w:bidi="ar-SA" w:eastAsia="zh-CN" w:val="fr-FR"/>
    </w:rPr>
  </w:style>
  <w:style w:customStyle="1" w:styleId="Contenudecadre" w:type="paragraph">
    <w:name w:val="Contenu de cadre"/>
    <w:basedOn w:val="Normal"/>
    <w:qFormat/>
    <w:pPr/>
    <w:rPr/>
  </w:style>
  <w:style w:customStyle="1" w:styleId="Contenudetableau" w:type="paragraph">
    <w:name w:val="Contenu de tableau"/>
    <w:basedOn w:val="Normal"/>
    <w:qFormat/>
    <w:pPr>
      <w:widowControl w:val="false"/>
      <w:suppressLineNumbers/>
    </w:pPr>
    <w:rPr/>
  </w:style>
  <w:style w:customStyle="1" w:styleId="Titredetableau" w:type="paragraph">
    <w:name w:val="Titre de tableau"/>
    <w:basedOn w:val="Contenudetableau"/>
    <w:qFormat/>
    <w:pPr>
      <w:jc w:val="center"/>
    </w:pPr>
    <w:rPr>
      <w:b/>
      <w:bCs/>
    </w:rPr>
  </w:style>
  <w:style w:default="1" w:styleId="NoList" w:type="numbering">
    <w:name w:val="No List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ailto:contact@cenm.fr" TargetMode="External" Type="http://schemas.openxmlformats.org/officeDocument/2006/relationships/hyperlink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Relationship Id="rId2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 CDI OUVRIER</Template>
  <TotalTime>1</TotalTime>
  <Application>LibreOffice/7.5.7.1.M1$Windows_X86_64 LibreOffice_project/9d4bf91ba30c991aaed3b97dd4173f7705c6b5ae</Application>
  <AppVersion>15.0000</AppVersion>
  <Pages>2</Pages>
  <Words>364</Words>
  <Characters>1827</Characters>
  <CharactersWithSpaces>2191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2024-08-28T07:26:00Z</dcterms:created>
  <dc:language>fr-FR</dc:language>
  <cp:lastPrinted>2024-04-15T08:00:00Z</cp:lastPrinted>
  <dcterms:modified xsi:type="dcterms:W3CDTF">2024-08-28T10:19:47Z</dcterms:modified>
  <cp:revision>3</cp:revision>
  <dc:title>CONTRAT DE TRAVAIL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