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rsidP="006D62AC" w:rsidR="008A19BF" w:rsidRDefault="00955D6D" w:rsidRPr="00B332F6">
      <w:pPr>
        <w:pBdr>
          <w:top w:color="auto" w:space="1" w:sz="4" w:val="single"/>
          <w:left w:color="auto" w:space="4" w:sz="4" w:val="single"/>
          <w:bottom w:color="auto" w:space="1" w:sz="4" w:val="single"/>
          <w:right w:color="auto" w:space="4" w:sz="4" w:val="single"/>
        </w:pBdr>
        <w:shd w:color="auto" w:fill="E2EFD9" w:themeFill="accent6" w:themeFillTint="33" w:val="clear"/>
        <w:spacing w:after="240" w:before="240"/>
        <w:jc w:val="center"/>
        <w:rPr>
          <w:b/>
          <w:sz w:val="24"/>
          <w:szCs w:val="24"/>
        </w:rPr>
      </w:pPr>
      <w:r w:rsidRPr="00B332F6">
        <w:rPr>
          <w:b/>
          <w:sz w:val="24"/>
          <w:szCs w:val="24"/>
        </w:rPr>
        <w:t xml:space="preserve">ACCORD </w:t>
      </w:r>
      <w:r w:rsidR="006D62AC" w:rsidRPr="00B332F6">
        <w:rPr>
          <w:b/>
          <w:sz w:val="24"/>
          <w:szCs w:val="24"/>
        </w:rPr>
        <w:t>RELATIF AU</w:t>
      </w:r>
      <w:r w:rsidRPr="00B332F6">
        <w:rPr>
          <w:b/>
          <w:sz w:val="24"/>
          <w:szCs w:val="24"/>
        </w:rPr>
        <w:t xml:space="preserve"> CONTINGENT ANNUEL D’HEURES SUPPLEMENTAIRES</w:t>
      </w:r>
    </w:p>
    <w:p w:rsidP="006D62AC" w:rsidR="006D62AC" w:rsidRDefault="00E20BD4" w:rsidRPr="00B332F6">
      <w:pPr>
        <w:pBdr>
          <w:top w:color="auto" w:space="1" w:sz="4" w:val="single"/>
          <w:left w:color="auto" w:space="4" w:sz="4" w:val="single"/>
          <w:bottom w:color="auto" w:space="1" w:sz="4" w:val="single"/>
          <w:right w:color="auto" w:space="4" w:sz="4" w:val="single"/>
        </w:pBdr>
        <w:shd w:color="auto" w:fill="E2EFD9" w:themeFill="accent6" w:themeFillTint="33" w:val="clear"/>
        <w:spacing w:after="240" w:before="240"/>
        <w:jc w:val="center"/>
        <w:rPr>
          <w:b/>
          <w:sz w:val="24"/>
          <w:szCs w:val="24"/>
        </w:rPr>
      </w:pPr>
      <w:r>
        <w:rPr>
          <w:b/>
          <w:sz w:val="24"/>
          <w:szCs w:val="24"/>
        </w:rPr>
        <w:t>SOCIÉTÉ</w:t>
      </w:r>
    </w:p>
    <w:p w:rsidP="006D62AC" w:rsidR="00702065" w:rsidRDefault="00702065" w:rsidRPr="00B332F6">
      <w:pPr>
        <w:pBdr>
          <w:top w:color="auto" w:space="1" w:sz="4" w:val="single"/>
          <w:left w:color="auto" w:space="4" w:sz="4" w:val="single"/>
          <w:bottom w:color="auto" w:space="1" w:sz="4" w:val="single"/>
          <w:right w:color="auto" w:space="4" w:sz="4" w:val="single"/>
        </w:pBdr>
        <w:shd w:color="auto" w:fill="E2EFD9" w:themeFill="accent6" w:themeFillTint="33" w:val="clear"/>
        <w:spacing w:after="240" w:before="240"/>
        <w:jc w:val="center"/>
        <w:rPr>
          <w:b/>
          <w:sz w:val="24"/>
          <w:szCs w:val="24"/>
        </w:rPr>
      </w:pPr>
      <w:r w:rsidRPr="00B332F6">
        <w:rPr>
          <w:b/>
          <w:sz w:val="24"/>
          <w:szCs w:val="24"/>
        </w:rPr>
        <w:t xml:space="preserve">Du </w:t>
      </w:r>
      <w:r w:rsidR="00F05DF7">
        <w:rPr>
          <w:b/>
          <w:sz w:val="24"/>
          <w:szCs w:val="24"/>
        </w:rPr>
        <w:t>7 juin</w:t>
      </w:r>
      <w:r w:rsidRPr="00B332F6">
        <w:rPr>
          <w:b/>
          <w:sz w:val="24"/>
          <w:szCs w:val="24"/>
        </w:rPr>
        <w:t xml:space="preserve"> 2019</w:t>
      </w:r>
    </w:p>
    <w:p w:rsidP="005B2A74" w:rsidR="00955D6D" w:rsidRDefault="00955D6D" w:rsidRPr="00B332F6">
      <w:pPr>
        <w:spacing w:after="240" w:before="480"/>
        <w:rPr>
          <w:sz w:val="24"/>
          <w:szCs w:val="24"/>
        </w:rPr>
      </w:pPr>
      <w:r w:rsidRPr="00B332F6">
        <w:rPr>
          <w:b/>
          <w:i/>
          <w:sz w:val="24"/>
          <w:szCs w:val="24"/>
          <w:u w:val="single"/>
        </w:rPr>
        <w:t>Entre</w:t>
      </w:r>
      <w:r w:rsidRPr="00B332F6">
        <w:rPr>
          <w:sz w:val="24"/>
          <w:szCs w:val="24"/>
        </w:rPr>
        <w:t xml:space="preserve"> : </w:t>
      </w:r>
    </w:p>
    <w:p w:rsidP="00E036FE" w:rsidR="00955D6D" w:rsidRDefault="00E20BD4" w:rsidRPr="00B332F6">
      <w:pPr>
        <w:spacing w:after="240" w:before="240"/>
        <w:jc w:val="both"/>
        <w:rPr>
          <w:sz w:val="24"/>
          <w:szCs w:val="24"/>
        </w:rPr>
      </w:pPr>
      <w:r>
        <w:rPr>
          <w:b/>
          <w:sz w:val="24"/>
          <w:szCs w:val="24"/>
        </w:rPr>
        <w:t>SOCIÉTÉ</w:t>
      </w:r>
      <w:r w:rsidR="00955D6D" w:rsidRPr="00B332F6">
        <w:rPr>
          <w:sz w:val="24"/>
          <w:szCs w:val="24"/>
        </w:rPr>
        <w:t xml:space="preserve">, société par actions simplifiée à associé unique, au capital de </w:t>
      </w:r>
      <w:r w:rsidR="006D62AC" w:rsidRPr="00B332F6">
        <w:rPr>
          <w:sz w:val="24"/>
          <w:szCs w:val="24"/>
        </w:rPr>
        <w:t>128</w:t>
      </w:r>
      <w:r w:rsidR="00955D6D" w:rsidRPr="00B332F6">
        <w:rPr>
          <w:sz w:val="24"/>
          <w:szCs w:val="24"/>
        </w:rPr>
        <w:t xml:space="preserve"> 000 </w:t>
      </w:r>
      <w:r w:rsidR="006D62AC" w:rsidRPr="00B332F6">
        <w:rPr>
          <w:sz w:val="24"/>
          <w:szCs w:val="24"/>
        </w:rPr>
        <w:t>E</w:t>
      </w:r>
      <w:r w:rsidR="00955D6D" w:rsidRPr="00B332F6">
        <w:rPr>
          <w:sz w:val="24"/>
          <w:szCs w:val="24"/>
        </w:rPr>
        <w:t xml:space="preserve">uros, immatriculée au RCS de </w:t>
      </w:r>
      <w:r w:rsidR="006D62AC" w:rsidRPr="00B332F6">
        <w:rPr>
          <w:sz w:val="24"/>
          <w:szCs w:val="24"/>
        </w:rPr>
        <w:t>Lyon</w:t>
      </w:r>
      <w:r w:rsidR="00955D6D" w:rsidRPr="00B332F6">
        <w:rPr>
          <w:sz w:val="24"/>
          <w:szCs w:val="24"/>
        </w:rPr>
        <w:t xml:space="preserve"> sous le </w:t>
      </w:r>
      <w:proofErr w:type="gramStart"/>
      <w:r w:rsidR="00955D6D" w:rsidRPr="00B332F6">
        <w:rPr>
          <w:sz w:val="24"/>
          <w:szCs w:val="24"/>
        </w:rPr>
        <w:t>numéro ,</w:t>
      </w:r>
      <w:proofErr w:type="gramEnd"/>
      <w:r w:rsidR="00955D6D" w:rsidRPr="00B332F6">
        <w:rPr>
          <w:sz w:val="24"/>
          <w:szCs w:val="24"/>
        </w:rPr>
        <w:t xml:space="preserve"> et dont le siège social, représentée par </w:t>
      </w:r>
      <w:r w:rsidR="006D62AC" w:rsidRPr="00B332F6">
        <w:rPr>
          <w:sz w:val="24"/>
          <w:szCs w:val="24"/>
        </w:rPr>
        <w:t xml:space="preserve">Madame </w:t>
      </w:r>
      <w:r w:rsidR="00955D6D" w:rsidRPr="00B332F6">
        <w:rPr>
          <w:sz w:val="24"/>
          <w:szCs w:val="24"/>
        </w:rPr>
        <w:t xml:space="preserve">agissant en qualité de </w:t>
      </w:r>
      <w:r w:rsidR="006D62AC" w:rsidRPr="00B332F6">
        <w:rPr>
          <w:sz w:val="24"/>
          <w:szCs w:val="24"/>
        </w:rPr>
        <w:t>Direc</w:t>
      </w:r>
      <w:r w:rsidR="00F31DF2">
        <w:rPr>
          <w:sz w:val="24"/>
          <w:szCs w:val="24"/>
        </w:rPr>
        <w:t>teur Général,</w:t>
      </w:r>
      <w:r w:rsidR="00955D6D" w:rsidRPr="00B332F6">
        <w:rPr>
          <w:sz w:val="24"/>
          <w:szCs w:val="24"/>
        </w:rPr>
        <w:t xml:space="preserve"> dûment habilitée aux fins des présentes.</w:t>
      </w:r>
    </w:p>
    <w:p w:rsidP="00E036FE" w:rsidR="00955D6D" w:rsidRDefault="00955D6D" w:rsidRPr="00B332F6">
      <w:pPr>
        <w:spacing w:after="240" w:before="240"/>
        <w:jc w:val="both"/>
        <w:rPr>
          <w:sz w:val="24"/>
          <w:szCs w:val="24"/>
        </w:rPr>
      </w:pPr>
      <w:r w:rsidRPr="00B332F6">
        <w:rPr>
          <w:sz w:val="24"/>
          <w:szCs w:val="24"/>
        </w:rPr>
        <w:t xml:space="preserve">D’une part, </w:t>
      </w:r>
    </w:p>
    <w:p w:rsidP="00E036FE" w:rsidR="00955D6D" w:rsidRDefault="00955D6D" w:rsidRPr="00B332F6">
      <w:pPr>
        <w:spacing w:after="240" w:before="480"/>
        <w:jc w:val="both"/>
        <w:rPr>
          <w:sz w:val="24"/>
          <w:szCs w:val="24"/>
        </w:rPr>
      </w:pPr>
      <w:r w:rsidRPr="00B332F6">
        <w:rPr>
          <w:b/>
          <w:i/>
          <w:sz w:val="24"/>
          <w:szCs w:val="24"/>
          <w:u w:val="single"/>
        </w:rPr>
        <w:t>Et</w:t>
      </w:r>
      <w:r w:rsidRPr="00B332F6">
        <w:rPr>
          <w:sz w:val="24"/>
          <w:szCs w:val="24"/>
        </w:rPr>
        <w:t xml:space="preserve"> : </w:t>
      </w:r>
    </w:p>
    <w:p w:rsidP="00E036FE" w:rsidR="00955D6D" w:rsidRDefault="00955D6D" w:rsidRPr="00B332F6">
      <w:pPr>
        <w:spacing w:after="240" w:before="240"/>
        <w:jc w:val="both"/>
        <w:rPr>
          <w:sz w:val="24"/>
          <w:szCs w:val="24"/>
        </w:rPr>
      </w:pPr>
      <w:r w:rsidRPr="00B332F6">
        <w:rPr>
          <w:sz w:val="24"/>
          <w:szCs w:val="24"/>
        </w:rPr>
        <w:t xml:space="preserve">Les membres titulaires du Comité social et économique de la </w:t>
      </w:r>
      <w:r w:rsidR="00E20BD4">
        <w:rPr>
          <w:sz w:val="24"/>
          <w:szCs w:val="24"/>
        </w:rPr>
        <w:t>Société</w:t>
      </w:r>
      <w:r w:rsidRPr="00B332F6">
        <w:rPr>
          <w:sz w:val="24"/>
          <w:szCs w:val="24"/>
        </w:rPr>
        <w:t xml:space="preserve"> : </w:t>
      </w:r>
    </w:p>
    <w:p w:rsidP="00096FE8" w:rsidR="00096FE8" w:rsidRDefault="00096FE8">
      <w:pPr>
        <w:pStyle w:val="Paragraphedeliste"/>
        <w:numPr>
          <w:ilvl w:val="0"/>
          <w:numId w:val="1"/>
        </w:numPr>
        <w:spacing w:after="240" w:before="240"/>
        <w:ind w:hanging="357" w:left="714"/>
        <w:contextualSpacing w:val="0"/>
        <w:jc w:val="both"/>
        <w:rPr>
          <w:sz w:val="24"/>
          <w:szCs w:val="24"/>
        </w:rPr>
      </w:pPr>
      <w:proofErr w:type="gramStart"/>
      <w:r w:rsidRPr="00B332F6">
        <w:rPr>
          <w:sz w:val="24"/>
          <w:szCs w:val="24"/>
        </w:rPr>
        <w:t>membre</w:t>
      </w:r>
      <w:proofErr w:type="gramEnd"/>
      <w:r w:rsidRPr="00B332F6">
        <w:rPr>
          <w:sz w:val="24"/>
          <w:szCs w:val="24"/>
        </w:rPr>
        <w:t xml:space="preserve"> titulaire du Comité social et économique de la </w:t>
      </w:r>
      <w:r w:rsidR="00E20BD4">
        <w:rPr>
          <w:sz w:val="24"/>
          <w:szCs w:val="24"/>
        </w:rPr>
        <w:t>Société</w:t>
      </w:r>
      <w:r w:rsidRPr="00B332F6">
        <w:rPr>
          <w:sz w:val="24"/>
          <w:szCs w:val="24"/>
        </w:rPr>
        <w:t xml:space="preserve"> ; </w:t>
      </w:r>
    </w:p>
    <w:p w:rsidP="00E036FE" w:rsidR="00955D6D" w:rsidRDefault="005B2A74" w:rsidRPr="00B332F6">
      <w:pPr>
        <w:pStyle w:val="Paragraphedeliste"/>
        <w:numPr>
          <w:ilvl w:val="0"/>
          <w:numId w:val="1"/>
        </w:numPr>
        <w:spacing w:after="240" w:before="240"/>
        <w:ind w:hanging="357" w:left="714"/>
        <w:contextualSpacing w:val="0"/>
        <w:jc w:val="both"/>
        <w:rPr>
          <w:sz w:val="24"/>
          <w:szCs w:val="24"/>
        </w:rPr>
      </w:pPr>
      <w:proofErr w:type="gramStart"/>
      <w:r w:rsidRPr="00B332F6">
        <w:rPr>
          <w:sz w:val="24"/>
          <w:szCs w:val="24"/>
        </w:rPr>
        <w:t>membre</w:t>
      </w:r>
      <w:proofErr w:type="gramEnd"/>
      <w:r w:rsidRPr="00B332F6">
        <w:rPr>
          <w:sz w:val="24"/>
          <w:szCs w:val="24"/>
        </w:rPr>
        <w:t xml:space="preserve"> titulaire du Comité social et économique de la </w:t>
      </w:r>
      <w:r w:rsidR="00E20BD4">
        <w:rPr>
          <w:sz w:val="24"/>
          <w:szCs w:val="24"/>
        </w:rPr>
        <w:t>Société</w:t>
      </w:r>
      <w:r w:rsidRPr="00B332F6">
        <w:rPr>
          <w:sz w:val="24"/>
          <w:szCs w:val="24"/>
        </w:rPr>
        <w:t xml:space="preserve"> ; </w:t>
      </w:r>
    </w:p>
    <w:p w:rsidP="00E036FE" w:rsidR="00955D6D" w:rsidRDefault="005B2A74" w:rsidRPr="00B332F6">
      <w:pPr>
        <w:spacing w:after="240" w:before="240"/>
        <w:jc w:val="both"/>
        <w:rPr>
          <w:sz w:val="24"/>
          <w:szCs w:val="24"/>
        </w:rPr>
      </w:pPr>
      <w:r w:rsidRPr="00B332F6">
        <w:rPr>
          <w:sz w:val="24"/>
          <w:szCs w:val="24"/>
        </w:rPr>
        <w:t>D’autre part. </w:t>
      </w:r>
    </w:p>
    <w:p w:rsidP="006D62AC" w:rsidR="005B2A74" w:rsidRDefault="005B2A74" w:rsidRPr="00B332F6">
      <w:pPr>
        <w:tabs>
          <w:tab w:pos="9072" w:val="right"/>
        </w:tabs>
        <w:spacing w:after="240" w:before="480"/>
        <w:jc w:val="both"/>
        <w:rPr>
          <w:b/>
          <w:i/>
          <w:sz w:val="24"/>
          <w:szCs w:val="24"/>
          <w:u w:val="single"/>
        </w:rPr>
      </w:pPr>
      <w:r w:rsidRPr="00B332F6">
        <w:rPr>
          <w:b/>
          <w:i/>
          <w:sz w:val="24"/>
          <w:szCs w:val="24"/>
          <w:u w:val="single"/>
        </w:rPr>
        <w:t>Préambule</w:t>
      </w:r>
      <w:r w:rsidR="006D62AC" w:rsidRPr="00B332F6">
        <w:rPr>
          <w:b/>
          <w:i/>
          <w:sz w:val="24"/>
          <w:szCs w:val="24"/>
          <w:u w:val="single"/>
        </w:rPr>
        <w:tab/>
      </w:r>
    </w:p>
    <w:p w:rsidP="00E036FE" w:rsidR="005B2A74" w:rsidRDefault="005B2A74" w:rsidRPr="00B332F6">
      <w:pPr>
        <w:jc w:val="both"/>
        <w:rPr>
          <w:sz w:val="24"/>
          <w:szCs w:val="24"/>
        </w:rPr>
      </w:pPr>
      <w:r w:rsidRPr="00B332F6">
        <w:rPr>
          <w:sz w:val="24"/>
          <w:szCs w:val="24"/>
        </w:rPr>
        <w:t>La loi</w:t>
      </w:r>
      <w:r w:rsidR="00EF0E3D" w:rsidRPr="00B332F6">
        <w:rPr>
          <w:sz w:val="24"/>
          <w:szCs w:val="24"/>
        </w:rPr>
        <w:t xml:space="preserve"> n°2008-789</w:t>
      </w:r>
      <w:r w:rsidRPr="00B332F6">
        <w:rPr>
          <w:sz w:val="24"/>
          <w:szCs w:val="24"/>
        </w:rPr>
        <w:t xml:space="preserve"> du 20 août 2008 portant rénovation de la démocratie sociale et réforme du temps de travail a modifié les modalités de fixation du contingent annuel d’heures supplémentaires.</w:t>
      </w:r>
    </w:p>
    <w:p w:rsidP="00E036FE" w:rsidR="005B2A74" w:rsidRDefault="005B2A74" w:rsidRPr="00B332F6">
      <w:pPr>
        <w:jc w:val="both"/>
        <w:rPr>
          <w:sz w:val="24"/>
          <w:szCs w:val="24"/>
        </w:rPr>
      </w:pPr>
      <w:r w:rsidRPr="00B332F6">
        <w:rPr>
          <w:sz w:val="24"/>
          <w:szCs w:val="24"/>
        </w:rPr>
        <w:t xml:space="preserve">Cette loi donne en effet la priorité aux accords d’entreprise pour la fixation de ces modalités. </w:t>
      </w:r>
    </w:p>
    <w:p w:rsidP="00E036FE" w:rsidR="005B2A74" w:rsidRDefault="005B2A74" w:rsidRPr="00B332F6">
      <w:pPr>
        <w:jc w:val="both"/>
        <w:rPr>
          <w:sz w:val="24"/>
          <w:szCs w:val="24"/>
        </w:rPr>
      </w:pPr>
      <w:r w:rsidRPr="00B332F6">
        <w:rPr>
          <w:sz w:val="24"/>
          <w:szCs w:val="24"/>
        </w:rPr>
        <w:t xml:space="preserve">C’est ainsi que la </w:t>
      </w:r>
      <w:r w:rsidR="00E20BD4">
        <w:rPr>
          <w:sz w:val="24"/>
          <w:szCs w:val="24"/>
        </w:rPr>
        <w:t>Société</w:t>
      </w:r>
      <w:r w:rsidRPr="00B332F6">
        <w:rPr>
          <w:sz w:val="24"/>
          <w:szCs w:val="24"/>
        </w:rPr>
        <w:t xml:space="preserve"> et les membres titulaires du Comité social et économique se sont réunis l</w:t>
      </w:r>
      <w:r w:rsidR="00FF45A5">
        <w:rPr>
          <w:sz w:val="24"/>
          <w:szCs w:val="24"/>
        </w:rPr>
        <w:t>e vendredi 3 mai 2019 et le vendredi 7 juin 2019</w:t>
      </w:r>
      <w:r w:rsidR="00461BA4" w:rsidRPr="00B332F6">
        <w:rPr>
          <w:sz w:val="24"/>
          <w:szCs w:val="24"/>
        </w:rPr>
        <w:t xml:space="preserve"> en vue de négocier et conclure le présent accord relatif au contingent annuel d’heures supplémentaires</w:t>
      </w:r>
      <w:r w:rsidR="00195F4E" w:rsidRPr="00B332F6">
        <w:rPr>
          <w:sz w:val="24"/>
          <w:szCs w:val="24"/>
        </w:rPr>
        <w:t>, en application de l’article L.2232-23-1 du Code du travail dans sa version en vigueur au jour de signature des présentes</w:t>
      </w:r>
      <w:r w:rsidR="00461BA4" w:rsidRPr="00B332F6">
        <w:rPr>
          <w:sz w:val="24"/>
          <w:szCs w:val="24"/>
        </w:rPr>
        <w:t>.</w:t>
      </w:r>
    </w:p>
    <w:p w:rsidP="00E036FE" w:rsidR="00F31DF2" w:rsidRDefault="00F31DF2">
      <w:pPr>
        <w:jc w:val="both"/>
        <w:rPr>
          <w:sz w:val="24"/>
          <w:szCs w:val="24"/>
        </w:rPr>
      </w:pPr>
    </w:p>
    <w:p w:rsidP="00E036FE" w:rsidR="00E41C5A" w:rsidRDefault="00E41C5A">
      <w:pPr>
        <w:jc w:val="both"/>
        <w:rPr>
          <w:sz w:val="24"/>
          <w:szCs w:val="24"/>
        </w:rPr>
      </w:pPr>
    </w:p>
    <w:p w:rsidP="00E036FE" w:rsidR="00152A22" w:rsidRDefault="00152A22">
      <w:pPr>
        <w:jc w:val="both"/>
        <w:rPr>
          <w:sz w:val="24"/>
          <w:szCs w:val="24"/>
        </w:rPr>
      </w:pPr>
    </w:p>
    <w:p w:rsidP="00E036FE" w:rsidR="00152A22" w:rsidRDefault="00152A22">
      <w:pPr>
        <w:jc w:val="both"/>
        <w:rPr>
          <w:sz w:val="24"/>
          <w:szCs w:val="24"/>
        </w:rPr>
      </w:pPr>
    </w:p>
    <w:p w:rsidP="00E036FE" w:rsidR="00461BA4" w:rsidRDefault="00461BA4" w:rsidRPr="00B332F6">
      <w:pPr>
        <w:jc w:val="both"/>
        <w:rPr>
          <w:sz w:val="24"/>
          <w:szCs w:val="24"/>
        </w:rPr>
      </w:pPr>
      <w:r w:rsidRPr="00B332F6">
        <w:rPr>
          <w:sz w:val="24"/>
          <w:szCs w:val="24"/>
        </w:rPr>
        <w:lastRenderedPageBreak/>
        <w:t xml:space="preserve">Cet accord s’inscrit dans une volonté commune d’adapter la limite relative au contingent annuel d’heures supplémentaires aux réalités économiques et humaines auxquelles </w:t>
      </w:r>
      <w:r w:rsidR="00EF0E3D" w:rsidRPr="00B332F6">
        <w:rPr>
          <w:sz w:val="24"/>
          <w:szCs w:val="24"/>
        </w:rPr>
        <w:t xml:space="preserve">la </w:t>
      </w:r>
      <w:r w:rsidR="00E20BD4">
        <w:rPr>
          <w:sz w:val="24"/>
          <w:szCs w:val="24"/>
        </w:rPr>
        <w:t>Société</w:t>
      </w:r>
      <w:r w:rsidR="00EF0E3D" w:rsidRPr="00B332F6">
        <w:rPr>
          <w:sz w:val="24"/>
          <w:szCs w:val="24"/>
        </w:rPr>
        <w:t xml:space="preserve"> est</w:t>
      </w:r>
      <w:r w:rsidRPr="00B332F6">
        <w:rPr>
          <w:sz w:val="24"/>
          <w:szCs w:val="24"/>
        </w:rPr>
        <w:t xml:space="preserve"> confronté</w:t>
      </w:r>
      <w:r w:rsidR="00EF0E3D" w:rsidRPr="00B332F6">
        <w:rPr>
          <w:sz w:val="24"/>
          <w:szCs w:val="24"/>
        </w:rPr>
        <w:t>e.</w:t>
      </w:r>
    </w:p>
    <w:p w:rsidP="00E036FE" w:rsidR="00B313C6" w:rsidRDefault="00461BA4" w:rsidRPr="00B332F6">
      <w:pPr>
        <w:jc w:val="both"/>
        <w:rPr>
          <w:sz w:val="24"/>
          <w:szCs w:val="24"/>
        </w:rPr>
      </w:pPr>
      <w:r w:rsidRPr="00B332F6">
        <w:rPr>
          <w:sz w:val="24"/>
          <w:szCs w:val="24"/>
        </w:rPr>
        <w:t xml:space="preserve">En effet, </w:t>
      </w:r>
      <w:r w:rsidR="00B313C6" w:rsidRPr="00B332F6">
        <w:rPr>
          <w:sz w:val="24"/>
          <w:szCs w:val="24"/>
        </w:rPr>
        <w:t xml:space="preserve">la Convention Collective Nationale des </w:t>
      </w:r>
      <w:r w:rsidR="00DF4A68" w:rsidRPr="00B332F6">
        <w:rPr>
          <w:sz w:val="24"/>
          <w:szCs w:val="24"/>
        </w:rPr>
        <w:t xml:space="preserve">Transports routiers de marchandises et activités auxiliaires </w:t>
      </w:r>
      <w:r w:rsidR="00B313C6" w:rsidRPr="00B332F6">
        <w:rPr>
          <w:sz w:val="24"/>
          <w:szCs w:val="24"/>
        </w:rPr>
        <w:t xml:space="preserve">fixe le contingent annuel d’heures supplémentaires </w:t>
      </w:r>
      <w:r w:rsidRPr="00B332F6">
        <w:rPr>
          <w:sz w:val="24"/>
          <w:szCs w:val="24"/>
        </w:rPr>
        <w:t>à 130 heures pour les sédentaires, et</w:t>
      </w:r>
      <w:r w:rsidR="00B313C6" w:rsidRPr="00B332F6">
        <w:rPr>
          <w:sz w:val="24"/>
          <w:szCs w:val="24"/>
        </w:rPr>
        <w:t xml:space="preserve"> à</w:t>
      </w:r>
      <w:r w:rsidRPr="00B332F6">
        <w:rPr>
          <w:sz w:val="24"/>
          <w:szCs w:val="24"/>
        </w:rPr>
        <w:t xml:space="preserve"> 195 heures pour le personnel roulant</w:t>
      </w:r>
      <w:r w:rsidR="00B313C6" w:rsidRPr="00B332F6">
        <w:rPr>
          <w:sz w:val="24"/>
          <w:szCs w:val="24"/>
        </w:rPr>
        <w:t>.</w:t>
      </w:r>
    </w:p>
    <w:p w:rsidP="00E036FE" w:rsidR="00461BA4" w:rsidRDefault="00461BA4" w:rsidRPr="00B332F6">
      <w:pPr>
        <w:jc w:val="both"/>
        <w:rPr>
          <w:sz w:val="24"/>
          <w:szCs w:val="24"/>
        </w:rPr>
      </w:pPr>
      <w:r w:rsidRPr="00B332F6">
        <w:rPr>
          <w:sz w:val="24"/>
          <w:szCs w:val="24"/>
        </w:rPr>
        <w:t xml:space="preserve">Dans une logique de pérennisation et de préservation de la situation économique </w:t>
      </w:r>
      <w:r w:rsidR="00DF4A68" w:rsidRPr="00B332F6">
        <w:rPr>
          <w:sz w:val="24"/>
          <w:szCs w:val="24"/>
        </w:rPr>
        <w:t xml:space="preserve">la </w:t>
      </w:r>
      <w:r w:rsidR="00E20BD4">
        <w:rPr>
          <w:sz w:val="24"/>
          <w:szCs w:val="24"/>
        </w:rPr>
        <w:t>Société</w:t>
      </w:r>
      <w:r w:rsidR="00DF4A68" w:rsidRPr="00B332F6">
        <w:rPr>
          <w:sz w:val="24"/>
          <w:szCs w:val="24"/>
        </w:rPr>
        <w:t xml:space="preserve"> se voyait contrainte</w:t>
      </w:r>
      <w:r w:rsidRPr="00B332F6">
        <w:rPr>
          <w:sz w:val="24"/>
          <w:szCs w:val="24"/>
        </w:rPr>
        <w:t xml:space="preserve"> de limiter le nombre d’heures effectué</w:t>
      </w:r>
      <w:r w:rsidR="00DF4A68" w:rsidRPr="00B332F6">
        <w:rPr>
          <w:sz w:val="24"/>
          <w:szCs w:val="24"/>
        </w:rPr>
        <w:t xml:space="preserve"> </w:t>
      </w:r>
      <w:r w:rsidRPr="00B332F6">
        <w:rPr>
          <w:sz w:val="24"/>
          <w:szCs w:val="24"/>
        </w:rPr>
        <w:t xml:space="preserve">par </w:t>
      </w:r>
      <w:r w:rsidR="00DF4A68" w:rsidRPr="00B332F6">
        <w:rPr>
          <w:sz w:val="24"/>
          <w:szCs w:val="24"/>
        </w:rPr>
        <w:t xml:space="preserve">ses </w:t>
      </w:r>
      <w:r w:rsidRPr="00B332F6">
        <w:rPr>
          <w:sz w:val="24"/>
          <w:szCs w:val="24"/>
        </w:rPr>
        <w:t>salariés en fonction de ces limites.</w:t>
      </w:r>
    </w:p>
    <w:p w:rsidP="00E036FE" w:rsidR="00461BA4" w:rsidRDefault="00461BA4" w:rsidRPr="00B332F6">
      <w:pPr>
        <w:jc w:val="both"/>
        <w:rPr>
          <w:sz w:val="24"/>
          <w:szCs w:val="24"/>
        </w:rPr>
      </w:pPr>
      <w:r w:rsidRPr="00B332F6">
        <w:rPr>
          <w:sz w:val="24"/>
          <w:szCs w:val="24"/>
        </w:rPr>
        <w:t>Or, ces limites ne sont pas en adéquation avec les réalités :</w:t>
      </w:r>
    </w:p>
    <w:p w:rsidP="00E036FE" w:rsidR="00461BA4" w:rsidRDefault="00461BA4" w:rsidRPr="00B332F6">
      <w:pPr>
        <w:pStyle w:val="Paragraphedeliste"/>
        <w:numPr>
          <w:ilvl w:val="0"/>
          <w:numId w:val="1"/>
        </w:numPr>
        <w:spacing w:after="240" w:before="240"/>
        <w:ind w:hanging="357" w:left="714"/>
        <w:contextualSpacing w:val="0"/>
        <w:jc w:val="both"/>
        <w:rPr>
          <w:sz w:val="24"/>
          <w:szCs w:val="24"/>
        </w:rPr>
      </w:pPr>
      <w:r w:rsidRPr="00B332F6">
        <w:rPr>
          <w:sz w:val="24"/>
          <w:szCs w:val="24"/>
        </w:rPr>
        <w:t xml:space="preserve">Tant de l’activité, qui nécessite l’accomplissement d’un nombre d’heures plus important, </w:t>
      </w:r>
    </w:p>
    <w:p w:rsidP="00E036FE" w:rsidR="00461BA4" w:rsidRDefault="00461BA4" w:rsidRPr="00B332F6">
      <w:pPr>
        <w:pStyle w:val="Paragraphedeliste"/>
        <w:numPr>
          <w:ilvl w:val="0"/>
          <w:numId w:val="1"/>
        </w:numPr>
        <w:spacing w:after="240" w:before="240"/>
        <w:ind w:hanging="357" w:left="714"/>
        <w:contextualSpacing w:val="0"/>
        <w:jc w:val="both"/>
        <w:rPr>
          <w:sz w:val="24"/>
          <w:szCs w:val="24"/>
        </w:rPr>
      </w:pPr>
      <w:r w:rsidRPr="00B332F6">
        <w:rPr>
          <w:sz w:val="24"/>
          <w:szCs w:val="24"/>
        </w:rPr>
        <w:t>Que de la volonté des salariés qui désirent travailler plus d’heures.  </w:t>
      </w:r>
    </w:p>
    <w:p w:rsidP="006D62AC" w:rsidR="006D62AC" w:rsidRDefault="006D62AC" w:rsidRPr="00B332F6">
      <w:pPr>
        <w:spacing w:after="240" w:before="240"/>
        <w:jc w:val="both"/>
        <w:rPr>
          <w:sz w:val="24"/>
          <w:szCs w:val="24"/>
        </w:rPr>
      </w:pPr>
      <w:r w:rsidRPr="00B332F6">
        <w:rPr>
          <w:sz w:val="24"/>
          <w:szCs w:val="24"/>
        </w:rPr>
        <w:t xml:space="preserve">Dans ce cadre, il est envisagé de négocier et conclure un accord afin de fixer le contingent annuel d’heures supplémentaires à 220 heures, en vue de permettre : </w:t>
      </w:r>
    </w:p>
    <w:p w:rsidP="006D62AC" w:rsidR="006D62AC" w:rsidRDefault="006D62AC" w:rsidRPr="00B332F6">
      <w:pPr>
        <w:pStyle w:val="Paragraphedeliste"/>
        <w:numPr>
          <w:ilvl w:val="0"/>
          <w:numId w:val="1"/>
        </w:numPr>
        <w:spacing w:after="240" w:before="240"/>
        <w:ind w:hanging="357" w:left="714"/>
        <w:contextualSpacing w:val="0"/>
        <w:jc w:val="both"/>
        <w:rPr>
          <w:sz w:val="24"/>
          <w:szCs w:val="24"/>
        </w:rPr>
      </w:pPr>
      <w:r w:rsidRPr="00B332F6">
        <w:rPr>
          <w:sz w:val="24"/>
          <w:szCs w:val="24"/>
        </w:rPr>
        <w:t>Aux salariés d’effectuer un nombre d’heure plus important, et donc de percevoir la rémunération afférente, précisant que les heures supplémentaires réalisées dans le cadre du contingent annuel d’heures supplémentaires donnent lieu à une réduction de charges salariales et sont exonérées d’impôts sur le revenu</w:t>
      </w:r>
    </w:p>
    <w:p w:rsidP="006D62AC" w:rsidR="006D62AC" w:rsidRDefault="006D62AC" w:rsidRPr="00B332F6">
      <w:pPr>
        <w:pStyle w:val="Paragraphedeliste"/>
        <w:numPr>
          <w:ilvl w:val="0"/>
          <w:numId w:val="1"/>
        </w:numPr>
        <w:spacing w:after="240" w:before="240"/>
        <w:ind w:hanging="357" w:left="714"/>
        <w:contextualSpacing w:val="0"/>
        <w:jc w:val="both"/>
        <w:rPr>
          <w:rFonts w:eastAsia="Times New Roman"/>
          <w:sz w:val="24"/>
          <w:szCs w:val="24"/>
        </w:rPr>
      </w:pPr>
      <w:r w:rsidRPr="00B332F6">
        <w:rPr>
          <w:sz w:val="24"/>
          <w:szCs w:val="24"/>
        </w:rPr>
        <w:t>A l’entreprise</w:t>
      </w:r>
      <w:r w:rsidRPr="00B332F6">
        <w:rPr>
          <w:rFonts w:eastAsia="Times New Roman"/>
          <w:sz w:val="24"/>
          <w:szCs w:val="24"/>
        </w:rPr>
        <w:t xml:space="preserve"> de mieux gérer son activité au regard de la conjoncture économique concurrentielle dans laquelle nous évoluons.</w:t>
      </w:r>
    </w:p>
    <w:p w:rsidP="00195F4E" w:rsidR="00195F4E" w:rsidRDefault="00195F4E" w:rsidRPr="00B332F6">
      <w:pPr>
        <w:spacing w:after="240" w:before="240"/>
        <w:jc w:val="both"/>
        <w:rPr>
          <w:rFonts w:eastAsia="Times New Roman"/>
          <w:sz w:val="24"/>
          <w:szCs w:val="24"/>
        </w:rPr>
      </w:pPr>
      <w:r w:rsidRPr="00B332F6">
        <w:rPr>
          <w:rFonts w:eastAsia="Times New Roman"/>
          <w:sz w:val="24"/>
          <w:szCs w:val="24"/>
        </w:rPr>
        <w:t>Le présent accord a été négocié et conclu dans le respect des dispositions de l’article L.2232-29 du Code du travail en vigueur au jour de signature des présentes.</w:t>
      </w:r>
    </w:p>
    <w:p w:rsidR="00804EAE" w:rsidRDefault="00804EAE">
      <w:pPr>
        <w:rPr>
          <w:b/>
          <w:i/>
          <w:sz w:val="24"/>
          <w:szCs w:val="24"/>
          <w:u w:val="single"/>
        </w:rPr>
      </w:pPr>
      <w:r>
        <w:rPr>
          <w:b/>
          <w:i/>
          <w:sz w:val="24"/>
          <w:szCs w:val="24"/>
          <w:u w:val="single"/>
        </w:rPr>
        <w:br w:type="page"/>
      </w:r>
    </w:p>
    <w:p w:rsidP="00E036FE" w:rsidR="00461BA4" w:rsidRDefault="00E036FE" w:rsidRPr="00B332F6">
      <w:pPr>
        <w:spacing w:after="240" w:before="480"/>
        <w:jc w:val="both"/>
        <w:rPr>
          <w:b/>
          <w:i/>
          <w:sz w:val="24"/>
          <w:szCs w:val="24"/>
          <w:u w:val="single"/>
        </w:rPr>
      </w:pPr>
      <w:r w:rsidRPr="00B332F6">
        <w:rPr>
          <w:b/>
          <w:i/>
          <w:sz w:val="24"/>
          <w:szCs w:val="24"/>
          <w:u w:val="single"/>
        </w:rPr>
        <w:lastRenderedPageBreak/>
        <w:t>Il a donc été convenu ce qui suit</w:t>
      </w:r>
      <w:r w:rsidRPr="00B332F6">
        <w:rPr>
          <w:b/>
          <w:i/>
          <w:sz w:val="24"/>
          <w:szCs w:val="24"/>
        </w:rPr>
        <w:t> :</w:t>
      </w:r>
    </w:p>
    <w:p w:rsidP="00E036FE" w:rsidR="00E036FE" w:rsidRDefault="00E036FE" w:rsidRPr="00B332F6">
      <w:pPr>
        <w:spacing w:before="480"/>
        <w:jc w:val="both"/>
        <w:rPr>
          <w:b/>
          <w:sz w:val="24"/>
          <w:szCs w:val="24"/>
          <w:u w:val="single"/>
        </w:rPr>
      </w:pPr>
      <w:r w:rsidRPr="00B332F6">
        <w:rPr>
          <w:b/>
          <w:sz w:val="24"/>
          <w:szCs w:val="24"/>
          <w:u w:val="single"/>
        </w:rPr>
        <w:t>Article 1 – Champ d’application et objet de l’accord</w:t>
      </w:r>
    </w:p>
    <w:p w:rsidP="00E036FE" w:rsidR="00E036FE" w:rsidRDefault="00E036FE" w:rsidRPr="00B332F6">
      <w:pPr>
        <w:jc w:val="both"/>
        <w:rPr>
          <w:sz w:val="24"/>
          <w:szCs w:val="24"/>
        </w:rPr>
      </w:pPr>
      <w:r w:rsidRPr="00B332F6">
        <w:rPr>
          <w:sz w:val="24"/>
          <w:szCs w:val="24"/>
        </w:rPr>
        <w:t xml:space="preserve">Le présent accord s’applique à l’ensemble des salariés de la </w:t>
      </w:r>
      <w:r w:rsidR="00E20BD4">
        <w:rPr>
          <w:sz w:val="24"/>
          <w:szCs w:val="24"/>
        </w:rPr>
        <w:t>Société</w:t>
      </w:r>
      <w:r w:rsidRPr="00B332F6">
        <w:rPr>
          <w:sz w:val="24"/>
          <w:szCs w:val="24"/>
        </w:rPr>
        <w:t xml:space="preserve"> dont la durée du travail est décomptée en heures.</w:t>
      </w:r>
    </w:p>
    <w:p w:rsidP="00F31DF2" w:rsidR="00F31DF2" w:rsidRDefault="00E036FE" w:rsidRPr="00B332F6">
      <w:pPr>
        <w:jc w:val="both"/>
        <w:rPr>
          <w:sz w:val="24"/>
          <w:szCs w:val="24"/>
        </w:rPr>
      </w:pPr>
      <w:r w:rsidRPr="00B332F6">
        <w:rPr>
          <w:sz w:val="24"/>
          <w:szCs w:val="24"/>
        </w:rPr>
        <w:t>Le présent accord a pour objet de faciliter l’accomplissement des heures supplémentaires dans l’entreprise, dont l’activité est, par nature, sujette à fluctuation.</w:t>
      </w:r>
    </w:p>
    <w:p w:rsidP="00E036FE" w:rsidR="00E036FE" w:rsidRDefault="00E036FE" w:rsidRPr="00B332F6">
      <w:pPr>
        <w:spacing w:before="480"/>
        <w:jc w:val="both"/>
        <w:rPr>
          <w:b/>
          <w:sz w:val="24"/>
          <w:szCs w:val="24"/>
          <w:u w:val="single"/>
        </w:rPr>
      </w:pPr>
      <w:r w:rsidRPr="00B332F6">
        <w:rPr>
          <w:b/>
          <w:sz w:val="24"/>
          <w:szCs w:val="24"/>
          <w:u w:val="single"/>
        </w:rPr>
        <w:t>Article 2 – Fixation du contingent annuel d’heures supplémentaires</w:t>
      </w:r>
    </w:p>
    <w:p w:rsidP="00E036FE" w:rsidR="00BD3126" w:rsidRDefault="00BD3126" w:rsidRPr="00B332F6">
      <w:pPr>
        <w:jc w:val="both"/>
        <w:rPr>
          <w:sz w:val="24"/>
          <w:szCs w:val="24"/>
        </w:rPr>
      </w:pPr>
      <w:r w:rsidRPr="00B332F6">
        <w:rPr>
          <w:sz w:val="24"/>
          <w:szCs w:val="24"/>
        </w:rPr>
        <w:t>Le contingent annuel d’heures supplémentaires fixé par la Convention Collective Nationale des Transports routiers de marchandise</w:t>
      </w:r>
      <w:r w:rsidR="00DF4A68" w:rsidRPr="00B332F6">
        <w:rPr>
          <w:sz w:val="24"/>
          <w:szCs w:val="24"/>
        </w:rPr>
        <w:t>s</w:t>
      </w:r>
      <w:r w:rsidRPr="00B332F6">
        <w:rPr>
          <w:sz w:val="24"/>
          <w:szCs w:val="24"/>
        </w:rPr>
        <w:t xml:space="preserve"> et activités auxiliaires est de 130 heures pour les sédentaires, et à 195 heures pour le personnel roulant.</w:t>
      </w:r>
    </w:p>
    <w:p w:rsidP="00E036FE" w:rsidR="00BD3126" w:rsidRDefault="00BD3126" w:rsidRPr="00B332F6">
      <w:pPr>
        <w:jc w:val="both"/>
        <w:rPr>
          <w:sz w:val="24"/>
          <w:szCs w:val="24"/>
        </w:rPr>
      </w:pPr>
      <w:r w:rsidRPr="00B332F6">
        <w:rPr>
          <w:sz w:val="24"/>
          <w:szCs w:val="24"/>
        </w:rPr>
        <w:t>Le présent accord a pour objet d’augmenter le contingent annuel d’heures supplémentaires et de le fixer à 220 heures par an et par salarié, par référence au contingent fixé par le Code du travail (Article D.3121-24 du Code du travail).</w:t>
      </w:r>
    </w:p>
    <w:p w:rsidP="006D62AC" w:rsidR="00E036FE" w:rsidRDefault="00E036FE" w:rsidRPr="00B332F6">
      <w:pPr>
        <w:rPr>
          <w:b/>
          <w:sz w:val="24"/>
          <w:szCs w:val="24"/>
          <w:u w:val="single"/>
        </w:rPr>
      </w:pPr>
      <w:r w:rsidRPr="00B332F6">
        <w:rPr>
          <w:b/>
          <w:sz w:val="24"/>
          <w:szCs w:val="24"/>
          <w:u w:val="single"/>
        </w:rPr>
        <w:t>Article 3 – Période de référence</w:t>
      </w:r>
    </w:p>
    <w:p w:rsidP="00E036FE" w:rsidR="00E036FE" w:rsidRDefault="00E036FE" w:rsidRPr="00B332F6">
      <w:pPr>
        <w:jc w:val="both"/>
        <w:rPr>
          <w:sz w:val="24"/>
          <w:szCs w:val="24"/>
        </w:rPr>
      </w:pPr>
      <w:r w:rsidRPr="00B332F6">
        <w:rPr>
          <w:sz w:val="24"/>
          <w:szCs w:val="24"/>
        </w:rPr>
        <w:t>La période de référence du décompte du contingent est l’année civile, soit du 1</w:t>
      </w:r>
      <w:r w:rsidRPr="00B332F6">
        <w:rPr>
          <w:sz w:val="24"/>
          <w:szCs w:val="24"/>
          <w:vertAlign w:val="superscript"/>
        </w:rPr>
        <w:t>er</w:t>
      </w:r>
      <w:r w:rsidRPr="00B332F6">
        <w:rPr>
          <w:sz w:val="24"/>
          <w:szCs w:val="24"/>
        </w:rPr>
        <w:t xml:space="preserve"> janvier au 31 décembre de la même année.</w:t>
      </w:r>
    </w:p>
    <w:p w:rsidP="00E036FE" w:rsidR="00E036FE" w:rsidRDefault="00E036FE" w:rsidRPr="00B332F6">
      <w:pPr>
        <w:spacing w:before="480"/>
        <w:jc w:val="both"/>
        <w:rPr>
          <w:b/>
          <w:sz w:val="24"/>
          <w:szCs w:val="24"/>
          <w:u w:val="single"/>
        </w:rPr>
      </w:pPr>
      <w:r w:rsidRPr="00B332F6">
        <w:rPr>
          <w:b/>
          <w:sz w:val="24"/>
          <w:szCs w:val="24"/>
          <w:u w:val="single"/>
        </w:rPr>
        <w:t xml:space="preserve">Article </w:t>
      </w:r>
      <w:r w:rsidR="00BD3126" w:rsidRPr="00B332F6">
        <w:rPr>
          <w:b/>
          <w:sz w:val="24"/>
          <w:szCs w:val="24"/>
          <w:u w:val="single"/>
        </w:rPr>
        <w:t>4</w:t>
      </w:r>
      <w:r w:rsidRPr="00B332F6">
        <w:rPr>
          <w:b/>
          <w:sz w:val="24"/>
          <w:szCs w:val="24"/>
          <w:u w:val="single"/>
        </w:rPr>
        <w:t xml:space="preserve"> – </w:t>
      </w:r>
      <w:r w:rsidR="00BD3126" w:rsidRPr="00B332F6">
        <w:rPr>
          <w:b/>
          <w:sz w:val="24"/>
          <w:szCs w:val="24"/>
          <w:u w:val="single"/>
        </w:rPr>
        <w:t>Durée et application de l’accord</w:t>
      </w:r>
    </w:p>
    <w:p w:rsidP="00DF4A68" w:rsidR="00BD3126" w:rsidRDefault="00BD3126" w:rsidRPr="00B332F6">
      <w:pPr>
        <w:jc w:val="both"/>
        <w:rPr>
          <w:sz w:val="24"/>
          <w:szCs w:val="24"/>
        </w:rPr>
      </w:pPr>
      <w:r w:rsidRPr="00B332F6">
        <w:rPr>
          <w:sz w:val="24"/>
          <w:szCs w:val="24"/>
        </w:rPr>
        <w:t>Le présent accord est conclu pour une durée indéterminée.</w:t>
      </w:r>
    </w:p>
    <w:p w:rsidP="00DF4A68" w:rsidR="00BD3126" w:rsidRDefault="00BD3126" w:rsidRPr="00B332F6">
      <w:pPr>
        <w:jc w:val="both"/>
        <w:rPr>
          <w:sz w:val="24"/>
          <w:szCs w:val="24"/>
        </w:rPr>
      </w:pPr>
      <w:r w:rsidRPr="00B332F6">
        <w:rPr>
          <w:sz w:val="24"/>
          <w:szCs w:val="24"/>
        </w:rPr>
        <w:t>Il sera applicable pour le calcul du contingent annuel d’heures supplémentaires à compter de l’exercice 201</w:t>
      </w:r>
      <w:r w:rsidR="006D62AC" w:rsidRPr="00B332F6">
        <w:rPr>
          <w:sz w:val="24"/>
          <w:szCs w:val="24"/>
        </w:rPr>
        <w:t>9</w:t>
      </w:r>
      <w:r w:rsidRPr="00B332F6">
        <w:rPr>
          <w:sz w:val="24"/>
          <w:szCs w:val="24"/>
        </w:rPr>
        <w:t>.</w:t>
      </w:r>
    </w:p>
    <w:p w:rsidP="00DF4A68" w:rsidR="00BD3126" w:rsidRDefault="00BD3126" w:rsidRPr="00B332F6">
      <w:pPr>
        <w:jc w:val="both"/>
        <w:rPr>
          <w:sz w:val="24"/>
          <w:szCs w:val="24"/>
        </w:rPr>
      </w:pPr>
      <w:r w:rsidRPr="00B332F6">
        <w:rPr>
          <w:sz w:val="24"/>
          <w:szCs w:val="24"/>
        </w:rPr>
        <w:t>Le présent accord se substitue de plein droit et en intégralité à toute pratique, usage, engagement unilatéral ou accord collectif ou atypique antérieur à sa date d’entrée en vigueur et ayant un objet identique.</w:t>
      </w:r>
    </w:p>
    <w:p w:rsidP="00BD3126" w:rsidR="00BD3126" w:rsidRDefault="00BD3126" w:rsidRPr="00B332F6">
      <w:pPr>
        <w:spacing w:before="480"/>
        <w:jc w:val="both"/>
        <w:rPr>
          <w:b/>
          <w:sz w:val="24"/>
          <w:szCs w:val="24"/>
          <w:u w:val="single"/>
        </w:rPr>
      </w:pPr>
      <w:r w:rsidRPr="00B332F6">
        <w:rPr>
          <w:b/>
          <w:sz w:val="24"/>
          <w:szCs w:val="24"/>
          <w:u w:val="single"/>
        </w:rPr>
        <w:t>Article 5 – Révision de l’accord</w:t>
      </w:r>
    </w:p>
    <w:p w:rsidP="00BD3126" w:rsidR="00BD3126" w:rsidRDefault="00BD3126" w:rsidRPr="00B332F6">
      <w:pPr>
        <w:jc w:val="both"/>
        <w:rPr>
          <w:sz w:val="24"/>
          <w:szCs w:val="24"/>
        </w:rPr>
      </w:pPr>
      <w:r w:rsidRPr="00B332F6">
        <w:rPr>
          <w:sz w:val="24"/>
          <w:szCs w:val="24"/>
        </w:rPr>
        <w:t>Les dispositions du présent accord sont susceptibles d’adaptation pour prendre en compte les éventuelles évolutions législatives,</w:t>
      </w:r>
      <w:r w:rsidRPr="00B332F6">
        <w:rPr>
          <w:rFonts w:cs="Arial"/>
          <w:sz w:val="24"/>
          <w:szCs w:val="24"/>
        </w:rPr>
        <w:t xml:space="preserve"> réglementaires ou conventionnelles</w:t>
      </w:r>
      <w:r w:rsidRPr="00B332F6">
        <w:rPr>
          <w:sz w:val="24"/>
          <w:szCs w:val="24"/>
        </w:rPr>
        <w:t>.</w:t>
      </w:r>
    </w:p>
    <w:p w:rsidP="00BD3126" w:rsidR="00BD3126" w:rsidRDefault="00BD3126" w:rsidRPr="00B332F6">
      <w:pPr>
        <w:jc w:val="both"/>
        <w:rPr>
          <w:sz w:val="24"/>
          <w:szCs w:val="24"/>
        </w:rPr>
      </w:pPr>
      <w:r w:rsidRPr="00B332F6">
        <w:rPr>
          <w:sz w:val="24"/>
          <w:szCs w:val="24"/>
        </w:rPr>
        <w:t>Chaque partie signataire peut déposer une demande de révision de tout ou partie des dispositions du présent accord.</w:t>
      </w:r>
    </w:p>
    <w:p w:rsidP="00BD3126" w:rsidR="00BD3126" w:rsidRDefault="00BD3126" w:rsidRPr="00B332F6">
      <w:pPr>
        <w:jc w:val="both"/>
        <w:rPr>
          <w:sz w:val="24"/>
          <w:szCs w:val="24"/>
        </w:rPr>
      </w:pPr>
      <w:r w:rsidRPr="00B332F6">
        <w:rPr>
          <w:sz w:val="24"/>
          <w:szCs w:val="24"/>
        </w:rPr>
        <w:t>Toute demande de révision doit être portée à la connaissance des autres signataires par courrier AR et être accompagnée d’un projet sur le ou les articles concernés.</w:t>
      </w:r>
    </w:p>
    <w:p w:rsidP="00BD3126" w:rsidR="00152A22" w:rsidRDefault="00152A22">
      <w:pPr>
        <w:spacing w:before="480"/>
        <w:jc w:val="both"/>
        <w:rPr>
          <w:b/>
          <w:sz w:val="24"/>
          <w:szCs w:val="24"/>
          <w:u w:val="single"/>
        </w:rPr>
      </w:pPr>
    </w:p>
    <w:p w:rsidP="00BD3126" w:rsidR="00BD3126" w:rsidRDefault="00BD3126" w:rsidRPr="00B332F6">
      <w:pPr>
        <w:spacing w:before="480"/>
        <w:jc w:val="both"/>
        <w:rPr>
          <w:b/>
          <w:sz w:val="24"/>
          <w:szCs w:val="24"/>
          <w:u w:val="single"/>
        </w:rPr>
      </w:pPr>
      <w:r w:rsidRPr="00B332F6">
        <w:rPr>
          <w:b/>
          <w:sz w:val="24"/>
          <w:szCs w:val="24"/>
          <w:u w:val="single"/>
        </w:rPr>
        <w:t>Article 6 – Dénonciation de l’accord</w:t>
      </w:r>
    </w:p>
    <w:p w:rsidP="00BD3126" w:rsidR="00BD3126" w:rsidRDefault="00BD3126" w:rsidRPr="00B332F6">
      <w:pPr>
        <w:rPr>
          <w:sz w:val="24"/>
          <w:szCs w:val="24"/>
        </w:rPr>
      </w:pPr>
      <w:r w:rsidRPr="00B332F6">
        <w:rPr>
          <w:sz w:val="24"/>
          <w:szCs w:val="24"/>
        </w:rPr>
        <w:t>Le présent accord pourra être dénoncé par une ou plusieurs parties signataires.</w:t>
      </w:r>
    </w:p>
    <w:p w:rsidP="00BD3126" w:rsidR="00BD3126" w:rsidRDefault="00BD3126" w:rsidRPr="00B332F6">
      <w:pPr>
        <w:rPr>
          <w:sz w:val="24"/>
          <w:szCs w:val="24"/>
        </w:rPr>
      </w:pPr>
      <w:r w:rsidRPr="00B332F6">
        <w:rPr>
          <w:sz w:val="24"/>
          <w:szCs w:val="24"/>
        </w:rPr>
        <w:t>La partie signataire qui dénonce l’accord doit en informer chaque partie signataire par courrier AR et procéder aux formalités de publicité requises</w:t>
      </w:r>
      <w:r w:rsidR="00DF4A68" w:rsidRPr="00B332F6">
        <w:rPr>
          <w:sz w:val="24"/>
          <w:szCs w:val="24"/>
        </w:rPr>
        <w:t>.</w:t>
      </w:r>
    </w:p>
    <w:p w:rsidP="00195F4E" w:rsidR="00E036FE" w:rsidRDefault="00BD3126" w:rsidRPr="00B332F6">
      <w:pPr>
        <w:spacing w:before="480"/>
        <w:jc w:val="both"/>
        <w:rPr>
          <w:b/>
          <w:sz w:val="24"/>
          <w:szCs w:val="24"/>
          <w:u w:val="single"/>
        </w:rPr>
      </w:pPr>
      <w:r w:rsidRPr="00B332F6">
        <w:rPr>
          <w:b/>
          <w:sz w:val="24"/>
          <w:szCs w:val="24"/>
          <w:u w:val="single"/>
        </w:rPr>
        <w:t>Article 7 – Publicité et dépôt</w:t>
      </w:r>
    </w:p>
    <w:p w:rsidP="00E036FE" w:rsidR="00BD3126" w:rsidRDefault="00195F4E" w:rsidRPr="00B332F6">
      <w:pPr>
        <w:spacing w:before="240"/>
        <w:jc w:val="both"/>
        <w:rPr>
          <w:sz w:val="24"/>
          <w:szCs w:val="24"/>
        </w:rPr>
      </w:pPr>
      <w:r w:rsidRPr="00B332F6">
        <w:rPr>
          <w:sz w:val="24"/>
          <w:szCs w:val="24"/>
        </w:rPr>
        <w:t xml:space="preserve">Le présent accord sera mis à disposition de chacun des salariés de l’entreprise, qui en seront informés par voie d’affichage sur les panneaux réservés à cet effet. </w:t>
      </w:r>
    </w:p>
    <w:p w:rsidP="00E036FE" w:rsidR="00195F4E" w:rsidRDefault="00195F4E" w:rsidRPr="00B332F6">
      <w:pPr>
        <w:spacing w:before="240"/>
        <w:jc w:val="both"/>
        <w:rPr>
          <w:sz w:val="24"/>
          <w:szCs w:val="24"/>
        </w:rPr>
      </w:pPr>
      <w:r w:rsidRPr="00B332F6">
        <w:rPr>
          <w:sz w:val="24"/>
          <w:szCs w:val="24"/>
        </w:rPr>
        <w:t xml:space="preserve">Le présent accord sera en outre déposé : </w:t>
      </w:r>
    </w:p>
    <w:p w:rsidP="00195F4E" w:rsidR="00195F4E" w:rsidRDefault="00195F4E" w:rsidRPr="00B332F6">
      <w:pPr>
        <w:pStyle w:val="Paragraphedeliste"/>
        <w:numPr>
          <w:ilvl w:val="0"/>
          <w:numId w:val="1"/>
        </w:numPr>
        <w:spacing w:before="240"/>
        <w:jc w:val="both"/>
        <w:rPr>
          <w:sz w:val="24"/>
          <w:szCs w:val="24"/>
        </w:rPr>
      </w:pPr>
      <w:r w:rsidRPr="00B332F6">
        <w:rPr>
          <w:sz w:val="24"/>
          <w:szCs w:val="24"/>
        </w:rPr>
        <w:t>Sur la plateforme « </w:t>
      </w:r>
      <w:proofErr w:type="spellStart"/>
      <w:r w:rsidRPr="00B332F6">
        <w:rPr>
          <w:sz w:val="24"/>
          <w:szCs w:val="24"/>
        </w:rPr>
        <w:t>TéléAccord</w:t>
      </w:r>
      <w:proofErr w:type="spellEnd"/>
      <w:r w:rsidRPr="00B332F6">
        <w:rPr>
          <w:sz w:val="24"/>
          <w:szCs w:val="24"/>
        </w:rPr>
        <w:t> »</w:t>
      </w:r>
    </w:p>
    <w:p w:rsidP="00195F4E" w:rsidR="00195F4E" w:rsidRDefault="00195F4E" w:rsidRPr="00B332F6">
      <w:pPr>
        <w:pStyle w:val="Paragraphedeliste"/>
        <w:numPr>
          <w:ilvl w:val="0"/>
          <w:numId w:val="1"/>
        </w:numPr>
        <w:spacing w:before="240"/>
        <w:jc w:val="both"/>
        <w:rPr>
          <w:sz w:val="24"/>
          <w:szCs w:val="24"/>
        </w:rPr>
      </w:pPr>
      <w:r w:rsidRPr="00B332F6">
        <w:rPr>
          <w:sz w:val="24"/>
          <w:szCs w:val="24"/>
        </w:rPr>
        <w:t xml:space="preserve">Au secrétariat-greffe du Conseil de Prud’hommes de </w:t>
      </w:r>
      <w:r w:rsidR="006D62AC" w:rsidRPr="00B332F6">
        <w:rPr>
          <w:sz w:val="24"/>
          <w:szCs w:val="24"/>
        </w:rPr>
        <w:t xml:space="preserve">Lyon </w:t>
      </w:r>
    </w:p>
    <w:p w:rsidP="00040CB1" w:rsidR="00195F4E" w:rsidRDefault="00040CB1" w:rsidRPr="00B332F6">
      <w:pPr>
        <w:spacing w:before="240"/>
        <w:jc w:val="center"/>
        <w:rPr>
          <w:sz w:val="24"/>
          <w:szCs w:val="24"/>
        </w:rPr>
      </w:pPr>
      <w:r w:rsidRPr="00B332F6">
        <w:rPr>
          <w:sz w:val="24"/>
          <w:szCs w:val="24"/>
        </w:rPr>
        <w:t>* * * * * *</w:t>
      </w:r>
    </w:p>
    <w:p w:rsidP="00040CB1" w:rsidR="00040CB1" w:rsidRDefault="00040CB1" w:rsidRPr="00B332F6">
      <w:pPr>
        <w:spacing w:before="240"/>
        <w:jc w:val="both"/>
        <w:rPr>
          <w:b/>
          <w:sz w:val="24"/>
          <w:szCs w:val="24"/>
        </w:rPr>
      </w:pPr>
      <w:r w:rsidRPr="00B332F6">
        <w:rPr>
          <w:b/>
          <w:sz w:val="24"/>
          <w:szCs w:val="24"/>
        </w:rPr>
        <w:t xml:space="preserve">Fait </w:t>
      </w:r>
      <w:r w:rsidR="006D62AC" w:rsidRPr="00B332F6">
        <w:rPr>
          <w:b/>
          <w:sz w:val="24"/>
          <w:szCs w:val="24"/>
        </w:rPr>
        <w:t xml:space="preserve">le </w:t>
      </w:r>
      <w:r w:rsidR="00A70BC5">
        <w:rPr>
          <w:b/>
          <w:sz w:val="24"/>
          <w:szCs w:val="24"/>
        </w:rPr>
        <w:t>7</w:t>
      </w:r>
      <w:r w:rsidR="006D62AC" w:rsidRPr="00B332F6">
        <w:rPr>
          <w:b/>
          <w:sz w:val="24"/>
          <w:szCs w:val="24"/>
        </w:rPr>
        <w:t xml:space="preserve"> </w:t>
      </w:r>
      <w:r w:rsidR="00A70BC5">
        <w:rPr>
          <w:b/>
          <w:sz w:val="24"/>
          <w:szCs w:val="24"/>
        </w:rPr>
        <w:t xml:space="preserve">juin </w:t>
      </w:r>
      <w:r w:rsidR="006D62AC" w:rsidRPr="00B332F6">
        <w:rPr>
          <w:b/>
          <w:sz w:val="24"/>
          <w:szCs w:val="24"/>
        </w:rPr>
        <w:t>2019</w:t>
      </w:r>
    </w:p>
    <w:p w:rsidP="00040CB1" w:rsidR="00040CB1" w:rsidRDefault="00F51AD8" w:rsidRPr="00B332F6">
      <w:pPr>
        <w:spacing w:before="240"/>
        <w:jc w:val="both"/>
        <w:rPr>
          <w:sz w:val="24"/>
          <w:szCs w:val="24"/>
        </w:rPr>
      </w:pPr>
      <w:r>
        <w:rPr>
          <w:sz w:val="24"/>
          <w:szCs w:val="24"/>
        </w:rPr>
        <w:t>Fait e</w:t>
      </w:r>
      <w:r w:rsidR="00040CB1" w:rsidRPr="00B332F6">
        <w:rPr>
          <w:sz w:val="24"/>
          <w:szCs w:val="24"/>
        </w:rPr>
        <w:t xml:space="preserve">n </w:t>
      </w:r>
      <w:r>
        <w:rPr>
          <w:sz w:val="24"/>
          <w:szCs w:val="24"/>
        </w:rPr>
        <w:t>3</w:t>
      </w:r>
      <w:r w:rsidR="00096FE8">
        <w:rPr>
          <w:sz w:val="24"/>
          <w:szCs w:val="24"/>
        </w:rPr>
        <w:t xml:space="preserve"> </w:t>
      </w:r>
      <w:r w:rsidR="00040CB1" w:rsidRPr="00B332F6">
        <w:rPr>
          <w:sz w:val="24"/>
          <w:szCs w:val="24"/>
        </w:rPr>
        <w:t>exemplaires</w:t>
      </w:r>
      <w:r>
        <w:rPr>
          <w:sz w:val="24"/>
          <w:szCs w:val="24"/>
        </w:rPr>
        <w:t>.</w:t>
      </w:r>
    </w:p>
    <w:tbl>
      <w:tblPr>
        <w:tblStyle w:val="TableauListe3-Accentuation5"/>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4390"/>
        <w:gridCol w:w="4672"/>
      </w:tblGrid>
      <w:tr w:rsidR="00B332F6" w:rsidRPr="00B332F6" w:rsidTr="00F05DF7">
        <w:trPr>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type="dxa" w:w="4390"/>
            <w:tcBorders>
              <w:bottom w:color="auto" w:space="0" w:sz="0" w:val="none"/>
              <w:right w:color="auto" w:space="0" w:sz="0" w:val="none"/>
            </w:tcBorders>
            <w:shd w:color="auto" w:fill="E2EFD9" w:themeFill="accent6" w:themeFillTint="33" w:val="clear"/>
          </w:tcPr>
          <w:p w:rsidP="00040CB1" w:rsidR="00040CB1" w:rsidRDefault="00040CB1" w:rsidRPr="00B332F6">
            <w:pPr>
              <w:jc w:val="center"/>
              <w:rPr>
                <w:color w:val="auto"/>
                <w:sz w:val="24"/>
                <w:szCs w:val="24"/>
              </w:rPr>
            </w:pPr>
            <w:r w:rsidRPr="00B332F6">
              <w:rPr>
                <w:color w:val="auto"/>
                <w:sz w:val="24"/>
                <w:szCs w:val="24"/>
              </w:rPr>
              <w:t>Identité et qualité</w:t>
            </w:r>
          </w:p>
        </w:tc>
        <w:tc>
          <w:tcPr>
            <w:tcW w:type="dxa" w:w="4672"/>
            <w:shd w:color="auto" w:fill="E2EFD9" w:themeFill="accent6" w:themeFillTint="33" w:val="clear"/>
          </w:tcPr>
          <w:p w:rsidP="00040CB1" w:rsidR="00040CB1" w:rsidRDefault="00040CB1" w:rsidRPr="00B332F6">
            <w:pPr>
              <w:jc w:val="center"/>
              <w:cnfStyle w:evenHBand="0" w:evenVBand="0" w:firstColumn="0" w:firstRow="1" w:firstRowFirstColumn="0" w:firstRowLastColumn="0" w:lastColumn="0" w:lastRow="0" w:lastRowFirstColumn="0" w:lastRowLastColumn="0" w:oddHBand="0" w:oddVBand="0" w:val="100000000000"/>
              <w:rPr>
                <w:color w:val="auto"/>
                <w:sz w:val="24"/>
                <w:szCs w:val="24"/>
              </w:rPr>
            </w:pPr>
            <w:r w:rsidRPr="00B332F6">
              <w:rPr>
                <w:color w:val="auto"/>
                <w:sz w:val="24"/>
                <w:szCs w:val="24"/>
              </w:rPr>
              <w:t>Signature</w:t>
            </w:r>
          </w:p>
        </w:tc>
      </w:tr>
      <w:tr w:rsidR="00B332F6" w:rsidRPr="00B332F6" w:rsidTr="00F05DF7">
        <w:trPr>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type="dxa" w:w="4390"/>
            <w:tcBorders>
              <w:top w:color="auto" w:space="0" w:sz="0" w:val="none"/>
              <w:bottom w:color="auto" w:space="0" w:sz="0" w:val="none"/>
              <w:right w:color="auto" w:space="0" w:sz="0" w:val="none"/>
            </w:tcBorders>
          </w:tcPr>
          <w:p w:rsidP="00040CB1" w:rsidR="00040CB1" w:rsidRDefault="006D62AC" w:rsidRPr="00B332F6">
            <w:pPr>
              <w:spacing w:after="120" w:before="120"/>
              <w:jc w:val="both"/>
              <w:rPr>
                <w:sz w:val="24"/>
                <w:szCs w:val="24"/>
              </w:rPr>
            </w:pPr>
            <w:r w:rsidRPr="00B332F6">
              <w:rPr>
                <w:sz w:val="24"/>
                <w:szCs w:val="24"/>
              </w:rPr>
              <w:t>D</w:t>
            </w:r>
            <w:r w:rsidR="00F05DF7">
              <w:rPr>
                <w:sz w:val="24"/>
                <w:szCs w:val="24"/>
              </w:rPr>
              <w:t>irecteur Général des</w:t>
            </w:r>
            <w:r w:rsidRPr="00B332F6">
              <w:rPr>
                <w:sz w:val="24"/>
                <w:szCs w:val="24"/>
              </w:rPr>
              <w:t xml:space="preserve"> transports </w:t>
            </w:r>
            <w:r w:rsidR="00E20BD4">
              <w:rPr>
                <w:sz w:val="24"/>
                <w:szCs w:val="24"/>
              </w:rPr>
              <w:t>Société</w:t>
            </w:r>
          </w:p>
        </w:tc>
        <w:tc>
          <w:tcPr>
            <w:tcW w:type="dxa" w:w="4672"/>
            <w:tcBorders>
              <w:top w:color="auto" w:space="0" w:sz="0" w:val="none"/>
              <w:bottom w:color="auto" w:space="0" w:sz="0" w:val="none"/>
            </w:tcBorders>
          </w:tcPr>
          <w:p w:rsidP="00040CB1" w:rsidR="00040CB1" w:rsidRDefault="00040CB1" w:rsidRPr="00B332F6">
            <w:pPr>
              <w:spacing w:after="120" w:before="120"/>
              <w:jc w:val="both"/>
              <w:cnfStyle w:evenHBand="0" w:evenVBand="0" w:firstColumn="0" w:firstRow="0" w:firstRowFirstColumn="0" w:firstRowLastColumn="0" w:lastColumn="0" w:lastRow="0" w:lastRowFirstColumn="0" w:lastRowLastColumn="0" w:oddHBand="1" w:oddVBand="0" w:val="000000100000"/>
              <w:rPr>
                <w:sz w:val="24"/>
                <w:szCs w:val="24"/>
              </w:rPr>
            </w:pPr>
          </w:p>
        </w:tc>
      </w:tr>
      <w:tr w:rsidR="00B332F6" w:rsidRPr="00B332F6" w:rsidTr="00F05DF7">
        <w:tc>
          <w:tcPr>
            <w:cnfStyle w:evenHBand="0" w:evenVBand="0" w:firstColumn="1" w:firstRow="0" w:firstRowFirstColumn="0" w:firstRowLastColumn="0" w:lastColumn="0" w:lastRow="0" w:lastRowFirstColumn="0" w:lastRowLastColumn="0" w:oddHBand="0" w:oddVBand="0" w:val="001000000000"/>
            <w:tcW w:type="dxa" w:w="4390"/>
            <w:tcBorders>
              <w:right w:color="auto" w:space="0" w:sz="0" w:val="none"/>
            </w:tcBorders>
          </w:tcPr>
          <w:p w:rsidP="00040CB1" w:rsidR="00040CB1" w:rsidRDefault="00096FE8" w:rsidRPr="00B332F6">
            <w:pPr>
              <w:spacing w:after="120" w:before="120"/>
              <w:jc w:val="both"/>
              <w:rPr>
                <w:sz w:val="24"/>
                <w:szCs w:val="24"/>
              </w:rPr>
            </w:pPr>
            <w:proofErr w:type="gramStart"/>
            <w:r w:rsidRPr="00096FE8">
              <w:rPr>
                <w:sz w:val="24"/>
                <w:szCs w:val="24"/>
              </w:rPr>
              <w:t>membre</w:t>
            </w:r>
            <w:proofErr w:type="gramEnd"/>
            <w:r w:rsidRPr="00096FE8">
              <w:rPr>
                <w:sz w:val="24"/>
                <w:szCs w:val="24"/>
              </w:rPr>
              <w:t xml:space="preserve"> titulaire du Comité social et économique</w:t>
            </w:r>
          </w:p>
        </w:tc>
        <w:tc>
          <w:tcPr>
            <w:tcW w:type="dxa" w:w="4672"/>
          </w:tcPr>
          <w:p w:rsidP="00040CB1" w:rsidR="00040CB1" w:rsidRDefault="00040CB1" w:rsidRPr="00B332F6">
            <w:pPr>
              <w:spacing w:after="120" w:before="120"/>
              <w:jc w:val="both"/>
              <w:cnfStyle w:evenHBand="0" w:evenVBand="0" w:firstColumn="0" w:firstRow="0" w:firstRowFirstColumn="0" w:firstRowLastColumn="0" w:lastColumn="0" w:lastRow="0" w:lastRowFirstColumn="0" w:lastRowLastColumn="0" w:oddHBand="0" w:oddVBand="0" w:val="000000000000"/>
              <w:rPr>
                <w:sz w:val="24"/>
                <w:szCs w:val="24"/>
              </w:rPr>
            </w:pPr>
          </w:p>
        </w:tc>
      </w:tr>
      <w:tr w:rsidR="00096FE8" w:rsidRPr="00B332F6" w:rsidTr="00F05DF7">
        <w:trPr>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type="dxa" w:w="4390"/>
            <w:tcBorders>
              <w:top w:color="auto" w:space="0" w:sz="0" w:val="none"/>
              <w:bottom w:color="auto" w:space="0" w:sz="0" w:val="none"/>
              <w:right w:color="auto" w:space="0" w:sz="0" w:val="none"/>
            </w:tcBorders>
          </w:tcPr>
          <w:p w:rsidP="00040CB1" w:rsidR="00096FE8" w:rsidRDefault="00096FE8">
            <w:pPr>
              <w:spacing w:after="120" w:before="120"/>
              <w:jc w:val="both"/>
              <w:rPr>
                <w:sz w:val="24"/>
                <w:szCs w:val="24"/>
              </w:rPr>
            </w:pPr>
            <w:proofErr w:type="gramStart"/>
            <w:r w:rsidRPr="00096FE8">
              <w:rPr>
                <w:sz w:val="24"/>
                <w:szCs w:val="24"/>
              </w:rPr>
              <w:t>membre</w:t>
            </w:r>
            <w:proofErr w:type="gramEnd"/>
            <w:r w:rsidRPr="00096FE8">
              <w:rPr>
                <w:sz w:val="24"/>
                <w:szCs w:val="24"/>
              </w:rPr>
              <w:t xml:space="preserve"> titulaire du Comité social et économique</w:t>
            </w:r>
          </w:p>
        </w:tc>
        <w:tc>
          <w:tcPr>
            <w:tcW w:type="dxa" w:w="4672"/>
            <w:tcBorders>
              <w:top w:color="auto" w:space="0" w:sz="0" w:val="none"/>
              <w:bottom w:color="auto" w:space="0" w:sz="0" w:val="none"/>
            </w:tcBorders>
          </w:tcPr>
          <w:p w:rsidP="00040CB1" w:rsidR="00096FE8" w:rsidRDefault="00096FE8" w:rsidRPr="00B332F6">
            <w:pPr>
              <w:spacing w:after="120" w:before="120"/>
              <w:jc w:val="both"/>
              <w:cnfStyle w:evenHBand="0" w:evenVBand="0" w:firstColumn="0" w:firstRow="0" w:firstRowFirstColumn="0" w:firstRowLastColumn="0" w:lastColumn="0" w:lastRow="0" w:lastRowFirstColumn="0" w:lastRowLastColumn="0" w:oddHBand="1" w:oddVBand="0" w:val="000000100000"/>
              <w:rPr>
                <w:sz w:val="24"/>
                <w:szCs w:val="24"/>
              </w:rPr>
            </w:pPr>
          </w:p>
        </w:tc>
      </w:tr>
    </w:tbl>
    <w:p w:rsidP="00040CB1" w:rsidR="00040CB1" w:rsidRDefault="00040CB1" w:rsidRPr="00B332F6">
      <w:pPr>
        <w:spacing w:before="240"/>
        <w:jc w:val="both"/>
        <w:rPr>
          <w:sz w:val="24"/>
          <w:szCs w:val="24"/>
        </w:rPr>
      </w:pPr>
      <w:bookmarkStart w:id="0" w:name="_GoBack"/>
      <w:bookmarkEnd w:id="0"/>
    </w:p>
    <w:sectPr w:rsidR="00040CB1" w:rsidRPr="00B332F6">
      <w:headerReference r:id="rId7" w:type="default"/>
      <w:footerReference r:id="rId8"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27D8" w:rsidRDefault="00CE27D8" w:rsidP="00895078">
      <w:pPr>
        <w:spacing w:after="0" w:line="240" w:lineRule="auto"/>
      </w:pPr>
      <w:r>
        <w:separator/>
      </w:r>
    </w:p>
  </w:endnote>
  <w:endnote w:type="continuationSeparator" w:id="0">
    <w:p w:rsidR="00CE27D8" w:rsidRDefault="00CE27D8" w:rsidP="0089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335356243"/>
      <w:docPartObj>
        <w:docPartGallery w:val="Page Numbers (Bottom of Page)"/>
        <w:docPartUnique/>
      </w:docPartObj>
    </w:sdtPr>
    <w:sdtEndPr/>
    <w:sdtContent>
      <w:p w:rsidR="006D62AC" w:rsidRDefault="006D62AC">
        <w:pPr>
          <w:pStyle w:val="Pieddepage"/>
          <w:jc w:val="right"/>
        </w:pPr>
        <w:r>
          <w:fldChar w:fldCharType="begin"/>
        </w:r>
        <w:r>
          <w:instrText>PAGE   \* MERGEFORMAT</w:instrText>
        </w:r>
        <w:r>
          <w:fldChar w:fldCharType="separate"/>
        </w:r>
        <w:r>
          <w:t>2</w:t>
        </w:r>
        <w:r>
          <w:fldChar w:fldCharType="end"/>
        </w:r>
        <w:r>
          <w:t>/4</w:t>
        </w:r>
      </w:p>
    </w:sdtContent>
  </w:sdt>
  <w:p w:rsidR="006D62AC" w:rsidRDefault="006D62AC">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rsidP="00895078" w:rsidR="00CE27D8" w:rsidRDefault="00CE27D8">
      <w:pPr>
        <w:spacing w:after="0" w:line="240" w:lineRule="auto"/>
      </w:pPr>
      <w:r>
        <w:separator/>
      </w:r>
    </w:p>
  </w:footnote>
  <w:footnote w:id="0" w:type="continuationSeparator">
    <w:p w:rsidP="00895078" w:rsidR="00CE27D8" w:rsidRDefault="00CE27D8">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6D62AC" w:rsidRDefault="006D62AC">
    <w:pPr>
      <w:pStyle w:val="En-tte"/>
    </w:pPr>
  </w:p>
  <w:p w:rsidR="00895078" w:rsidRDefault="00895078">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359B3F22"/>
    <w:multiLevelType w:val="hybridMultilevel"/>
    <w:tmpl w:val="9D345020"/>
    <w:lvl w:ilvl="0" w:tplc="C85E54E0">
      <w:numFmt w:val="bullet"/>
      <w:lvlText w:val=""/>
      <w:lvlJc w:val="left"/>
      <w:pPr>
        <w:ind w:hanging="360" w:left="720"/>
      </w:pPr>
      <w:rPr>
        <w:rFonts w:ascii="Symbol" w:cstheme="minorBidi" w:eastAsiaTheme="minorHAnsi"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776E7D39"/>
    <w:multiLevelType w:val="hybridMultilevel"/>
    <w:tmpl w:val="E0EC70D4"/>
    <w:lvl w:ilvl="0" w:tplc="E9308B2E">
      <w:numFmt w:val="bullet"/>
      <w:lvlText w:val=""/>
      <w:lvlJc w:val="left"/>
      <w:pPr>
        <w:ind w:hanging="360" w:left="720"/>
      </w:pPr>
      <w:rPr>
        <w:rFonts w:ascii="Symbol" w:cs="Times New Roman" w:eastAsia="Calibri"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num w:numId="1">
    <w:abstractNumId w:val="0"/>
  </w:num>
  <w:num w:numId="2">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D6D"/>
    <w:rsid w:val="00040CB1"/>
    <w:rsid w:val="00096FE8"/>
    <w:rsid w:val="00152A22"/>
    <w:rsid w:val="00185392"/>
    <w:rsid w:val="00195F4E"/>
    <w:rsid w:val="001B4187"/>
    <w:rsid w:val="001F7528"/>
    <w:rsid w:val="003C4682"/>
    <w:rsid w:val="00400E8A"/>
    <w:rsid w:val="00461BA4"/>
    <w:rsid w:val="004D6BEB"/>
    <w:rsid w:val="005B2A74"/>
    <w:rsid w:val="006D62AC"/>
    <w:rsid w:val="006F36F8"/>
    <w:rsid w:val="00702065"/>
    <w:rsid w:val="0075689D"/>
    <w:rsid w:val="007E4154"/>
    <w:rsid w:val="00803392"/>
    <w:rsid w:val="00804EAE"/>
    <w:rsid w:val="0089478C"/>
    <w:rsid w:val="00895078"/>
    <w:rsid w:val="008A19BF"/>
    <w:rsid w:val="008F06F9"/>
    <w:rsid w:val="00955D6D"/>
    <w:rsid w:val="009822D8"/>
    <w:rsid w:val="00A70BC5"/>
    <w:rsid w:val="00AD5715"/>
    <w:rsid w:val="00AE2E05"/>
    <w:rsid w:val="00AE6847"/>
    <w:rsid w:val="00AF0FC9"/>
    <w:rsid w:val="00B313C6"/>
    <w:rsid w:val="00B332F6"/>
    <w:rsid w:val="00BD3126"/>
    <w:rsid w:val="00C32CE8"/>
    <w:rsid w:val="00C704A4"/>
    <w:rsid w:val="00CE27D8"/>
    <w:rsid w:val="00DF4A68"/>
    <w:rsid w:val="00E036FE"/>
    <w:rsid w:val="00E20BD4"/>
    <w:rsid w:val="00E41C5A"/>
    <w:rsid w:val="00EF0E3D"/>
    <w:rsid w:val="00F05DF7"/>
    <w:rsid w:val="00F31DF2"/>
    <w:rsid w:val="00F51AD8"/>
    <w:rsid w:val="00FF45A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5E1D4AE2"/>
  <w15:chartTrackingRefBased/>
  <w15:docId w15:val="{B3839C30-A58A-4EAF-8669-C9E3D1601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955D6D"/>
    <w:pPr>
      <w:ind w:left="720"/>
      <w:contextualSpacing/>
    </w:pPr>
  </w:style>
  <w:style w:styleId="Grilledutableau" w:type="table">
    <w:name w:val="Table Grid"/>
    <w:basedOn w:val="TableauNormal"/>
    <w:uiPriority w:val="39"/>
    <w:rsid w:val="00040C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auListe3-Accentuation5" w:type="table">
    <w:name w:val="List Table 3 Accent 5"/>
    <w:basedOn w:val="TableauNormal"/>
    <w:uiPriority w:val="48"/>
    <w:rsid w:val="00040CB1"/>
    <w:pPr>
      <w:spacing w:after="0" w:line="240" w:lineRule="auto"/>
    </w:p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bCs/>
        <w:color w:themeColor="background1" w:val="FFFFFF"/>
      </w:rPr>
      <w:tblPr/>
      <w:tcPr>
        <w:shd w:color="auto" w:fill="5B9BD5" w:themeFill="accent5" w:val="clear"/>
      </w:tcPr>
    </w:tblStylePr>
    <w:tblStylePr w:type="lastRow">
      <w:rPr>
        <w:b/>
        <w:bCs/>
      </w:rPr>
      <w:tblPr/>
      <w:tcPr>
        <w:tcBorders>
          <w:top w:color="5B9BD5"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5" w:val="double"/>
          <w:left w:val="nil"/>
        </w:tcBorders>
      </w:tcPr>
    </w:tblStylePr>
    <w:tblStylePr w:type="swCell">
      <w:tblPr/>
      <w:tcPr>
        <w:tcBorders>
          <w:top w:color="5B9BD5" w:space="0" w:sz="4" w:themeColor="accent5" w:val="double"/>
          <w:right w:val="nil"/>
        </w:tcBorders>
      </w:tcPr>
    </w:tblStylePr>
  </w:style>
  <w:style w:styleId="En-tte" w:type="paragraph">
    <w:name w:val="header"/>
    <w:basedOn w:val="Normal"/>
    <w:link w:val="En-tteCar"/>
    <w:uiPriority w:val="99"/>
    <w:unhideWhenUsed/>
    <w:rsid w:val="00895078"/>
    <w:pPr>
      <w:tabs>
        <w:tab w:pos="4536" w:val="center"/>
        <w:tab w:pos="9072" w:val="right"/>
      </w:tabs>
      <w:spacing w:after="0" w:line="240" w:lineRule="auto"/>
    </w:pPr>
  </w:style>
  <w:style w:customStyle="1" w:styleId="En-tteCar" w:type="character">
    <w:name w:val="En-tête Car"/>
    <w:basedOn w:val="Policepardfaut"/>
    <w:link w:val="En-tte"/>
    <w:uiPriority w:val="99"/>
    <w:rsid w:val="00895078"/>
  </w:style>
  <w:style w:styleId="Pieddepage" w:type="paragraph">
    <w:name w:val="footer"/>
    <w:basedOn w:val="Normal"/>
    <w:link w:val="PieddepageCar"/>
    <w:uiPriority w:val="99"/>
    <w:unhideWhenUsed/>
    <w:rsid w:val="00895078"/>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895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1648432">
      <w:bodyDiv w:val="1"/>
      <w:marLeft w:val="0"/>
      <w:marRight w:val="0"/>
      <w:marTop w:val="0"/>
      <w:marBottom w:val="0"/>
      <w:divBdr>
        <w:top w:val="none" w:sz="0" w:space="0" w:color="auto"/>
        <w:left w:val="none" w:sz="0" w:space="0" w:color="auto"/>
        <w:bottom w:val="none" w:sz="0" w:space="0" w:color="auto"/>
        <w:right w:val="none" w:sz="0" w:space="0" w:color="auto"/>
      </w:divBdr>
    </w:div>
    <w:div w:id="170224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875</Words>
  <Characters>4817</Characters>
  <Application>Microsoft Office Word</Application>
  <DocSecurity>0</DocSecurity>
  <Lines>40</Lines>
  <Paragraphs>11</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2019-06-20T13:55:00Z</dcterms:created>
  <cp:lastPrinted>2019-05-03T14:15:00Z</cp:lastPrinted>
  <dcterms:modified xsi:type="dcterms:W3CDTF">2019-06-20T13:55:00Z</dcterms:modified>
  <cp:revision>2</cp:revision>
</cp:coreProperties>
</file>