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List"/>
        <w:numPr>
          <w:ilvl w:val="0"/>
          <w:numId w:val="0"/>
        </w:numPr>
        <w:pBdr>
          <w:top w:color="000000" w:space="1" w:sz="4" w:val="double"/>
          <w:left w:color="000000" w:space="4" w:sz="4" w:val="double"/>
          <w:bottom w:color="000000" w:space="1" w:sz="4" w:val="double"/>
          <w:right w:color="000000" w:space="4" w:sz="4" w:val="double"/>
        </w:pBdr>
        <w:spacing w:after="0" w:before="120"/>
        <w:ind w:hanging="0" w:left="0"/>
        <w:jc w:val="center"/>
        <w:rPr>
          <w:b/>
          <w:color w:val="000000"/>
        </w:rPr>
      </w:pPr>
      <w:r>
        <w:rPr>
          <w:b/>
          <w:color w:val="000000"/>
        </w:rPr>
      </w:r>
    </w:p>
    <w:p>
      <w:pPr>
        <w:pStyle w:val="List"/>
        <w:numPr>
          <w:ilvl w:val="0"/>
          <w:numId w:val="0"/>
        </w:numPr>
        <w:pBdr>
          <w:top w:color="000000" w:space="1" w:sz="4" w:val="double"/>
          <w:left w:color="000000" w:space="4" w:sz="4" w:val="double"/>
          <w:bottom w:color="000000" w:space="1" w:sz="4" w:val="double"/>
          <w:right w:color="000000" w:space="4" w:sz="4" w:val="double"/>
        </w:pBdr>
        <w:ind w:hanging="0" w:left="0"/>
        <w:jc w:val="center"/>
        <w:rPr>
          <w:b/>
          <w:color w:val="000000"/>
          <w:sz w:val="28"/>
          <w:szCs w:val="28"/>
        </w:rPr>
      </w:pPr>
      <w:r>
        <w:rPr>
          <w:b/>
          <w:color w:val="000000"/>
          <w:sz w:val="28"/>
          <w:szCs w:val="28"/>
        </w:rPr>
        <w:t xml:space="preserve">ACCORD RELATIF A l’AMENAGEMENT DU TEMPS DE TRAVAIL  </w:t>
      </w:r>
    </w:p>
    <w:p>
      <w:pPr>
        <w:pStyle w:val="List"/>
        <w:numPr>
          <w:ilvl w:val="0"/>
          <w:numId w:val="0"/>
        </w:numPr>
        <w:pBdr>
          <w:top w:color="000000" w:space="1" w:sz="4" w:val="double"/>
          <w:left w:color="000000" w:space="4" w:sz="4" w:val="double"/>
          <w:bottom w:color="000000" w:space="1" w:sz="4" w:val="double"/>
          <w:right w:color="000000" w:space="4" w:sz="4" w:val="double"/>
        </w:pBdr>
        <w:ind w:hanging="0" w:left="0"/>
        <w:jc w:val="center"/>
        <w:rPr>
          <w:b/>
          <w:color w:val="000000"/>
          <w:sz w:val="28"/>
          <w:szCs w:val="28"/>
        </w:rPr>
      </w:pPr>
      <w:r>
        <w:rPr>
          <w:b/>
          <w:color w:val="000000"/>
          <w:sz w:val="28"/>
          <w:szCs w:val="28"/>
        </w:rPr>
      </w:r>
    </w:p>
    <w:p>
      <w:pPr>
        <w:pStyle w:val="List"/>
        <w:numPr>
          <w:ilvl w:val="0"/>
          <w:numId w:val="0"/>
        </w:numPr>
        <w:ind w:hanging="0" w:left="1134"/>
        <w:rPr>
          <w:color w:val="000000"/>
        </w:rPr>
      </w:pPr>
      <w:r>
        <w:rPr>
          <w:color w:val="000000"/>
        </w:rPr>
      </w:r>
    </w:p>
    <w:p>
      <w:pPr>
        <w:pStyle w:val="lititreprincipal"/>
        <w:pBdr>
          <w:bottom w:color="000000" w:space="6" w:sz="6" w:val="single"/>
        </w:pBdr>
        <w:spacing w:after="0" w:before="0"/>
        <w:rPr>
          <w:rFonts w:ascii="Times New Roman" w:hAnsi="Times New Roman"/>
          <w:color w:val="000000"/>
        </w:rPr>
      </w:pPr>
      <w:r>
        <w:rPr>
          <w:rFonts w:ascii="Times New Roman" w:hAnsi="Times New Roman"/>
          <w:color w:val="000000"/>
        </w:rPr>
      </w:r>
    </w:p>
    <w:p>
      <w:pPr>
        <w:pStyle w:val="lititreprincipal"/>
        <w:pBdr>
          <w:bottom w:color="000000" w:space="6" w:sz="6" w:val="single"/>
        </w:pBdr>
        <w:spacing w:after="0" w:before="0"/>
        <w:rPr>
          <w:rFonts w:ascii="Times New Roman" w:hAnsi="Times New Roman"/>
          <w:color w:val="000000"/>
        </w:rPr>
      </w:pPr>
      <w:r>
        <w:rPr>
          <w:rFonts w:ascii="Times New Roman" w:hAnsi="Times New Roman"/>
          <w:color w:val="000000"/>
        </w:rPr>
      </w:r>
    </w:p>
    <w:p>
      <w:pPr>
        <w:pStyle w:val="lititreprincipal"/>
        <w:pBdr>
          <w:bottom w:color="000000" w:space="6" w:sz="6" w:val="single"/>
        </w:pBdr>
        <w:spacing w:after="0" w:before="0"/>
        <w:rPr>
          <w:rFonts w:ascii="Times New Roman" w:hAnsi="Times New Roman"/>
          <w:color w:val="000000"/>
        </w:rPr>
      </w:pPr>
      <w:r>
        <w:rPr>
          <w:rFonts w:ascii="Times New Roman" w:hAnsi="Times New Roman"/>
          <w:color w:val="000000"/>
        </w:rPr>
      </w:r>
    </w:p>
    <w:p>
      <w:pPr>
        <w:pStyle w:val="lititreprincipal"/>
        <w:pBdr>
          <w:bottom w:color="000000" w:space="6" w:sz="6" w:val="single"/>
        </w:pBdr>
        <w:spacing w:after="0" w:before="0"/>
        <w:rPr>
          <w:rFonts w:ascii="Times New Roman" w:hAnsi="Times New Roman"/>
          <w:color w:val="000000"/>
        </w:rPr>
      </w:pPr>
      <w:r>
        <w:rPr>
          <w:rFonts w:ascii="Times New Roman" w:hAnsi="Times New Roman"/>
          <w:color w:val="000000"/>
        </w:rPr>
        <w:t xml:space="preserve">ENTRE LES SOUSSIGNES: </w:t>
      </w:r>
    </w:p>
    <w:p>
      <w:pPr>
        <w:pStyle w:val="Normal"/>
        <w:rPr>
          <w:color w:val="000000"/>
        </w:rPr>
      </w:pPr>
      <w:r>
        <w:rPr>
          <w:color w:val="000000"/>
        </w:rPr>
      </w:r>
    </w:p>
    <w:p>
      <w:pPr>
        <w:pStyle w:val="Normal"/>
        <w:rPr/>
      </w:pPr>
      <w:r>
        <w:rPr/>
      </w:r>
    </w:p>
    <w:p>
      <w:pPr>
        <w:pStyle w:val="Normal"/>
        <w:rPr>
          <w:rFonts w:ascii="Verdana" w:hAnsi="Verdana"/>
          <w:color w:val="000000"/>
          <w:sz w:val="20"/>
          <w:szCs w:val="20"/>
        </w:rPr>
      </w:pPr>
      <w:r>
        <w:rPr>
          <w:b/>
          <w:bCs/>
        </w:rPr>
        <w:t>La Société CMS FRANCIS LEFEBVRE LYON AVOCATS</w:t>
      </w:r>
      <w:r>
        <w:rPr/>
        <w:t>, Société d’Exercice Libéral par Actions Simplifiée d'Avocats, inscrite au Barreau de LYON, au capital de 1 514 030 euros, dont le siège est à LYON (69003) 174, Rue de Créqui, immatriculée au Registre du Commerce et des Sociétés de LYON sous le numéro 300 819 737, immatriculée à l’URSSAF de LYON sous le numéro 170000001335902, ayant pour code NAF 6910Z, représentée par Maître …………. agissant en qualité de Président,</w:t>
      </w:r>
    </w:p>
    <w:p>
      <w:pPr>
        <w:pStyle w:val="Normal"/>
        <w:ind w:left="4956"/>
        <w:rPr/>
      </w:pPr>
      <w:r>
        <w:rPr/>
      </w:r>
    </w:p>
    <w:p>
      <w:pPr>
        <w:pStyle w:val="Normal"/>
        <w:ind w:left="4956"/>
        <w:rPr/>
      </w:pPr>
      <w:r>
        <w:rPr/>
      </w:r>
    </w:p>
    <w:p>
      <w:pPr>
        <w:pStyle w:val="Normal"/>
        <w:ind w:left="4956"/>
        <w:jc w:val="right"/>
        <w:rPr/>
      </w:pPr>
      <w:r>
        <w:rPr/>
        <w:t>Ci-après dénommée « Le Cabinet »</w:t>
      </w:r>
    </w:p>
    <w:p>
      <w:pPr>
        <w:pStyle w:val="Normal"/>
        <w:rPr/>
      </w:pPr>
      <w:r>
        <w:rPr/>
      </w:r>
    </w:p>
    <w:p>
      <w:pPr>
        <w:pStyle w:val="Normal"/>
        <w:rPr/>
      </w:pPr>
      <w:r>
        <w:rPr/>
      </w:r>
    </w:p>
    <w:p>
      <w:pPr>
        <w:pStyle w:val="Normal"/>
        <w:jc w:val="right"/>
        <w:rPr>
          <w:color w:val="000000"/>
        </w:rPr>
      </w:pPr>
      <w:r>
        <w:rPr>
          <w:color w:val="000000"/>
        </w:rPr>
      </w:r>
    </w:p>
    <w:p>
      <w:pPr>
        <w:pStyle w:val="Normal"/>
        <w:jc w:val="right"/>
        <w:rPr>
          <w:color w:val="000000"/>
        </w:rPr>
      </w:pPr>
      <w:r>
        <w:rPr>
          <w:color w:val="000000"/>
        </w:rPr>
      </w:r>
    </w:p>
    <w:p>
      <w:pPr>
        <w:pStyle w:val="Normal"/>
        <w:jc w:val="right"/>
        <w:rPr>
          <w:b/>
          <w:color w:val="000000"/>
        </w:rPr>
      </w:pPr>
      <w:r>
        <w:rPr>
          <w:b/>
          <w:color w:val="000000"/>
        </w:rPr>
        <w:t>D’UNE PART,</w:t>
      </w:r>
    </w:p>
    <w:p>
      <w:pPr>
        <w:pStyle w:val="Normal"/>
        <w:ind w:left="7080"/>
        <w:rPr>
          <w:b/>
          <w:color w:val="000000"/>
        </w:rPr>
      </w:pPr>
      <w:r>
        <w:rPr>
          <w:b/>
          <w:color w:val="000000"/>
        </w:rPr>
      </w:r>
    </w:p>
    <w:p>
      <w:pPr>
        <w:pStyle w:val="Normal"/>
        <w:rPr>
          <w:b/>
          <w:color w:val="000000"/>
          <w:u w:val="single"/>
        </w:rPr>
      </w:pPr>
      <w:r>
        <w:rPr>
          <w:b/>
          <w:color w:val="000000"/>
          <w:u w:val="single"/>
        </w:rPr>
        <w:t xml:space="preserve">ET, </w:t>
      </w:r>
    </w:p>
    <w:p>
      <w:pPr>
        <w:pStyle w:val="Normal"/>
        <w:rPr>
          <w:rFonts w:ascii="Calibri" w:hAnsi="Calibri"/>
          <w:b/>
          <w:bCs/>
          <w:sz w:val="22"/>
        </w:rPr>
      </w:pPr>
      <w:r>
        <w:rPr>
          <w:rFonts w:ascii="Calibri" w:hAnsi="Calibri"/>
          <w:b/>
          <w:bCs/>
          <w:sz w:val="22"/>
        </w:rPr>
      </w:r>
    </w:p>
    <w:p>
      <w:pPr>
        <w:pStyle w:val="Normal"/>
        <w:tabs>
          <w:tab w:pos="708" w:val="clear"/>
          <w:tab w:leader="none" w:pos="3975" w:val="left"/>
        </w:tabs>
        <w:rPr>
          <w:rFonts w:ascii="Calibri" w:hAnsi="Calibri"/>
          <w:bCs/>
          <w:color w:val="FF0000"/>
          <w:sz w:val="22"/>
        </w:rPr>
      </w:pPr>
      <w:r>
        <w:rPr>
          <w:rFonts w:ascii="Calibri" w:hAnsi="Calibri"/>
          <w:bCs/>
          <w:color w:val="FF0000"/>
          <w:sz w:val="22"/>
        </w:rPr>
      </w:r>
    </w:p>
    <w:p>
      <w:pPr>
        <w:pStyle w:val="Normal"/>
        <w:rPr/>
      </w:pPr>
      <w:r>
        <w:rPr>
          <w:color w:val="000000"/>
        </w:rPr>
        <w:t xml:space="preserve">Madame ………….. </w:t>
      </w:r>
      <w:r>
        <w:rPr>
          <w:rFonts w:eastAsia="Calibri"/>
        </w:rPr>
        <w:t xml:space="preserve">en qualité d’élue titulaire du </w:t>
      </w:r>
      <w:r>
        <w:rPr>
          <w:rFonts w:eastAsia="Calibri"/>
          <w:b/>
          <w:bCs/>
        </w:rPr>
        <w:t>Comité Social et Economique (CSE)</w:t>
      </w:r>
      <w:r>
        <w:rPr>
          <w:rFonts w:eastAsia="Calibri"/>
        </w:rPr>
        <w:t xml:space="preserve"> non mandatée par une organisation syndicale représentative, </w:t>
      </w:r>
      <w:r>
        <w:rPr/>
        <w:t xml:space="preserve">représentant la majorité des suffrages exprimés lors des dernières élections professionnelles </w:t>
      </w:r>
    </w:p>
    <w:p>
      <w:pPr>
        <w:pStyle w:val="Normal"/>
        <w:rPr>
          <w:rFonts w:eastAsia="Calibri"/>
        </w:rPr>
      </w:pPr>
      <w:r>
        <w:rPr>
          <w:rFonts w:eastAsia="Calibri"/>
        </w:rPr>
      </w:r>
    </w:p>
    <w:p>
      <w:pPr>
        <w:pStyle w:val="Normal"/>
        <w:rPr/>
      </w:pPr>
      <w:r>
        <w:rPr/>
      </w:r>
    </w:p>
    <w:p>
      <w:pPr>
        <w:pStyle w:val="Normal"/>
        <w:rPr>
          <w:bCs/>
        </w:rPr>
      </w:pPr>
      <w:r>
        <w:rPr>
          <w:bCs/>
        </w:rPr>
      </w:r>
    </w:p>
    <w:p>
      <w:pPr>
        <w:pStyle w:val="Normal"/>
        <w:ind w:firstLine="720" w:left="5040"/>
        <w:jc w:val="right"/>
        <w:rPr>
          <w:b/>
        </w:rPr>
      </w:pPr>
      <w:r>
        <w:rPr>
          <w:bCs/>
        </w:rPr>
        <w:t>Ci-après désignée</w:t>
      </w:r>
      <w:r>
        <w:rPr>
          <w:b/>
        </w:rPr>
        <w:t xml:space="preserve"> « le CSE »</w:t>
      </w:r>
    </w:p>
    <w:p>
      <w:pPr>
        <w:pStyle w:val="Normal"/>
        <w:tabs>
          <w:tab w:pos="708" w:val="clear"/>
          <w:tab w:leader="none" w:pos="3975" w:val="left"/>
        </w:tabs>
        <w:rPr>
          <w:rFonts w:ascii="Calibri" w:hAnsi="Calibri"/>
          <w:bCs/>
          <w:color w:val="FF0000"/>
          <w:sz w:val="22"/>
        </w:rPr>
      </w:pPr>
      <w:r>
        <w:rPr>
          <w:rFonts w:ascii="Calibri" w:hAnsi="Calibri"/>
          <w:bCs/>
          <w:color w:val="FF0000"/>
          <w:sz w:val="22"/>
        </w:rPr>
        <w:tab/>
      </w:r>
    </w:p>
    <w:p>
      <w:pPr>
        <w:pStyle w:val="Normal"/>
        <w:rPr>
          <w:rFonts w:ascii="Calibri" w:hAnsi="Calibri"/>
          <w:bCs/>
          <w:color w:val="FF0000"/>
          <w:sz w:val="22"/>
        </w:rPr>
      </w:pPr>
      <w:r>
        <w:rPr>
          <w:rFonts w:ascii="Calibri" w:hAnsi="Calibri"/>
          <w:bCs/>
          <w:color w:val="FF0000"/>
          <w:sz w:val="22"/>
        </w:rPr>
      </w:r>
    </w:p>
    <w:p>
      <w:pPr>
        <w:pStyle w:val="Normal"/>
        <w:rPr>
          <w:color w:val="000000"/>
        </w:rPr>
      </w:pPr>
      <w:r>
        <w:rPr>
          <w:color w:val="000000"/>
        </w:rPr>
      </w:r>
    </w:p>
    <w:p>
      <w:pPr>
        <w:pStyle w:val="Normal"/>
        <w:jc w:val="right"/>
        <w:rPr>
          <w:b/>
          <w:color w:val="000000"/>
        </w:rPr>
      </w:pPr>
      <w:r>
        <w:rPr>
          <w:b/>
          <w:color w:val="000000"/>
        </w:rPr>
        <w:t>D’AUTRE PART,</w:t>
      </w:r>
    </w:p>
    <w:p>
      <w:pPr>
        <w:pStyle w:val="Normal"/>
        <w:ind w:left="7080"/>
        <w:jc w:val="left"/>
        <w:rPr>
          <w:b/>
          <w:color w:val="000000"/>
        </w:rPr>
      </w:pPr>
      <w:r>
        <w:rPr>
          <w:b/>
          <w:color w:val="000000"/>
        </w:rPr>
      </w:r>
    </w:p>
    <w:p>
      <w:pPr>
        <w:pStyle w:val="Normal"/>
        <w:rPr>
          <w:b/>
          <w:color w:val="000000"/>
        </w:rPr>
      </w:pPr>
      <w:r>
        <w:rPr>
          <w:b/>
          <w:color w:val="000000"/>
        </w:rPr>
      </w:r>
    </w:p>
    <w:p>
      <w:pPr>
        <w:pStyle w:val="Normal"/>
        <w:jc w:val="right"/>
        <w:rPr>
          <w:bCs/>
          <w:color w:val="000000"/>
        </w:rPr>
      </w:pPr>
      <w:r>
        <w:rPr>
          <w:bCs/>
          <w:color w:val="000000"/>
        </w:rPr>
        <w:t>Ci-après désignées ensemble, « les Parties ».</w:t>
      </w:r>
    </w:p>
    <w:p>
      <w:pPr>
        <w:pStyle w:val="Normal"/>
        <w:rPr>
          <w:color w:val="000000"/>
        </w:rPr>
      </w:pPr>
      <w:r>
        <w:rPr>
          <w:color w:val="000000"/>
        </w:rPr>
      </w:r>
    </w:p>
    <w:p>
      <w:pPr>
        <w:pStyle w:val="Normal"/>
        <w:rPr>
          <w:color w:val="000000"/>
        </w:rPr>
      </w:pPr>
      <w:r>
        <w:rPr>
          <w:color w:val="000000"/>
        </w:rPr>
      </w:r>
    </w:p>
    <w:p>
      <w:pPr>
        <w:pStyle w:val="Normal"/>
        <w:rPr>
          <w:b/>
          <w:color w:val="000000"/>
        </w:rPr>
      </w:pPr>
      <w:r>
        <w:rPr>
          <w:b/>
          <w:color w:val="000000"/>
        </w:rPr>
        <w:t>APRES AVOIR RAPPELE QUE :</w:t>
      </w:r>
    </w:p>
    <w:p>
      <w:pPr>
        <w:pStyle w:val="Normal"/>
        <w:rPr>
          <w:color w:val="000000"/>
        </w:rPr>
      </w:pPr>
      <w:r>
        <w:rPr>
          <w:color w:val="000000"/>
          <w:lang w:bidi="or-IN"/>
        </w:rPr>
        <w:t xml:space="preserve"> </w:t>
      </w:r>
      <w:bookmarkStart w:id="0" w:name="_Toc448167314"/>
      <w:r>
        <w:rPr>
          <w:color w:val="000000"/>
        </w:rPr>
        <w:t xml:space="preserve"> </w:t>
      </w:r>
    </w:p>
    <w:p>
      <w:pPr>
        <w:pStyle w:val="Normal"/>
        <w:rPr>
          <w:color w:val="000000"/>
        </w:rPr>
      </w:pPr>
      <w:r>
        <w:rPr/>
      </w:r>
    </w:p>
    <w:p>
      <w:pPr>
        <w:pStyle w:val="Normal"/>
        <w:rPr>
          <w:b/>
          <w:bCs/>
          <w:u w:val="single"/>
        </w:rPr>
      </w:pPr>
      <w:r>
        <w:rPr>
          <w:b/>
          <w:bCs/>
          <w:u w:val="single"/>
        </w:rPr>
        <w:t>PREAMBULE :</w:t>
      </w:r>
    </w:p>
    <w:p>
      <w:pPr>
        <w:pStyle w:val="Normal"/>
        <w:rPr/>
      </w:pPr>
      <w:r>
        <w:rPr/>
      </w:r>
    </w:p>
    <w:p>
      <w:pPr>
        <w:pStyle w:val="Normal"/>
        <w:rPr/>
      </w:pPr>
      <w:r>
        <w:rPr/>
      </w:r>
    </w:p>
    <w:p>
      <w:pPr>
        <w:pStyle w:val="Normal"/>
        <w:rPr>
          <w:sz w:val="22"/>
          <w:szCs w:val="22"/>
        </w:rPr>
      </w:pPr>
      <w:r>
        <w:rPr>
          <w:sz w:val="22"/>
          <w:szCs w:val="22"/>
        </w:rPr>
        <w:t>Le temps de travail au sein du Cabinet est actuellement décompté sur une base horaire, et ce pour l’ensemble des salariés quelque soit leur statut (non-cadre ou cadre).</w:t>
      </w:r>
    </w:p>
    <w:p>
      <w:pPr>
        <w:pStyle w:val="Normal"/>
        <w:rPr>
          <w:sz w:val="22"/>
          <w:szCs w:val="22"/>
        </w:rPr>
      </w:pPr>
      <w:r>
        <w:rPr>
          <w:sz w:val="22"/>
          <w:szCs w:val="22"/>
        </w:rPr>
      </w:r>
    </w:p>
    <w:p>
      <w:pPr>
        <w:pStyle w:val="Normal"/>
        <w:rPr>
          <w:sz w:val="22"/>
          <w:szCs w:val="22"/>
        </w:rPr>
      </w:pPr>
      <w:r>
        <w:rPr>
          <w:sz w:val="22"/>
          <w:szCs w:val="22"/>
        </w:rPr>
        <w:t>La Convention Collective Nationale des avocats et de leur personnel ne prévoit pas la possibilité de conclure des conventions annuelles de forfait en jours pour le personnel d’encadrement</w:t>
      </w:r>
      <w:bookmarkEnd w:id="0"/>
      <w:r>
        <w:rPr>
          <w:sz w:val="22"/>
          <w:szCs w:val="22"/>
        </w:rPr>
        <w:t>. En outre, le contingent conventionnel d’heures supplémentaires est fixé à 160 heures par an et par salarié, et ce alors que le contingent « légal » est de 220 heures par an et par salarié.</w:t>
      </w:r>
    </w:p>
    <w:p>
      <w:pPr>
        <w:pStyle w:val="Normal"/>
        <w:rPr>
          <w:sz w:val="22"/>
          <w:szCs w:val="22"/>
        </w:rPr>
      </w:pPr>
      <w:r>
        <w:rPr>
          <w:sz w:val="22"/>
          <w:szCs w:val="22"/>
        </w:rPr>
      </w:r>
    </w:p>
    <w:p>
      <w:pPr>
        <w:pStyle w:val="Normal"/>
        <w:rPr>
          <w:sz w:val="22"/>
          <w:szCs w:val="22"/>
        </w:rPr>
      </w:pPr>
      <w:r>
        <w:rPr>
          <w:sz w:val="22"/>
          <w:szCs w:val="22"/>
        </w:rPr>
        <w:t>Le Cabinet fait le constat que :</w:t>
      </w:r>
    </w:p>
    <w:p>
      <w:pPr>
        <w:pStyle w:val="Normal"/>
        <w:numPr>
          <w:ilvl w:val="0"/>
          <w:numId w:val="22"/>
        </w:numPr>
        <w:rPr>
          <w:sz w:val="22"/>
          <w:szCs w:val="22"/>
        </w:rPr>
      </w:pPr>
      <w:r>
        <w:rPr>
          <w:sz w:val="22"/>
          <w:szCs w:val="22"/>
        </w:rPr>
        <w:t>pour certains salariés le contingent conventionnel d’heures supplémentaires peut s’avérer insuffisant au regard des besoins de la structure ;</w:t>
      </w:r>
    </w:p>
    <w:p>
      <w:pPr>
        <w:pStyle w:val="Normal"/>
        <w:ind w:left="720"/>
        <w:rPr>
          <w:sz w:val="22"/>
          <w:szCs w:val="22"/>
        </w:rPr>
      </w:pPr>
      <w:r>
        <w:rPr>
          <w:sz w:val="22"/>
          <w:szCs w:val="22"/>
        </w:rPr>
      </w:r>
    </w:p>
    <w:p>
      <w:pPr>
        <w:pStyle w:val="Normal"/>
        <w:numPr>
          <w:ilvl w:val="0"/>
          <w:numId w:val="22"/>
        </w:numPr>
        <w:rPr>
          <w:sz w:val="22"/>
          <w:szCs w:val="22"/>
        </w:rPr>
      </w:pPr>
      <w:r>
        <w:rPr>
          <w:sz w:val="22"/>
          <w:szCs w:val="22"/>
        </w:rPr>
        <w:t>par ailleurs, le décompte du  temps de travail selon un forfait annuel en jours pourrait dans certains cas et pour certaines catégories d’emplois, être plus adapté à la situation particulière de certains salariés, cadres ou non cadres, pour lesquels la durée du temps de travail ne peut être prédéterminée et qui disposent d'une réelle autonomie dans l'organisation de leur emploi du temps pour l'exercice des responsabilités qui leur sont confiées.</w:t>
      </w:r>
    </w:p>
    <w:p>
      <w:pPr>
        <w:pStyle w:val="ListParagraph"/>
        <w:rPr>
          <w:color w:val="000000"/>
          <w:sz w:val="22"/>
          <w:szCs w:val="22"/>
        </w:rPr>
      </w:pPr>
      <w:r>
        <w:rPr>
          <w:color w:val="000000"/>
          <w:sz w:val="22"/>
          <w:szCs w:val="22"/>
        </w:rPr>
      </w:r>
    </w:p>
    <w:p>
      <w:pPr>
        <w:pStyle w:val="Normal"/>
        <w:rPr>
          <w:sz w:val="22"/>
          <w:szCs w:val="22"/>
        </w:rPr>
      </w:pPr>
      <w:r>
        <w:rPr>
          <w:sz w:val="22"/>
          <w:szCs w:val="22"/>
        </w:rPr>
        <w:t>Fort de ce constat, il est apparu nécessaire de conclure un accord collectif d’entreprise portant sur ces points au sein du Cabinet.</w:t>
      </w:r>
    </w:p>
    <w:p>
      <w:pPr>
        <w:pStyle w:val="Normal"/>
        <w:rPr>
          <w:sz w:val="22"/>
          <w:szCs w:val="22"/>
        </w:rPr>
      </w:pPr>
      <w:r>
        <w:rPr>
          <w:sz w:val="22"/>
          <w:szCs w:val="22"/>
        </w:rPr>
      </w:r>
    </w:p>
    <w:p>
      <w:pPr>
        <w:pStyle w:val="Normal"/>
        <w:rPr>
          <w:sz w:val="22"/>
          <w:szCs w:val="22"/>
        </w:rPr>
      </w:pPr>
      <w:r>
        <w:rPr>
          <w:rFonts w:cs="Arial Narrow"/>
          <w:sz w:val="22"/>
          <w:szCs w:val="22"/>
          <w:lang w:bidi="or-IN"/>
        </w:rPr>
        <w:t xml:space="preserve">Aussi, </w:t>
        <w:tab/>
        <w:t xml:space="preserve">la Direction du Cabinet a fait part à la membre titulaire de la délégation du personnel au Comité social et économique (CSE) de son intention de négocier un accord collectif </w:t>
      </w:r>
      <w:r>
        <w:rPr>
          <w:sz w:val="22"/>
          <w:szCs w:val="22"/>
          <w:lang w:bidi="or-IN"/>
        </w:rPr>
        <w:t>portant sur l’aménagement du temps de travail</w:t>
      </w:r>
      <w:r>
        <w:rPr>
          <w:rFonts w:cs="Arial Narrow"/>
          <w:sz w:val="22"/>
          <w:szCs w:val="22"/>
          <w:lang w:bidi="or-IN"/>
        </w:rPr>
        <w:t xml:space="preserve">. </w:t>
      </w:r>
    </w:p>
    <w:p>
      <w:pPr>
        <w:pStyle w:val="Normal"/>
        <w:rPr>
          <w:rFonts w:cs="Arial Narrow"/>
          <w:sz w:val="22"/>
          <w:szCs w:val="22"/>
          <w:lang w:bidi="or-IN"/>
        </w:rPr>
      </w:pPr>
      <w:r>
        <w:rPr>
          <w:rFonts w:cs="Arial Narrow"/>
          <w:sz w:val="22"/>
          <w:szCs w:val="22"/>
          <w:lang w:bidi="or-IN"/>
        </w:rPr>
      </w:r>
    </w:p>
    <w:p>
      <w:pPr>
        <w:pStyle w:val="Normal"/>
        <w:rPr>
          <w:sz w:val="22"/>
          <w:szCs w:val="22"/>
        </w:rPr>
      </w:pPr>
      <w:r>
        <w:rPr>
          <w:rFonts w:cs="Arial Narrow"/>
          <w:sz w:val="22"/>
          <w:szCs w:val="22"/>
          <w:lang w:bidi="or-IN"/>
        </w:rPr>
        <w:t xml:space="preserve">En retour, </w:t>
      </w:r>
      <w:r>
        <w:rPr>
          <w:sz w:val="22"/>
          <w:szCs w:val="22"/>
          <w:lang w:bidi="or-IN"/>
        </w:rPr>
        <w:t xml:space="preserve">l’élue titulaire du CSE a indiqué à la Direction qu’elle était d’accord pour négocier un tel accord et elle a informé le Cabinet ne pas être mandatée par une organisation syndicale représentative. </w:t>
      </w:r>
    </w:p>
    <w:p>
      <w:pPr>
        <w:pStyle w:val="Normal"/>
        <w:rPr>
          <w:rFonts w:cs="Arial Narrow"/>
          <w:sz w:val="22"/>
          <w:szCs w:val="22"/>
          <w:lang w:bidi="or-IN"/>
        </w:rPr>
      </w:pPr>
      <w:r>
        <w:rPr>
          <w:rFonts w:cs="Arial Narrow"/>
          <w:sz w:val="22"/>
          <w:szCs w:val="22"/>
          <w:lang w:bidi="or-IN"/>
        </w:rPr>
      </w:r>
    </w:p>
    <w:p>
      <w:pPr>
        <w:pStyle w:val="Normal"/>
        <w:rPr>
          <w:sz w:val="22"/>
          <w:szCs w:val="22"/>
        </w:rPr>
      </w:pPr>
      <w:r>
        <w:rPr>
          <w:sz w:val="22"/>
          <w:szCs w:val="22"/>
        </w:rPr>
        <w:t>Le 16 janvier 2025, la Direction a ainsi convoqué l’élue titulaire à une première réunion de négociation qui s’est tenue le 20 janvier 2025.</w:t>
      </w:r>
    </w:p>
    <w:p>
      <w:pPr>
        <w:pStyle w:val="Normal"/>
        <w:rPr>
          <w:sz w:val="22"/>
          <w:szCs w:val="22"/>
        </w:rPr>
      </w:pPr>
      <w:r>
        <w:rPr>
          <w:sz w:val="22"/>
          <w:szCs w:val="22"/>
        </w:rPr>
      </w:r>
    </w:p>
    <w:p>
      <w:pPr>
        <w:pStyle w:val="Normal"/>
        <w:rPr>
          <w:sz w:val="22"/>
          <w:szCs w:val="22"/>
        </w:rPr>
      </w:pPr>
      <w:r>
        <w:rPr>
          <w:sz w:val="22"/>
          <w:szCs w:val="22"/>
        </w:rPr>
        <w:t>En raison du thème de la négociation, les parties sont convenues qu’il n’était pas nécessaire de remettre une information préalable à l’élue avant d’entamer la négociation.</w:t>
      </w:r>
    </w:p>
    <w:p>
      <w:pPr>
        <w:pStyle w:val="Normal"/>
        <w:rPr>
          <w:sz w:val="22"/>
          <w:szCs w:val="22"/>
        </w:rPr>
      </w:pPr>
      <w:r>
        <w:rPr>
          <w:sz w:val="22"/>
          <w:szCs w:val="22"/>
        </w:rPr>
      </w:r>
    </w:p>
    <w:p>
      <w:pPr>
        <w:pStyle w:val="Normal"/>
        <w:rPr>
          <w:sz w:val="22"/>
          <w:szCs w:val="22"/>
        </w:rPr>
      </w:pPr>
      <w:r>
        <w:rPr>
          <w:sz w:val="22"/>
          <w:szCs w:val="22"/>
        </w:rPr>
        <w:t>Plusieurs réunions de négociations se sont déroulées les 20 janvier 2025, 28 janvier 2025 et 3 février 2025.</w:t>
      </w:r>
    </w:p>
    <w:p>
      <w:pPr>
        <w:pStyle w:val="Normal"/>
        <w:rPr>
          <w:sz w:val="22"/>
          <w:szCs w:val="22"/>
        </w:rPr>
      </w:pPr>
      <w:r>
        <w:rPr>
          <w:sz w:val="22"/>
          <w:szCs w:val="22"/>
        </w:rPr>
      </w:r>
    </w:p>
    <w:p>
      <w:pPr>
        <w:pStyle w:val="Normal"/>
        <w:rPr>
          <w:sz w:val="22"/>
          <w:szCs w:val="22"/>
        </w:rPr>
      </w:pPr>
      <w:r>
        <w:rPr>
          <w:sz w:val="22"/>
          <w:szCs w:val="22"/>
        </w:rPr>
        <w:t>C’est à l’issue de la réunion de négociations qui s’est tenue le 3 février 2025, que les parties ont conclu le présent accord.</w:t>
      </w:r>
    </w:p>
    <w:p>
      <w:pPr>
        <w:pStyle w:val="Normal"/>
        <w:rPr>
          <w:color w:val="000000"/>
          <w:sz w:val="22"/>
          <w:szCs w:val="22"/>
        </w:rPr>
      </w:pPr>
      <w:r>
        <w:rPr>
          <w:color w:val="000000"/>
          <w:sz w:val="22"/>
          <w:szCs w:val="22"/>
        </w:rPr>
      </w:r>
    </w:p>
    <w:p>
      <w:pPr>
        <w:pStyle w:val="Normal"/>
        <w:rPr>
          <w:sz w:val="22"/>
          <w:szCs w:val="22"/>
        </w:rPr>
      </w:pPr>
      <w:r>
        <w:rPr>
          <w:color w:val="000000"/>
          <w:sz w:val="22"/>
          <w:szCs w:val="22"/>
        </w:rPr>
        <w:t>Il est précisé que les références à des articles du Code du Travail correspondent à la numérotation des articles à la date de conclusion du présent accord. En cas de modification ultérieure de la numérotation des textes légaux ou règlementaires en question, il conviendra de se référer à la nouvelle numérotation des articles.</w:t>
      </w:r>
    </w:p>
    <w:p>
      <w:pPr>
        <w:pStyle w:val="Normal"/>
        <w:rPr>
          <w:sz w:val="22"/>
          <w:szCs w:val="22"/>
        </w:rPr>
      </w:pPr>
      <w:r>
        <w:rPr>
          <w:sz w:val="22"/>
          <w:szCs w:val="22"/>
        </w:rPr>
      </w:r>
    </w:p>
    <w:p>
      <w:pPr>
        <w:pStyle w:val="Normal"/>
        <w:rPr>
          <w:color w:val="000000"/>
        </w:rPr>
      </w:pPr>
      <w:r>
        <w:rPr>
          <w:b/>
          <w:color w:val="000000"/>
          <w:u w:val="single"/>
        </w:rPr>
      </w:r>
    </w:p>
    <w:p>
      <w:pPr>
        <w:pStyle w:val="Normal"/>
        <w:rPr>
          <w:b/>
          <w:color w:val="000000"/>
        </w:rPr>
      </w:pPr>
      <w:r>
        <w:rPr>
          <w:b/>
          <w:color w:val="000000"/>
          <w:u w:val="single"/>
        </w:rPr>
        <w:t>IL A ETE CONVENU ET ARRETE CE QUI SUIT</w:t>
      </w:r>
      <w:r>
        <w:rPr>
          <w:b/>
          <w:color w:val="000000"/>
        </w:rPr>
        <w:t> :</w:t>
      </w:r>
    </w:p>
    <w:p>
      <w:pPr>
        <w:pStyle w:val="Normal"/>
        <w:rPr>
          <w:b/>
          <w:color w:val="000000"/>
        </w:rPr>
      </w:pPr>
      <w:r>
        <w:rPr>
          <w:b/>
          <w:color w:val="000000"/>
        </w:rPr>
      </w:r>
    </w:p>
    <w:p>
      <w:pPr>
        <w:pStyle w:val="Normal"/>
        <w:rPr>
          <w:b/>
          <w:color w:val="000000"/>
        </w:rPr>
      </w:pPr>
      <w:r>
        <w:rPr>
          <w:b/>
          <w:color w:val="000000"/>
        </w:rPr>
      </w:r>
    </w:p>
    <w:p>
      <w:pPr>
        <w:pStyle w:val="Normal"/>
        <w:jc w:val="center"/>
        <w:rPr>
          <w:b/>
          <w:color w:val="000000"/>
          <w:u w:val="single"/>
        </w:rPr>
      </w:pPr>
      <w:r>
        <w:rPr>
          <w:b/>
          <w:color w:val="000000"/>
          <w:u w:val="single"/>
        </w:rPr>
        <w:t xml:space="preserve">SOMMAIRE </w:t>
      </w:r>
    </w:p>
    <w:sdt>
      <w:sdtPr>
        <w:docPartObj>
          <w:docPartGallery w:val="Table of Contents"/>
          <w:docPartUnique w:val="true"/>
        </w:docPartObj>
      </w:sdtPr>
      <w:sdtContent>
        <w:p>
          <w:pPr>
            <w:pStyle w:val="TOC1"/>
            <w:tabs>
              <w:tab w:pos="708" w:val="clear"/>
              <w:tab w:leader="dot" w:pos="8920" w:val="right"/>
            </w:tabs>
            <w:rPr>
              <w:rFonts w:ascii="Aptos" w:asciiTheme="minorHAnsi" w:cs="" w:cstheme="minorBidi" w:eastAsia="" w:eastAsiaTheme="minorEastAsia" w:hAnsi="Aptos" w:hAnsiTheme="minorHAnsi"/>
              <w:b w:val="false"/>
              <w:bCs w:val="false"/>
              <w:caps w:val="false"/>
              <w:smallCaps w:val="false"/>
              <w:kern w:val="2"/>
              <w14:ligatures w14:val="standardContextual"/>
            </w:rPr>
          </w:pPr>
          <w:r>
            <w:fldChar w:fldCharType="begin"/>
          </w:r>
          <w:r>
            <w:rPr>
              <w:webHidden/>
              <w:rStyle w:val="Sautdindex"/>
            </w:rPr>
            <w:instrText xml:space="preserve"> TOC \z \t "td1,1,Titre,1,Heading 1,2,td2,2" \h</w:instrText>
          </w:r>
          <w:r>
            <w:rPr>
              <w:webHidden/>
              <w:rStyle w:val="Sautdindex"/>
            </w:rPr>
            <w:fldChar w:fldCharType="separate"/>
          </w:r>
          <w:hyperlink w:anchor="_Toc189472846">
            <w:r>
              <w:rPr>
                <w:webHidden/>
                <w:rStyle w:val="Sautdindex"/>
              </w:rPr>
              <w:t>TITRE I : DISPOSITIONS GENERALES</w:t>
            </w:r>
            <w:r>
              <w:rPr>
                <w:rStyle w:val="Sautdindex"/>
                <w:vanish w:val="false"/>
              </w:rPr>
              <w:tab/>
            </w:r>
          </w:hyperlink>
          <w:r>
            <w:rPr>
              <w:rFonts w:ascii="Aptos" w:asciiTheme="minorHAnsi" w:cs="" w:cstheme="minorBidi" w:eastAsia="" w:eastAsiaTheme="minorEastAsia" w:hAnsi="Aptos" w:hAnsiTheme="minorHAnsi"/>
              <w:b w:val="false"/>
              <w:bCs w:val="false"/>
              <w:caps w:val="false"/>
              <w:smallCaps w:val="false"/>
              <w:vanish w:val="false"/>
              <w:kern w:val="2"/>
              <w14:ligatures w14:val="standardContextual"/>
            </w:rPr>
            <w:t>4</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47">
            <w:r>
              <w:rPr>
                <w:webHidden/>
                <w:rStyle w:val="Sautdindex"/>
              </w:rPr>
              <w:t>ARTICLE 1 -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Cadre Juridique - objet</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4</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48">
            <w:r>
              <w:rPr>
                <w:webHidden/>
                <w:rStyle w:val="Sautdindex"/>
              </w:rPr>
              <w:t>ARTICLE 2 -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Champ d’application</w:t>
            </w:r>
            <w:r>
              <w:rPr>
                <w:rStyle w:val="Sautdindex"/>
                <w:vanish w:val="false"/>
              </w:rPr>
              <w:tab/>
            </w:r>
          </w:hyperlink>
          <w:r>
            <w:rPr>
              <w:vanish w:val="false"/>
            </w:rPr>
            <w:t>4</w:t>
          </w:r>
        </w:p>
        <w:p>
          <w:pPr>
            <w:pStyle w:val="TOC1"/>
            <w:tabs>
              <w:tab w:pos="708" w:val="clear"/>
              <w:tab w:leader="dot" w:pos="8920" w:val="right"/>
            </w:tabs>
            <w:rPr>
              <w:rFonts w:ascii="Aptos" w:asciiTheme="minorHAnsi" w:cs="" w:cstheme="minorBidi" w:eastAsia="" w:eastAsiaTheme="minorEastAsia" w:hAnsi="Aptos" w:hAnsiTheme="minorHAnsi"/>
              <w:b w:val="false"/>
              <w:bCs w:val="false"/>
              <w:caps w:val="false"/>
              <w:smallCaps w:val="false"/>
              <w:kern w:val="2"/>
              <w14:ligatures w14:val="standardContextual"/>
            </w:rPr>
          </w:pPr>
          <w:hyperlink w:anchor="_Toc189472849">
            <w:r>
              <w:rPr>
                <w:webHidden/>
                <w:rStyle w:val="Sautdindex"/>
              </w:rPr>
              <w:t>TITRE II : HEURES SUPPLEMANTAIRES</w:t>
            </w:r>
            <w:r>
              <w:rPr>
                <w:rStyle w:val="Sautdindex"/>
                <w:vanish w:val="false"/>
              </w:rPr>
              <w:tab/>
            </w:r>
          </w:hyperlink>
          <w:r>
            <w:rPr>
              <w:rFonts w:ascii="Aptos" w:asciiTheme="minorHAnsi" w:cs="" w:cstheme="minorBidi" w:eastAsia="" w:eastAsiaTheme="minorEastAsia" w:hAnsi="Aptos" w:hAnsiTheme="minorHAnsi"/>
              <w:b w:val="false"/>
              <w:bCs w:val="false"/>
              <w:caps w:val="false"/>
              <w:smallCaps w:val="false"/>
              <w:vanish w:val="false"/>
              <w:kern w:val="2"/>
              <w14:ligatures w14:val="standardContextual"/>
            </w:rPr>
            <w:t>4</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0">
            <w:r>
              <w:rPr>
                <w:webHidden/>
                <w:rStyle w:val="Sautdindex"/>
              </w:rPr>
              <w:t>ARTICLE 3 -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Contingent annuel d’heures supplementaires</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4</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1">
            <w:r>
              <w:rPr>
                <w:webHidden/>
                <w:rStyle w:val="Sautdindex"/>
              </w:rPr>
              <w:t>ARTICLE 4 -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REPOS COMPENSATEUR DE REMPLACEMENT</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5</w:t>
          </w:r>
        </w:p>
        <w:p>
          <w:pPr>
            <w:pStyle w:val="TOC1"/>
            <w:tabs>
              <w:tab w:pos="708" w:val="clear"/>
              <w:tab w:leader="none" w:pos="1440" w:val="left"/>
              <w:tab w:leader="dot" w:pos="8920" w:val="right"/>
            </w:tabs>
            <w:rPr>
              <w:rFonts w:ascii="Aptos" w:asciiTheme="minorHAnsi" w:cs="" w:cstheme="minorBidi" w:eastAsia="" w:eastAsiaTheme="minorEastAsia" w:hAnsi="Aptos" w:hAnsiTheme="minorHAnsi"/>
              <w:b w:val="false"/>
              <w:bCs w:val="false"/>
              <w:caps w:val="false"/>
              <w:smallCaps w:val="false"/>
              <w:kern w:val="2"/>
              <w14:ligatures w14:val="standardContextual"/>
            </w:rPr>
          </w:pPr>
          <w:hyperlink w:anchor="_Toc189472852">
            <w:r>
              <w:rPr>
                <w:webHidden/>
                <w:rStyle w:val="Sautdindex"/>
              </w:rPr>
              <w:t xml:space="preserve">TITRE III : </w:t>
            </w:r>
            <w:r>
              <w:rPr>
                <w:rStyle w:val="Sautdindex"/>
                <w:rFonts w:ascii="Aptos" w:asciiTheme="minorHAnsi" w:cs="" w:cstheme="minorBidi" w:eastAsia="" w:eastAsiaTheme="minorEastAsia" w:hAnsi="Aptos" w:hAnsiTheme="minorHAnsi"/>
                <w:b w:val="false"/>
                <w:bCs w:val="false"/>
                <w:caps w:val="false"/>
                <w:smallCaps w:val="false"/>
                <w:kern w:val="2"/>
                <w14:ligatures w14:val="standardContextual"/>
              </w:rPr>
              <w:tab/>
            </w:r>
            <w:r>
              <w:rPr>
                <w:rStyle w:val="Sautdindex"/>
              </w:rPr>
              <w:t>FORFAIT ANNUEL EN JOURS</w:t>
            </w:r>
            <w:r>
              <w:rPr>
                <w:rStyle w:val="Sautdindex"/>
                <w:vanish w:val="false"/>
              </w:rPr>
              <w:tab/>
            </w:r>
          </w:hyperlink>
          <w:r>
            <w:rPr>
              <w:rFonts w:ascii="Aptos" w:asciiTheme="minorHAnsi" w:cs="" w:cstheme="minorBidi" w:eastAsia="" w:eastAsiaTheme="minorEastAsia" w:hAnsi="Aptos" w:hAnsiTheme="minorHAnsi"/>
              <w:b w:val="false"/>
              <w:bCs w:val="false"/>
              <w:caps w:val="false"/>
              <w:smallCaps w:val="false"/>
              <w:vanish w:val="false"/>
              <w:kern w:val="2"/>
              <w14:ligatures w14:val="standardContextual"/>
            </w:rPr>
            <w:t>5</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3">
            <w:r>
              <w:rPr>
                <w:webHidden/>
                <w:rStyle w:val="Sautdindex"/>
              </w:rPr>
              <w:t>ARTICLE 5 -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Definition des salaries concernés</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6</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4">
            <w:r>
              <w:rPr>
                <w:webHidden/>
                <w:rStyle w:val="Sautdindex"/>
              </w:rPr>
              <w:t>ARTICLE 6 -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durée du travail exprimée en jours – période de référence</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6</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5">
            <w:r>
              <w:rPr>
                <w:webHidden/>
                <w:rStyle w:val="Sautdindex"/>
              </w:rPr>
              <w:t>ARTICLE 7 -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modalités de prise des jrs</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7</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6">
            <w:r>
              <w:rPr>
                <w:webHidden/>
                <w:rStyle w:val="Sautdindex"/>
              </w:rPr>
              <w:t>ARTICLE 8 -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forfait en jours réduits</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7</w:t>
          </w:r>
        </w:p>
        <w:p>
          <w:pPr>
            <w:pStyle w:val="TOC2"/>
            <w:tabs>
              <w:tab w:pos="708" w:val="clear"/>
              <w:tab w:leader="none" w:pos="120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7">
            <w:r>
              <w:rPr>
                <w:webHidden/>
                <w:rStyle w:val="Sautdindex"/>
              </w:rPr>
              <w:t>ARTICLE 9 -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détermination de la rémunération forfaitaire</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8</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8">
            <w:r>
              <w:rPr>
                <w:webHidden/>
                <w:rStyle w:val="Sautdindex"/>
              </w:rPr>
              <w:t>ARTICLE 10 -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arrivées et départs en cours de période et absences</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8</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59">
            <w:r>
              <w:rPr>
                <w:webHidden/>
                <w:rStyle w:val="Sautdindex"/>
              </w:rPr>
              <w:t>ARTICLE 11 -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caractéristiques principales des conventions de forfait</w:t>
            </w:r>
            <w:r>
              <w:rPr>
                <w:rStyle w:val="Sautdindex"/>
                <w:vanish w:val="false"/>
              </w:rPr>
              <w:tab/>
            </w:r>
          </w:hyperlink>
          <w:r>
            <w:rPr>
              <w:vanish w:val="false"/>
            </w:rPr>
            <w:t>9</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0">
            <w:r>
              <w:rPr>
                <w:webHidden/>
                <w:rStyle w:val="Sautdindex"/>
              </w:rPr>
              <w:t>ARTICLE 12 -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décompte et suivi des jours travaillés et de la charge de travail</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4"/>
              <w14:ligatures w14:val="standardContextual"/>
            </w:rPr>
            <w:t>10</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1">
            <w:r>
              <w:rPr>
                <w:webHidden/>
                <w:rStyle w:val="Sautdindex"/>
              </w:rPr>
              <w:t>ARTICLE 13 -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respect des temps de repos – droit à la déconnexion</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2"/>
              <w:szCs w:val="22"/>
              <w14:ligatures w14:val="standardContextual"/>
            </w:rPr>
            <w:t>10</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2">
            <w:r>
              <w:rPr>
                <w:webHidden/>
                <w:rStyle w:val="Sautdindex"/>
              </w:rPr>
              <w:t>ARTICLE 14 -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évaluation de la charge de travail</w:t>
            </w:r>
            <w:r>
              <w:rPr>
                <w:rStyle w:val="Sautdindex"/>
                <w:vanish w:val="false"/>
              </w:rPr>
              <w:tab/>
            </w:r>
          </w:hyperlink>
          <w:r>
            <w:rPr>
              <w:vanish w:val="false"/>
            </w:rPr>
            <w:t>12</w:t>
          </w:r>
        </w:p>
        <w:p>
          <w:pPr>
            <w:pStyle w:val="TOC1"/>
            <w:tabs>
              <w:tab w:pos="708" w:val="clear"/>
              <w:tab w:leader="dot" w:pos="8920" w:val="right"/>
            </w:tabs>
            <w:rPr>
              <w:rFonts w:ascii="Aptos" w:asciiTheme="minorHAnsi" w:cs="" w:cstheme="minorBidi" w:eastAsia="" w:eastAsiaTheme="minorEastAsia" w:hAnsi="Aptos" w:hAnsiTheme="minorHAnsi"/>
              <w:b w:val="false"/>
              <w:bCs w:val="false"/>
              <w:caps w:val="false"/>
              <w:smallCaps w:val="false"/>
              <w:kern w:val="2"/>
              <w14:ligatures w14:val="standardContextual"/>
            </w:rPr>
          </w:pPr>
          <w:hyperlink w:anchor="_Toc189472863">
            <w:r>
              <w:rPr>
                <w:webHidden/>
                <w:rStyle w:val="Sautdindex"/>
              </w:rPr>
              <w:t>TITRE IV : DISPOSITIONS FINALES</w:t>
            </w:r>
            <w:r>
              <w:rPr>
                <w:rStyle w:val="Sautdindex"/>
                <w:vanish w:val="false"/>
              </w:rPr>
              <w:tab/>
              <w:t>1</w:t>
            </w:r>
          </w:hyperlink>
          <w:r>
            <w:rPr>
              <w:vanish w:val="false"/>
            </w:rPr>
            <w:t>3</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4">
            <w:r>
              <w:rPr>
                <w:webHidden/>
                <w:rStyle w:val="Sautdindex"/>
              </w:rPr>
              <w:t>ARTICLE 15 -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DATE D'ENTREE EN VIGUEUR - DUREE</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2"/>
              <w:szCs w:val="22"/>
              <w14:ligatures w14:val="standardContextual"/>
            </w:rPr>
            <w:t>13</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5">
            <w:r>
              <w:rPr>
                <w:webHidden/>
                <w:rStyle w:val="Sautdindex"/>
              </w:rPr>
              <w:t>ARTICLE 16 -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REVISION ET DENONCIATION</w:t>
            </w:r>
            <w:r>
              <w:rPr>
                <w:rStyle w:val="Sautdindex"/>
                <w:vanish w:val="false"/>
              </w:rPr>
              <w:tab/>
            </w:r>
          </w:hyperlink>
          <w:r>
            <w:rPr>
              <w:rFonts w:ascii="Aptos" w:asciiTheme="minorHAnsi" w:cs="" w:cstheme="minorBidi" w:eastAsia="" w:eastAsiaTheme="minorEastAsia" w:hAnsi="Aptos" w:hAnsiTheme="minorHAnsi"/>
              <w:b w:val="false"/>
              <w:bCs w:val="false"/>
              <w:vanish w:val="false"/>
              <w:kern w:val="2"/>
              <w:sz w:val="22"/>
              <w:szCs w:val="22"/>
              <w14:ligatures w14:val="standardContextual"/>
            </w:rPr>
            <w:t>13</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6">
            <w:r>
              <w:rPr>
                <w:webHidden/>
                <w:rStyle w:val="Sautdindex"/>
              </w:rPr>
              <w:t>ARTICLE 17 -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ADHESION</w:t>
            </w:r>
            <w:r>
              <w:rPr>
                <w:rStyle w:val="Sautdindex"/>
                <w:vanish w:val="false"/>
              </w:rPr>
              <w:tab/>
              <w:t>1</w:t>
            </w:r>
          </w:hyperlink>
          <w:r>
            <w:rPr>
              <w:vanish w:val="false"/>
            </w:rPr>
            <w:t>4</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7">
            <w:r>
              <w:rPr>
                <w:webHidden/>
                <w:rStyle w:val="Sautdindex"/>
              </w:rPr>
              <w:t>ARTICLE 18 -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CONDITIONS SUSPENSIVES ET RESOLUTOIRES</w:t>
            </w:r>
            <w:r>
              <w:rPr>
                <w:rStyle w:val="Sautdindex"/>
                <w:vanish w:val="false"/>
              </w:rPr>
              <w:tab/>
              <w:t>1</w:t>
            </w:r>
          </w:hyperlink>
          <w:r>
            <w:rPr>
              <w:vanish w:val="false"/>
            </w:rPr>
            <w:t>5</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8">
            <w:r>
              <w:rPr>
                <w:webHidden/>
                <w:rStyle w:val="Sautdindex"/>
              </w:rPr>
              <w:t>ARTICLE 19 -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INTERPRETATION DE L’Accord</w:t>
            </w:r>
            <w:r>
              <w:rPr>
                <w:rStyle w:val="Sautdindex"/>
                <w:vanish w:val="false"/>
              </w:rPr>
              <w:tab/>
              <w:t>1</w:t>
            </w:r>
          </w:hyperlink>
          <w:r>
            <w:rPr>
              <w:vanish w:val="false"/>
            </w:rPr>
            <w:t>5</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69">
            <w:r>
              <w:rPr>
                <w:webHidden/>
                <w:rStyle w:val="Sautdindex"/>
              </w:rPr>
              <w:t>ARTICLE 20 -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SUIVI</w:t>
            </w:r>
            <w:r>
              <w:rPr>
                <w:rStyle w:val="Sautdindex"/>
                <w:vanish w:val="false"/>
              </w:rPr>
              <w:tab/>
              <w:t>1</w:t>
            </w:r>
          </w:hyperlink>
          <w:r>
            <w:rPr>
              <w:vanish w:val="false"/>
            </w:rPr>
            <w:t>5</w:t>
          </w:r>
        </w:p>
        <w:p>
          <w:pPr>
            <w:pStyle w:val="TOC2"/>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hyperlink w:anchor="_Toc189472870">
            <w:r>
              <w:rPr>
                <w:webHidden/>
                <w:rStyle w:val="Sautdindex"/>
              </w:rPr>
              <w:t>ARTICLE 21 -</w:t>
            </w:r>
            <w:r>
              <w:rPr>
                <w:rStyle w:val="Sautdindex"/>
                <w:rFonts w:ascii="Aptos" w:asciiTheme="minorHAnsi" w:cs="" w:cstheme="minorBidi" w:eastAsia="" w:eastAsiaTheme="minorEastAsia" w:hAnsi="Aptos" w:hAnsiTheme="minorHAnsi"/>
                <w:b w:val="false"/>
                <w:bCs w:val="false"/>
                <w:kern w:val="2"/>
                <w:sz w:val="24"/>
                <w14:ligatures w14:val="standardContextual"/>
              </w:rPr>
              <w:tab/>
            </w:r>
            <w:r>
              <w:rPr>
                <w:rStyle w:val="Sautdindex"/>
              </w:rPr>
              <w:t>FORMALITES</w:t>
            </w:r>
            <w:r>
              <w:rPr>
                <w:rStyle w:val="Sautdindex"/>
                <w:vanish w:val="false"/>
              </w:rPr>
              <w:tab/>
              <w:t>1</w:t>
            </w:r>
          </w:hyperlink>
          <w:r>
            <w:rPr>
              <w:vanish w:val="false"/>
            </w:rPr>
            <w:t>5</w:t>
          </w:r>
        </w:p>
        <w:p>
          <w:pPr>
            <w:pStyle w:val="Normal"/>
            <w:tabs>
              <w:tab w:pos="708" w:val="clear"/>
              <w:tab w:leader="none" w:pos="1440" w:val="left"/>
              <w:tab w:leader="dot" w:pos="8920" w:val="right"/>
            </w:tabs>
            <w:rPr>
              <w:rFonts w:ascii="Aptos" w:asciiTheme="minorHAnsi" w:cs="" w:cstheme="minorBidi" w:eastAsia="" w:eastAsiaTheme="minorEastAsia" w:hAnsi="Aptos" w:hAnsiTheme="minorHAnsi"/>
              <w:b w:val="false"/>
              <w:bCs w:val="false"/>
              <w:kern w:val="2"/>
              <w:sz w:val="24"/>
              <w14:ligatures w14:val="standardContextual"/>
            </w:rPr>
          </w:pPr>
          <w:r>
            <w:rPr/>
          </w:r>
          <w:r>
            <w:rPr/>
            <w:fldChar w:fldCharType="end"/>
          </w:r>
        </w:p>
      </w:sdtContent>
    </w:sdt>
    <w:p>
      <w:pPr>
        <w:pStyle w:val="Titre"/>
        <w:rPr>
          <w:b w:val="false"/>
          <w:bCs/>
          <w:i/>
          <w:i/>
          <w:iCs/>
          <w:color w:val="000000"/>
        </w:rPr>
      </w:pPr>
      <w:r>
        <w:br w:type="page"/>
      </w:r>
      <w:bookmarkStart w:id="1" w:name="_Toc189472846"/>
      <w:r>
        <w:rPr>
          <w:color w:val="000000"/>
        </w:rPr>
        <w:t>TITRE I : DISPOSITIONS GENERALES</w:t>
      </w:r>
      <w:bookmarkEnd w:id="1"/>
    </w:p>
    <w:p>
      <w:pPr>
        <w:pStyle w:val="Normal"/>
        <w:ind w:left="1440"/>
        <w:rPr>
          <w:b/>
          <w:bCs/>
          <w:i/>
          <w:i/>
          <w:iCs/>
          <w:color w:val="000000"/>
        </w:rPr>
      </w:pPr>
      <w:r>
        <w:rPr>
          <w:b/>
          <w:bCs/>
          <w:i/>
          <w:iCs/>
          <w:color w:val="000000"/>
        </w:rPr>
      </w:r>
    </w:p>
    <w:p>
      <w:pPr>
        <w:pStyle w:val="Heading1"/>
        <w:numPr>
          <w:ilvl w:val="0"/>
          <w:numId w:val="10"/>
        </w:numPr>
        <w:rPr/>
      </w:pPr>
      <w:bookmarkStart w:id="2" w:name="_Toc189472847"/>
      <w:r>
        <w:rPr>
          <w:sz w:val="22"/>
          <w:szCs w:val="22"/>
        </w:rPr>
        <w:t>Cadre Juridique - objet</w:t>
      </w:r>
      <w:bookmarkEnd w:id="2"/>
    </w:p>
    <w:p>
      <w:pPr>
        <w:pStyle w:val="Normal"/>
        <w:rPr>
          <w:color w:val="000000"/>
        </w:rPr>
      </w:pPr>
      <w:r>
        <w:rPr>
          <w:color w:val="000000"/>
        </w:rPr>
        <w:t xml:space="preserve">  </w:t>
      </w:r>
    </w:p>
    <w:p>
      <w:pPr>
        <w:pStyle w:val="Normal"/>
        <w:rPr>
          <w:sz w:val="22"/>
          <w:szCs w:val="22"/>
        </w:rPr>
      </w:pPr>
      <w:r>
        <w:rPr>
          <w:sz w:val="22"/>
          <w:szCs w:val="22"/>
        </w:rPr>
        <w:t>Le présent accord est conclu dans le cadre des articles L.2221-1 et suivants du Code du travail.</w:t>
      </w:r>
    </w:p>
    <w:p>
      <w:pPr>
        <w:pStyle w:val="Normal"/>
        <w:rPr>
          <w:sz w:val="22"/>
          <w:szCs w:val="22"/>
        </w:rPr>
      </w:pPr>
      <w:r>
        <w:rPr>
          <w:sz w:val="22"/>
          <w:szCs w:val="22"/>
        </w:rPr>
      </w:r>
    </w:p>
    <w:p>
      <w:pPr>
        <w:pStyle w:val="Normal"/>
        <w:rPr>
          <w:sz w:val="22"/>
          <w:szCs w:val="22"/>
        </w:rPr>
      </w:pPr>
      <w:r>
        <w:rPr>
          <w:color w:val="000000"/>
          <w:sz w:val="22"/>
          <w:szCs w:val="22"/>
        </w:rPr>
        <w:t>Il se substitue à l’ensemble des dispositions des usages et engagements unilatéraux de l'employeur ayant le même objet.</w:t>
      </w:r>
    </w:p>
    <w:p>
      <w:pPr>
        <w:pStyle w:val="Normal"/>
        <w:rPr>
          <w:color w:val="000000"/>
          <w:sz w:val="22"/>
          <w:szCs w:val="22"/>
        </w:rPr>
      </w:pPr>
      <w:r>
        <w:rPr>
          <w:color w:val="000000"/>
          <w:sz w:val="22"/>
          <w:szCs w:val="22"/>
        </w:rPr>
      </w:r>
    </w:p>
    <w:p>
      <w:pPr>
        <w:pStyle w:val="Normal"/>
        <w:rPr>
          <w:sz w:val="22"/>
          <w:szCs w:val="22"/>
        </w:rPr>
      </w:pPr>
      <w:bookmarkStart w:id="3" w:name="_Toc296957409"/>
      <w:r>
        <w:rPr>
          <w:color w:val="000000"/>
          <w:sz w:val="22"/>
          <w:szCs w:val="22"/>
        </w:rPr>
        <w:t xml:space="preserve">Conformément aux dispositions de l’article L. 2253-3 du Code du travail, le présent accord prévaut sur les dispositions conventionnelles qui portent sur le même objet conclues au sein de la branche des avocats et de leur personnel. </w:t>
      </w:r>
    </w:p>
    <w:p>
      <w:pPr>
        <w:pStyle w:val="Normal"/>
        <w:rPr>
          <w:color w:val="000000"/>
        </w:rPr>
      </w:pPr>
      <w:r>
        <w:rPr>
          <w:color w:val="000000"/>
        </w:rPr>
      </w:r>
    </w:p>
    <w:p>
      <w:pPr>
        <w:pStyle w:val="Normal"/>
        <w:rPr>
          <w:color w:val="000000"/>
        </w:rPr>
      </w:pPr>
      <w:r>
        <w:rPr>
          <w:color w:val="000000"/>
        </w:rPr>
      </w:r>
    </w:p>
    <w:p>
      <w:pPr>
        <w:pStyle w:val="Heading1"/>
        <w:numPr>
          <w:ilvl w:val="0"/>
          <w:numId w:val="10"/>
        </w:numPr>
        <w:rPr>
          <w:color w:val="000000"/>
        </w:rPr>
      </w:pPr>
      <w:bookmarkStart w:id="4" w:name="_Toc508611145"/>
      <w:bookmarkStart w:id="5" w:name="_Toc499907318"/>
      <w:bookmarkStart w:id="6" w:name="_Toc189472848"/>
      <w:r>
        <w:rPr>
          <w:color w:val="000000"/>
          <w:sz w:val="22"/>
          <w:szCs w:val="22"/>
        </w:rPr>
        <w:t>Champ d’application</w:t>
      </w:r>
      <w:bookmarkEnd w:id="6"/>
      <w:r>
        <w:rPr>
          <w:color w:val="000000"/>
          <w:sz w:val="22"/>
          <w:szCs w:val="22"/>
        </w:rPr>
        <w:t xml:space="preserve"> </w:t>
      </w:r>
      <w:bookmarkEnd w:id="3"/>
      <w:bookmarkEnd w:id="4"/>
      <w:bookmarkEnd w:id="5"/>
    </w:p>
    <w:p>
      <w:pPr>
        <w:pStyle w:val="Normal"/>
        <w:rPr>
          <w:color w:val="000000"/>
          <w:sz w:val="22"/>
          <w:szCs w:val="22"/>
        </w:rPr>
      </w:pPr>
      <w:r>
        <w:rPr>
          <w:color w:val="000000"/>
          <w:sz w:val="22"/>
          <w:szCs w:val="22"/>
        </w:rPr>
      </w:r>
    </w:p>
    <w:p>
      <w:pPr>
        <w:pStyle w:val="Normal"/>
        <w:rPr>
          <w:sz w:val="22"/>
          <w:szCs w:val="22"/>
        </w:rPr>
      </w:pPr>
      <w:r>
        <w:rPr>
          <w:color w:val="000000"/>
          <w:sz w:val="22"/>
          <w:szCs w:val="22"/>
        </w:rPr>
        <w:t>Sauf dispositions spécifiques prévues par le présent accord, ce dernier concerne l'ensemble des salariés du Cabinet ayant un contrat de travail à durée indéterminée (CDI) ou à durée déterminée (CDD).</w:t>
      </w:r>
    </w:p>
    <w:p>
      <w:pPr>
        <w:pStyle w:val="Normal"/>
        <w:rPr>
          <w:color w:val="000000"/>
        </w:rPr>
      </w:pPr>
      <w:r>
        <w:rPr>
          <w:sz w:val="22"/>
          <w:szCs w:val="22"/>
        </w:rPr>
      </w:r>
    </w:p>
    <w:p>
      <w:pPr>
        <w:pStyle w:val="Normal"/>
        <w:rPr>
          <w:color w:val="000000"/>
        </w:rPr>
      </w:pPr>
      <w:r>
        <w:rPr>
          <w:color w:val="000000"/>
        </w:rPr>
      </w:r>
    </w:p>
    <w:p>
      <w:pPr>
        <w:pStyle w:val="Normal"/>
        <w:rPr>
          <w:color w:val="000000"/>
        </w:rPr>
      </w:pPr>
      <w:r>
        <w:rPr>
          <w:color w:val="000000"/>
        </w:rPr>
      </w:r>
    </w:p>
    <w:p>
      <w:pPr>
        <w:pStyle w:val="Titre"/>
        <w:rPr/>
      </w:pPr>
      <w:bookmarkStart w:id="7" w:name="_Toc189472849"/>
      <w:bookmarkStart w:id="8" w:name="_Toc508611209"/>
      <w:bookmarkStart w:id="9" w:name="_Toc505799241"/>
      <w:r>
        <w:rPr>
          <w:color w:val="000000"/>
        </w:rPr>
        <w:t xml:space="preserve">TITRE II : </w:t>
      </w:r>
      <w:bookmarkEnd w:id="8"/>
      <w:bookmarkEnd w:id="9"/>
      <w:r>
        <w:rPr>
          <w:color w:val="000000"/>
        </w:rPr>
        <w:t>HEURES SUPPLEMANTAIRES</w:t>
      </w:r>
      <w:bookmarkEnd w:id="7"/>
    </w:p>
    <w:p>
      <w:pPr>
        <w:pStyle w:val="Normal"/>
        <w:rPr>
          <w:highlight w:val="none"/>
        </w:rPr>
      </w:pPr>
      <w:r>
        <w:rPr>
          <w:rFonts w:ascii="Times New Roman Gras" w:hAnsi="Times New Roman Gras"/>
          <w:b/>
          <w:caps/>
          <w:color w:val="000000"/>
          <w:shd w:fill="auto" w:val="clear"/>
        </w:rPr>
        <w:t xml:space="preserve"> </w:t>
      </w:r>
      <w:r>
        <w:rPr>
          <w:color w:val="000000"/>
          <w:shd w:fill="auto" w:val="clear"/>
        </w:rPr>
        <w:t xml:space="preserve"> </w:t>
      </w:r>
    </w:p>
    <w:p>
      <w:pPr>
        <w:pStyle w:val="Heading1"/>
        <w:numPr>
          <w:ilvl w:val="0"/>
          <w:numId w:val="10"/>
        </w:numPr>
        <w:jc w:val="left"/>
        <w:rPr/>
      </w:pPr>
      <w:bookmarkStart w:id="10" w:name="_Toc189472850"/>
      <w:bookmarkStart w:id="11" w:name="_Toc508611210"/>
      <w:bookmarkStart w:id="12" w:name="_Toc505799242"/>
      <w:bookmarkStart w:id="13" w:name="_Toc504727865"/>
      <w:bookmarkStart w:id="14" w:name="_Toc504727765"/>
      <w:r>
        <w:rPr>
          <w:color w:val="000000"/>
          <w:sz w:val="22"/>
          <w:szCs w:val="22"/>
        </w:rPr>
        <w:t>C</w:t>
      </w:r>
      <w:bookmarkEnd w:id="11"/>
      <w:bookmarkEnd w:id="12"/>
      <w:bookmarkEnd w:id="13"/>
      <w:bookmarkEnd w:id="14"/>
      <w:r>
        <w:rPr>
          <w:color w:val="000000"/>
          <w:sz w:val="22"/>
          <w:szCs w:val="22"/>
        </w:rPr>
        <w:t>ontingent annuel d’heures supplementaires</w:t>
      </w:r>
      <w:bookmarkEnd w:id="10"/>
    </w:p>
    <w:p>
      <w:pPr>
        <w:pStyle w:val="Normal"/>
        <w:rPr>
          <w:color w:val="000000"/>
        </w:rPr>
      </w:pPr>
      <w:r>
        <w:rPr>
          <w:color w:val="000000"/>
        </w:rPr>
      </w:r>
    </w:p>
    <w:p>
      <w:pPr>
        <w:pStyle w:val="Normal"/>
        <w:rPr>
          <w:color w:val="000000"/>
        </w:rPr>
      </w:pPr>
      <w:r>
        <w:rPr>
          <w:color w:val="000000"/>
        </w:rPr>
        <w:t xml:space="preserve">Les parties conviennent d’appliquer un contingent annuel d’heures supplémentaires égal à 325 heures au regard de la nature et de la spécificité de l’activité du Cabinet. </w:t>
      </w:r>
    </w:p>
    <w:p>
      <w:pPr>
        <w:pStyle w:val="Normal"/>
        <w:rPr>
          <w:color w:val="000000"/>
        </w:rPr>
      </w:pPr>
      <w:r>
        <w:rPr>
          <w:color w:val="000000"/>
        </w:rPr>
      </w:r>
    </w:p>
    <w:p>
      <w:pPr>
        <w:pStyle w:val="Normal"/>
        <w:rPr>
          <w:color w:val="000000"/>
        </w:rPr>
      </w:pPr>
      <w:r>
        <w:rPr>
          <w:color w:val="000000"/>
        </w:rPr>
        <w:t>Il est toutefois précisé que le Cabinet s’efforcera, pour les assistantes, de limiter le nombre d’heures supplémentaires effectuées afin que celui-ci ne s’éloigne pas de manière trop importante du contingent « légal » fixé, pour mémoire, à 220 heures par an et par salarié à la date de conclusion du présent accord.</w:t>
      </w:r>
    </w:p>
    <w:p>
      <w:pPr>
        <w:pStyle w:val="Normal"/>
        <w:rPr>
          <w:color w:val="000000"/>
        </w:rPr>
      </w:pPr>
      <w:r>
        <w:rPr>
          <w:color w:val="000000"/>
        </w:rPr>
      </w:r>
    </w:p>
    <w:p>
      <w:pPr>
        <w:pStyle w:val="Normal"/>
        <w:rPr>
          <w:color w:val="000000"/>
        </w:rPr>
      </w:pPr>
      <w:r>
        <w:rPr>
          <w:color w:val="000000"/>
        </w:rPr>
        <w:t>Il est rappelé que les heures supplémentaires ouvrant droit au repos compensateur équivalent mentionné à l'article L. 3121-28 du Code du travail (repos compensateur de remplacement) et celles accomplies dans les cas de travaux urgents énumérés à l'article L. 3132-4 ne s'imputent pas sur le contingent annuel d'heures supplémentaires.</w:t>
      </w:r>
    </w:p>
    <w:p>
      <w:pPr>
        <w:pStyle w:val="Normal"/>
        <w:rPr>
          <w:lang w:bidi="or-IN"/>
        </w:rPr>
      </w:pPr>
      <w:r>
        <w:rPr>
          <w:lang w:bidi="or-IN"/>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numPr>
          <w:ilvl w:val="0"/>
          <w:numId w:val="10"/>
        </w:numPr>
        <w:rPr/>
      </w:pPr>
      <w:bookmarkStart w:id="15" w:name="_Toc189472851"/>
      <w:r>
        <w:rPr>
          <w:color w:val="000000"/>
          <w:sz w:val="22"/>
          <w:szCs w:val="22"/>
        </w:rPr>
        <w:t>REPOS COMPENSATEUR DE REMPLACEMENT</w:t>
      </w:r>
      <w:bookmarkEnd w:id="15"/>
    </w:p>
    <w:p>
      <w:pPr>
        <w:pStyle w:val="Normal"/>
        <w:rPr>
          <w:color w:val="000000"/>
        </w:rPr>
      </w:pPr>
      <w:r>
        <w:rPr>
          <w:color w:val="000000"/>
        </w:rPr>
      </w:r>
    </w:p>
    <w:p>
      <w:pPr>
        <w:pStyle w:val="Normal"/>
        <w:rPr>
          <w:sz w:val="22"/>
          <w:szCs w:val="22"/>
        </w:rPr>
      </w:pPr>
      <w:r>
        <w:rPr>
          <w:color w:val="000000"/>
          <w:sz w:val="22"/>
          <w:szCs w:val="22"/>
        </w:rPr>
        <w:t xml:space="preserve">Les heures supplémentaires et les majorations afférentes pourront être – totalement ou partiellement - soit : </w:t>
      </w:r>
    </w:p>
    <w:p>
      <w:pPr>
        <w:pStyle w:val="ListParagraph"/>
        <w:numPr>
          <w:ilvl w:val="2"/>
          <w:numId w:val="12"/>
        </w:numPr>
        <w:spacing w:after="0" w:before="0"/>
        <w:ind w:hanging="360" w:left="567"/>
        <w:contextualSpacing/>
        <w:rPr>
          <w:sz w:val="22"/>
          <w:szCs w:val="22"/>
        </w:rPr>
      </w:pPr>
      <w:r>
        <w:rPr>
          <w:color w:val="000000"/>
          <w:sz w:val="22"/>
          <w:szCs w:val="22"/>
        </w:rPr>
        <w:t>transformées en repos compensateur de remplacement  ;</w:t>
      </w:r>
    </w:p>
    <w:p>
      <w:pPr>
        <w:pStyle w:val="ListParagraph"/>
        <w:widowControl/>
        <w:numPr>
          <w:ilvl w:val="0"/>
          <w:numId w:val="0"/>
        </w:numPr>
        <w:bidi w:val="0"/>
        <w:spacing w:after="0" w:before="0"/>
        <w:ind w:hanging="0" w:left="227" w:right="0"/>
        <w:contextualSpacing/>
        <w:jc w:val="both"/>
        <w:rPr>
          <w:sz w:val="22"/>
          <w:szCs w:val="22"/>
        </w:rPr>
      </w:pPr>
      <w:r>
        <w:rPr>
          <w:color w:val="000000"/>
          <w:sz w:val="22"/>
          <w:szCs w:val="22"/>
        </w:rPr>
        <w:t xml:space="preserve">-     mises en paiement </w:t>
      </w:r>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Le choix entre le paiement des heures et/ou leur transformation en repos compensateur sera laissé à la discrétion de l’employeur. </w:t>
      </w:r>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Il est rappelé que les heures supplémentaires compensées sous forme de repos compensateur équivalent ne s’imputent pas sur le contingent annuel d’heures supplémentaires. </w:t>
      </w:r>
    </w:p>
    <w:p>
      <w:pPr>
        <w:pStyle w:val="Normal"/>
        <w:rPr>
          <w:sz w:val="22"/>
          <w:szCs w:val="22"/>
        </w:rPr>
      </w:pPr>
      <w:r>
        <w:rPr>
          <w:sz w:val="22"/>
          <w:szCs w:val="22"/>
        </w:rPr>
      </w:r>
    </w:p>
    <w:p>
      <w:pPr>
        <w:pStyle w:val="Normal"/>
        <w:rPr>
          <w:sz w:val="22"/>
          <w:szCs w:val="22"/>
        </w:rPr>
      </w:pPr>
      <w:r>
        <w:rPr>
          <w:sz w:val="22"/>
          <w:szCs w:val="22"/>
        </w:rPr>
      </w:r>
    </w:p>
    <w:p>
      <w:pPr>
        <w:pStyle w:val="Normal"/>
        <w:rPr>
          <w:color w:val="000000"/>
        </w:rPr>
      </w:pPr>
      <w:r>
        <w:rPr>
          <w:color w:val="000000"/>
        </w:rPr>
      </w:r>
    </w:p>
    <w:p>
      <w:pPr>
        <w:pStyle w:val="Titre"/>
        <w:rPr/>
      </w:pPr>
      <w:bookmarkStart w:id="16" w:name="_Toc189472852"/>
      <w:r>
        <w:rPr>
          <w:color w:val="000000"/>
        </w:rPr>
        <w:t xml:space="preserve">TITRE III : </w:t>
        <w:tab/>
        <w:t>FORFAIT ANNUEL EN JOURS</w:t>
      </w:r>
      <w:bookmarkEnd w:id="16"/>
    </w:p>
    <w:p>
      <w:pPr>
        <w:pStyle w:val="Normal"/>
        <w:rPr>
          <w:color w:val="000000"/>
        </w:rPr>
      </w:pPr>
      <w:r>
        <w:rPr>
          <w:color w:val="000000"/>
        </w:rPr>
      </w:r>
    </w:p>
    <w:p>
      <w:pPr>
        <w:pStyle w:val="Heading1"/>
        <w:numPr>
          <w:ilvl w:val="0"/>
          <w:numId w:val="10"/>
        </w:numPr>
        <w:rPr/>
      </w:pPr>
      <w:bookmarkStart w:id="17" w:name="_Toc189472853"/>
      <w:r>
        <w:rPr>
          <w:color w:val="000000"/>
          <w:sz w:val="22"/>
          <w:szCs w:val="22"/>
        </w:rPr>
        <w:t>Definition des salaries concernés</w:t>
      </w:r>
      <w:bookmarkEnd w:id="17"/>
    </w:p>
    <w:p>
      <w:pPr>
        <w:pStyle w:val="Normal"/>
        <w:rPr>
          <w:color w:val="000000"/>
          <w:sz w:val="22"/>
          <w:szCs w:val="22"/>
          <w:highlight w:val="green"/>
        </w:rPr>
      </w:pPr>
      <w:r>
        <w:rPr>
          <w:color w:val="000000"/>
          <w:sz w:val="22"/>
          <w:szCs w:val="22"/>
          <w:highlight w:val="green"/>
        </w:rPr>
      </w:r>
    </w:p>
    <w:p>
      <w:pPr>
        <w:pStyle w:val="Normal"/>
        <w:rPr>
          <w:sz w:val="22"/>
          <w:szCs w:val="22"/>
        </w:rPr>
      </w:pPr>
      <w:r>
        <w:rPr>
          <w:color w:val="000000"/>
          <w:sz w:val="22"/>
          <w:szCs w:val="22"/>
        </w:rPr>
        <w:t xml:space="preserve">Conformément à l’article L. 3121-58 du Code du travail, peuvent conclure une convention individuelle de forfait en jours sur l'année : </w:t>
      </w:r>
    </w:p>
    <w:p>
      <w:pPr>
        <w:pStyle w:val="Normal"/>
        <w:numPr>
          <w:ilvl w:val="2"/>
          <w:numId w:val="13"/>
        </w:numPr>
        <w:ind w:hanging="360" w:left="567"/>
        <w:rPr>
          <w:sz w:val="22"/>
          <w:szCs w:val="22"/>
        </w:rPr>
      </w:pPr>
      <w:r>
        <w:rPr>
          <w:color w:val="000000"/>
          <w:sz w:val="22"/>
          <w:szCs w:val="22"/>
        </w:rPr>
        <w:t xml:space="preserve">Les cadres qui disposent d'une autonomie dans l'organisation de leur emploi du temps et dont la nature des fonctions ne les conduit pas à suivre l'horaire collectif applicable au sein de l'atelier, du service ou de l'équipe auquel ils sont intégrés ; </w:t>
      </w:r>
    </w:p>
    <w:p>
      <w:pPr>
        <w:pStyle w:val="Normal"/>
        <w:ind w:left="567"/>
        <w:rPr>
          <w:color w:val="000000"/>
          <w:sz w:val="22"/>
          <w:szCs w:val="22"/>
        </w:rPr>
      </w:pPr>
      <w:r>
        <w:rPr>
          <w:color w:val="000000"/>
          <w:sz w:val="22"/>
          <w:szCs w:val="22"/>
        </w:rPr>
      </w:r>
    </w:p>
    <w:p>
      <w:pPr>
        <w:pStyle w:val="Normal"/>
        <w:numPr>
          <w:ilvl w:val="2"/>
          <w:numId w:val="13"/>
        </w:numPr>
        <w:ind w:hanging="360" w:left="567"/>
        <w:rPr>
          <w:sz w:val="22"/>
          <w:szCs w:val="22"/>
        </w:rPr>
      </w:pPr>
      <w:r>
        <w:rPr>
          <w:color w:val="000000"/>
          <w:sz w:val="22"/>
          <w:szCs w:val="22"/>
        </w:rPr>
        <w:t>Les salariés dont la durée du temps de travail ne peut être prédéterminée et qui disposent d'une réelle autonomie dans l'organisation de leur emploi du temps pour l'exercice des responsabilités qui leur sont confiées.</w:t>
      </w:r>
    </w:p>
    <w:p>
      <w:pPr>
        <w:pStyle w:val="ListParagraph"/>
        <w:rPr>
          <w:color w:val="000000"/>
          <w:sz w:val="22"/>
          <w:szCs w:val="22"/>
        </w:rPr>
      </w:pPr>
      <w:r>
        <w:rPr>
          <w:color w:val="000000"/>
          <w:sz w:val="22"/>
          <w:szCs w:val="22"/>
        </w:rPr>
      </w:r>
    </w:p>
    <w:p>
      <w:pPr>
        <w:pStyle w:val="Normal"/>
        <w:rPr>
          <w:sz w:val="22"/>
          <w:szCs w:val="22"/>
        </w:rPr>
      </w:pPr>
      <w:r>
        <w:rPr>
          <w:color w:val="000000"/>
          <w:sz w:val="22"/>
          <w:szCs w:val="22"/>
        </w:rPr>
        <w:t>Dans le cadre du présent accord, les parties constatent qu’à la date de signature des présentes, les fonctions auxquels pourrait correspondre ce mode de décompte du temps de travail dès lors qu’elles se caractérisent effectivement par une réelle autonomie dans l’organisation de leur emploi du temps, sont notamment celles de :</w:t>
      </w:r>
    </w:p>
    <w:p>
      <w:pPr>
        <w:pStyle w:val="Normal"/>
        <w:numPr>
          <w:ilvl w:val="1"/>
          <w:numId w:val="13"/>
        </w:numPr>
        <w:rPr>
          <w:sz w:val="22"/>
          <w:szCs w:val="22"/>
        </w:rPr>
      </w:pPr>
      <w:r>
        <w:rPr>
          <w:color w:val="000000"/>
          <w:sz w:val="22"/>
          <w:szCs w:val="22"/>
        </w:rPr>
        <w:t>Cadres des fonctions support</w:t>
      </w:r>
    </w:p>
    <w:p>
      <w:pPr>
        <w:pStyle w:val="Normal"/>
        <w:numPr>
          <w:ilvl w:val="1"/>
          <w:numId w:val="13"/>
        </w:numPr>
        <w:rPr>
          <w:sz w:val="22"/>
          <w:szCs w:val="22"/>
        </w:rPr>
      </w:pPr>
      <w:r>
        <w:rPr>
          <w:color w:val="000000"/>
          <w:sz w:val="22"/>
          <w:szCs w:val="22"/>
        </w:rPr>
        <w:t xml:space="preserve">Juristes </w:t>
      </w:r>
    </w:p>
    <w:p>
      <w:pPr>
        <w:pStyle w:val="Normal"/>
        <w:rPr>
          <w:sz w:val="22"/>
          <w:szCs w:val="22"/>
        </w:rPr>
      </w:pPr>
      <w:r>
        <w:rPr>
          <w:sz w:val="22"/>
          <w:szCs w:val="22"/>
        </w:rPr>
      </w:r>
    </w:p>
    <w:p>
      <w:pPr>
        <w:pStyle w:val="Normal"/>
        <w:rPr>
          <w:sz w:val="22"/>
          <w:szCs w:val="22"/>
        </w:rPr>
      </w:pPr>
      <w:r>
        <w:rPr>
          <w:sz w:val="22"/>
          <w:szCs w:val="22"/>
        </w:rPr>
        <w:t>La liste indicative ci-dessus pourra être étendue à d’autres salariés, dès lors qu’ils rempliront les conditions d’autonomie rappelées ci-dessus à l’article 5, et ce sans qu’il soit nécessaire de conclure un avenant au présent accord.</w:t>
      </w:r>
    </w:p>
    <w:p>
      <w:pPr>
        <w:pStyle w:val="Normal"/>
        <w:rPr>
          <w:sz w:val="22"/>
          <w:szCs w:val="22"/>
        </w:rPr>
      </w:pPr>
      <w:r>
        <w:rPr>
          <w:sz w:val="22"/>
          <w:szCs w:val="22"/>
        </w:rPr>
      </w:r>
    </w:p>
    <w:p>
      <w:pPr>
        <w:pStyle w:val="Normal"/>
        <w:rPr>
          <w:sz w:val="22"/>
          <w:szCs w:val="22"/>
        </w:rPr>
      </w:pPr>
      <w:r>
        <w:rPr>
          <w:sz w:val="22"/>
          <w:szCs w:val="22"/>
        </w:rPr>
        <w:t xml:space="preserve">Les salariés visés ci-dessus employés selon un contrat de travail à durée déterminée pourront bénéficier d’une convention de forfait en jours dès lors qu’un accord sur ce point interviendrait avec le Cabinet. </w:t>
      </w:r>
    </w:p>
    <w:p>
      <w:pPr>
        <w:pStyle w:val="Normal"/>
        <w:rPr>
          <w:sz w:val="22"/>
          <w:szCs w:val="22"/>
        </w:rPr>
      </w:pPr>
      <w:r>
        <w:rPr>
          <w:sz w:val="22"/>
          <w:szCs w:val="22"/>
        </w:rPr>
      </w:r>
    </w:p>
    <w:p>
      <w:pPr>
        <w:pStyle w:val="Normal"/>
        <w:rPr>
          <w:sz w:val="22"/>
          <w:szCs w:val="22"/>
        </w:rPr>
      </w:pPr>
      <w:r>
        <w:rPr>
          <w:sz w:val="22"/>
          <w:szCs w:val="22"/>
        </w:rPr>
        <w:t xml:space="preserve">Les dispositions de l’article 10.1 ci-après </w:t>
      </w:r>
      <w:r>
        <w:rPr>
          <w:color w:val="000000"/>
          <w:sz w:val="22"/>
          <w:szCs w:val="22"/>
        </w:rPr>
        <w:t xml:space="preserve">s’appliqueront aux salariés en CDD n’étant pas présents sur l’intégralité de la période de référence. </w:t>
      </w:r>
    </w:p>
    <w:p>
      <w:pPr>
        <w:pStyle w:val="Normal"/>
        <w:rPr>
          <w:sz w:val="22"/>
          <w:szCs w:val="22"/>
        </w:rPr>
      </w:pPr>
      <w:r>
        <w:rPr>
          <w:sz w:val="22"/>
          <w:szCs w:val="22"/>
        </w:rPr>
      </w:r>
    </w:p>
    <w:p>
      <w:pPr>
        <w:pStyle w:val="Normal"/>
        <w:rPr>
          <w:sz w:val="22"/>
          <w:szCs w:val="22"/>
        </w:rPr>
      </w:pPr>
      <w:r>
        <w:rPr>
          <w:sz w:val="22"/>
          <w:szCs w:val="22"/>
        </w:rPr>
      </w:r>
    </w:p>
    <w:p>
      <w:pPr>
        <w:pStyle w:val="Heading1"/>
        <w:numPr>
          <w:ilvl w:val="0"/>
          <w:numId w:val="10"/>
        </w:numPr>
        <w:rPr>
          <w:color w:val="000000"/>
        </w:rPr>
      </w:pPr>
      <w:r>
        <w:rPr>
          <w:color w:val="000000"/>
          <w:sz w:val="22"/>
          <w:szCs w:val="22"/>
        </w:rPr>
        <w:t xml:space="preserve"> </w:t>
      </w:r>
      <w:bookmarkStart w:id="18" w:name="_Toc189472854"/>
      <w:r>
        <w:rPr>
          <w:color w:val="000000"/>
          <w:sz w:val="22"/>
          <w:szCs w:val="22"/>
        </w:rPr>
        <w:t>durée du travail exprimée en jours – période de référence</w:t>
      </w:r>
      <w:bookmarkEnd w:id="18"/>
    </w:p>
    <w:p>
      <w:pPr>
        <w:pStyle w:val="Normal"/>
        <w:rPr>
          <w:sz w:val="22"/>
          <w:szCs w:val="22"/>
        </w:rPr>
      </w:pPr>
      <w:r>
        <w:rPr>
          <w:sz w:val="22"/>
          <w:szCs w:val="22"/>
        </w:rPr>
      </w:r>
    </w:p>
    <w:p>
      <w:pPr>
        <w:pStyle w:val="Normal"/>
        <w:rPr>
          <w:sz w:val="22"/>
          <w:szCs w:val="22"/>
        </w:rPr>
      </w:pPr>
      <w:r>
        <w:rPr>
          <w:color w:val="000000"/>
          <w:sz w:val="22"/>
          <w:szCs w:val="22"/>
        </w:rPr>
        <w:t>Le nombre de jours compris dans le forfait annuel est fixé à 218 jours, journée de solidarité incluse, pour une année complète de travail</w:t>
      </w:r>
      <w:r>
        <w:rPr>
          <w:b/>
          <w:i/>
          <w:color w:val="000000"/>
          <w:sz w:val="22"/>
          <w:szCs w:val="22"/>
        </w:rPr>
        <w:t>.</w:t>
      </w:r>
    </w:p>
    <w:p>
      <w:pPr>
        <w:pStyle w:val="Normal"/>
        <w:rPr>
          <w:rFonts w:cs="Tahoma"/>
          <w:color w:val="000000"/>
          <w:sz w:val="22"/>
          <w:szCs w:val="22"/>
        </w:rPr>
      </w:pPr>
      <w:r>
        <w:rPr>
          <w:rFonts w:cs="Tahoma"/>
          <w:color w:val="000000"/>
          <w:sz w:val="22"/>
          <w:szCs w:val="22"/>
        </w:rPr>
      </w:r>
    </w:p>
    <w:p>
      <w:pPr>
        <w:pStyle w:val="Normal"/>
        <w:rPr>
          <w:sz w:val="22"/>
          <w:szCs w:val="22"/>
        </w:rPr>
      </w:pPr>
      <w:r>
        <w:rPr>
          <w:rFonts w:cs="Tahoma"/>
          <w:color w:val="000000"/>
          <w:sz w:val="22"/>
          <w:szCs w:val="22"/>
        </w:rPr>
        <w:t>La durée du travail étant décomptée en jours sur l’année, le salarié en forfait jours n'est concerné ni par la durée légale hebdomadaire du travail ni par les dispositions relatives aux heures supplémentaires et aux durées maximales journalière et hebdomadaire du travail.</w:t>
      </w:r>
    </w:p>
    <w:p>
      <w:pPr>
        <w:pStyle w:val="Normal"/>
        <w:rPr>
          <w:color w:val="000000"/>
          <w:sz w:val="22"/>
          <w:szCs w:val="22"/>
        </w:rPr>
      </w:pPr>
      <w:r>
        <w:rPr>
          <w:color w:val="000000"/>
          <w:sz w:val="22"/>
          <w:szCs w:val="22"/>
        </w:rPr>
      </w:r>
    </w:p>
    <w:p>
      <w:pPr>
        <w:pStyle w:val="Normal"/>
        <w:rPr>
          <w:sz w:val="22"/>
          <w:szCs w:val="22"/>
        </w:rPr>
      </w:pPr>
      <w:r>
        <w:rPr>
          <w:color w:val="000000"/>
          <w:sz w:val="22"/>
          <w:szCs w:val="22"/>
        </w:rPr>
        <w:t>La période de référence du forfait est l’année civile.</w:t>
      </w:r>
    </w:p>
    <w:p>
      <w:pPr>
        <w:pStyle w:val="Normal"/>
        <w:rPr>
          <w:sz w:val="22"/>
          <w:szCs w:val="22"/>
          <w:lang w:bidi="or-IN"/>
        </w:rPr>
      </w:pPr>
      <w:r>
        <w:rPr>
          <w:sz w:val="22"/>
          <w:szCs w:val="22"/>
          <w:lang w:bidi="or-IN"/>
        </w:rPr>
      </w:r>
    </w:p>
    <w:p>
      <w:pPr>
        <w:pStyle w:val="Normal"/>
        <w:rPr>
          <w:sz w:val="22"/>
          <w:szCs w:val="22"/>
        </w:rPr>
      </w:pPr>
      <w:r>
        <w:rPr>
          <w:color w:val="000000"/>
          <w:sz w:val="22"/>
          <w:szCs w:val="22"/>
        </w:rPr>
        <w:t>Le nombre de jours de repos supplémentaires au titre du forfait (désignés « JRS ») varie normalement d’une année sur l’autre en fonction du nombre de jours fériés qui se confondent avec des jours normalement travaillés. Il en va notamment ainsi des jours de congés supplémentaires pour ancienneté.</w:t>
      </w:r>
    </w:p>
    <w:p>
      <w:pPr>
        <w:pStyle w:val="Normal"/>
        <w:rPr>
          <w:sz w:val="22"/>
          <w:szCs w:val="22"/>
        </w:rPr>
      </w:pPr>
      <w:r>
        <w:rPr>
          <w:color w:val="000000"/>
          <w:sz w:val="22"/>
          <w:szCs w:val="22"/>
        </w:rPr>
        <w:t xml:space="preserve"> </w:t>
      </w:r>
    </w:p>
    <w:p>
      <w:pPr>
        <w:pStyle w:val="Normal"/>
        <w:rPr>
          <w:sz w:val="22"/>
          <w:szCs w:val="22"/>
        </w:rPr>
      </w:pPr>
      <w:r>
        <w:rPr>
          <w:color w:val="000000"/>
          <w:sz w:val="22"/>
          <w:szCs w:val="22"/>
        </w:rPr>
        <w:t>Les jours de congés supplémentaires prévus éventuellement par une convention ou un accord collectif seront déduits du nombre de jours travaillés fixé par la convention de forfait et ne pourront pas diminuer le nombre de jours de JRS.</w:t>
      </w:r>
    </w:p>
    <w:p>
      <w:pPr>
        <w:pStyle w:val="Normal"/>
        <w:rPr>
          <w:rFonts w:ascii="Calibri" w:cs="Calibri" w:hAnsi="Calibri"/>
          <w:color w:val="000000"/>
          <w:sz w:val="22"/>
          <w:szCs w:val="22"/>
        </w:rPr>
      </w:pPr>
      <w:r>
        <w:rPr>
          <w:rFonts w:ascii="Calibri" w:cs="Calibri" w:hAnsi="Calibri"/>
          <w:color w:val="000000"/>
          <w:sz w:val="22"/>
          <w:szCs w:val="22"/>
        </w:rPr>
      </w:r>
    </w:p>
    <w:p>
      <w:pPr>
        <w:pStyle w:val="Normal"/>
        <w:rPr>
          <w:sz w:val="22"/>
          <w:szCs w:val="22"/>
        </w:rPr>
      </w:pPr>
      <w:r>
        <w:rPr>
          <w:color w:val="000000"/>
          <w:sz w:val="22"/>
          <w:szCs w:val="22"/>
        </w:rPr>
        <w:t>Les jours JRS seront par principe acquis dès le début de la période de référence. Toutefois, leur nombre sera recalculé en fonction des évènements (absences, rupture du contrat, …) intervenant au cours de la période de référence.</w:t>
      </w:r>
    </w:p>
    <w:p>
      <w:pPr>
        <w:pStyle w:val="Normal"/>
        <w:rPr>
          <w:color w:val="000000"/>
          <w:sz w:val="22"/>
          <w:szCs w:val="22"/>
        </w:rPr>
      </w:pPr>
      <w:r>
        <w:rPr>
          <w:color w:val="000000"/>
          <w:sz w:val="22"/>
          <w:szCs w:val="22"/>
        </w:rPr>
      </w:r>
    </w:p>
    <w:p>
      <w:pPr>
        <w:pStyle w:val="Normal"/>
        <w:rPr>
          <w:sz w:val="22"/>
          <w:szCs w:val="22"/>
        </w:rPr>
      </w:pPr>
      <w:r>
        <w:rPr>
          <w:sz w:val="22"/>
          <w:szCs w:val="22"/>
        </w:rPr>
        <w:t xml:space="preserve">Pour les salariés ne bénéficiant pas d’un congé annuel complet, le nombre de jours travaillés au titre du forfait annuel sera augmenté à due proportion des jours de congés auxquels le salarié ne peut pas prétendre. </w:t>
      </w:r>
    </w:p>
    <w:p>
      <w:pPr>
        <w:pStyle w:val="Normal"/>
        <w:rPr>
          <w:color w:val="000000"/>
          <w:sz w:val="22"/>
          <w:szCs w:val="22"/>
        </w:rPr>
      </w:pPr>
      <w:r>
        <w:rPr>
          <w:color w:val="000000"/>
          <w:sz w:val="22"/>
          <w:szCs w:val="22"/>
        </w:rPr>
      </w:r>
    </w:p>
    <w:p>
      <w:pPr>
        <w:pStyle w:val="Normal"/>
        <w:shd w:color="auto" w:fill="FFFFFF" w:val="clear"/>
        <w:tabs>
          <w:tab w:pos="708" w:val="clear"/>
          <w:tab w:leader="none" w:pos="-1099" w:val="left"/>
          <w:tab w:leader="none" w:pos="-720" w:val="left"/>
          <w:tab w:leader="none" w:pos="0" w:val="left"/>
          <w:tab w:leader="none" w:pos="204" w:val="left"/>
          <w:tab w:leader="none" w:pos="430" w:val="left"/>
          <w:tab w:leader="none" w:pos="940" w:val="left"/>
          <w:tab w:leader="none" w:pos="2880" w:val="left"/>
          <w:tab w:leader="none" w:pos="3600" w:val="left"/>
          <w:tab w:leader="none" w:pos="4320" w:val="left"/>
          <w:tab w:leader="none" w:pos="5040" w:val="left"/>
          <w:tab w:leader="none" w:pos="5760" w:val="left"/>
          <w:tab w:leader="none" w:pos="6480" w:val="left"/>
          <w:tab w:leader="none" w:pos="7200" w:val="left"/>
          <w:tab w:leader="none" w:pos="7920" w:val="left"/>
          <w:tab w:leader="none" w:pos="8640" w:val="left"/>
          <w:tab w:leader="none" w:pos="9360" w:val="left"/>
          <w:tab w:leader="none" w:pos="10080" w:val="left"/>
          <w:tab w:leader="none" w:pos="10800" w:val="left"/>
          <w:tab w:leader="none" w:pos="11520" w:val="left"/>
        </w:tabs>
        <w:suppressAutoHyphens w:val="true"/>
        <w:rPr>
          <w:sz w:val="22"/>
          <w:szCs w:val="22"/>
        </w:rPr>
      </w:pPr>
      <w:r>
        <w:rPr>
          <w:rFonts w:cs="Tahoma"/>
          <w:color w:val="000000"/>
          <w:sz w:val="22"/>
          <w:szCs w:val="22"/>
        </w:rPr>
        <w:t>Les samedis et jours fériés pourront être considérés comme jours travaillés uniquement s’ils répondent aux besoins de fonctionnement du Cabinet, sans qu’une semaine civile puisse donner lieu à plus de six jours de travail.</w:t>
      </w:r>
    </w:p>
    <w:p>
      <w:pPr>
        <w:pStyle w:val="Normal"/>
        <w:rPr>
          <w:sz w:val="22"/>
          <w:szCs w:val="22"/>
        </w:rPr>
      </w:pPr>
      <w:r>
        <w:rPr>
          <w:sz w:val="22"/>
          <w:szCs w:val="22"/>
        </w:rPr>
      </w:r>
    </w:p>
    <w:p>
      <w:pPr>
        <w:pStyle w:val="Normal"/>
        <w:rPr>
          <w:sz w:val="22"/>
          <w:szCs w:val="22"/>
        </w:rPr>
      </w:pPr>
      <w:r>
        <w:rPr>
          <w:sz w:val="22"/>
          <w:szCs w:val="22"/>
        </w:rPr>
      </w:r>
    </w:p>
    <w:p>
      <w:pPr>
        <w:pStyle w:val="Heading1"/>
        <w:numPr>
          <w:ilvl w:val="0"/>
          <w:numId w:val="10"/>
        </w:numPr>
        <w:rPr>
          <w:color w:val="000000"/>
        </w:rPr>
      </w:pPr>
      <w:bookmarkStart w:id="19" w:name="_Toc189472855"/>
      <w:r>
        <w:rPr>
          <w:color w:val="000000"/>
          <w:sz w:val="22"/>
          <w:szCs w:val="22"/>
        </w:rPr>
        <w:t>modalités de prise des jrs</w:t>
      </w:r>
      <w:bookmarkEnd w:id="19"/>
    </w:p>
    <w:p>
      <w:pPr>
        <w:pStyle w:val="Normal"/>
        <w:rPr>
          <w:sz w:val="22"/>
          <w:szCs w:val="22"/>
        </w:rPr>
      </w:pPr>
      <w:r>
        <w:rPr>
          <w:sz w:val="22"/>
          <w:szCs w:val="22"/>
        </w:rPr>
      </w:r>
    </w:p>
    <w:p>
      <w:pPr>
        <w:pStyle w:val="Normal"/>
        <w:rPr>
          <w:sz w:val="22"/>
          <w:szCs w:val="22"/>
        </w:rPr>
      </w:pPr>
      <w:r>
        <w:rPr>
          <w:color w:val="000000"/>
          <w:sz w:val="22"/>
          <w:szCs w:val="22"/>
        </w:rPr>
        <w:t>La période annuelle de référence pour l’acquisition et la prise des jours de repos liés au forfait est l’année civile.</w:t>
      </w:r>
    </w:p>
    <w:p>
      <w:pPr>
        <w:pStyle w:val="Normal"/>
        <w:rPr>
          <w:color w:val="000000"/>
          <w:sz w:val="22"/>
          <w:szCs w:val="22"/>
        </w:rPr>
      </w:pPr>
      <w:r>
        <w:rPr>
          <w:color w:val="000000"/>
          <w:sz w:val="22"/>
          <w:szCs w:val="22"/>
        </w:rPr>
      </w:r>
    </w:p>
    <w:p>
      <w:pPr>
        <w:pStyle w:val="Normal"/>
        <w:rPr>
          <w:sz w:val="22"/>
          <w:szCs w:val="22"/>
        </w:rPr>
      </w:pPr>
      <w:r>
        <w:rPr>
          <w:color w:val="000000"/>
          <w:sz w:val="22"/>
          <w:szCs w:val="22"/>
        </w:rPr>
        <w:t>Afin d’assurer une bonne répartition des temps de travail et des temps de repos sur l’année, les JRS doivent être pris au fur et à mesure au cours de l’année de référence dans le respect des impératifs d’organisation et du bon fonctionnement du Cabinet.</w:t>
      </w:r>
    </w:p>
    <w:p>
      <w:pPr>
        <w:pStyle w:val="Normal"/>
        <w:rPr>
          <w:rFonts w:cs="Tahoma"/>
          <w:color w:val="000000"/>
          <w:sz w:val="22"/>
          <w:szCs w:val="22"/>
        </w:rPr>
      </w:pPr>
      <w:r>
        <w:rPr>
          <w:rFonts w:cs="Tahoma"/>
          <w:color w:val="000000"/>
          <w:sz w:val="22"/>
          <w:szCs w:val="22"/>
        </w:rPr>
      </w:r>
    </w:p>
    <w:p>
      <w:pPr>
        <w:pStyle w:val="Normal"/>
        <w:shd w:color="auto" w:fill="FFFFFF" w:val="clear"/>
        <w:tabs>
          <w:tab w:pos="708" w:val="clear"/>
          <w:tab w:leader="none" w:pos="-1099" w:val="left"/>
          <w:tab w:leader="none" w:pos="-720" w:val="left"/>
          <w:tab w:leader="none" w:pos="0" w:val="left"/>
          <w:tab w:leader="none" w:pos="204" w:val="left"/>
          <w:tab w:leader="none" w:pos="430" w:val="left"/>
          <w:tab w:leader="none" w:pos="940" w:val="left"/>
          <w:tab w:leader="none" w:pos="2880" w:val="left"/>
          <w:tab w:leader="none" w:pos="3600" w:val="left"/>
          <w:tab w:leader="none" w:pos="4320" w:val="left"/>
          <w:tab w:leader="none" w:pos="5040" w:val="left"/>
          <w:tab w:leader="none" w:pos="5760" w:val="left"/>
          <w:tab w:leader="none" w:pos="6480" w:val="left"/>
          <w:tab w:leader="none" w:pos="7200" w:val="left"/>
          <w:tab w:leader="none" w:pos="7920" w:val="left"/>
          <w:tab w:leader="none" w:pos="8640" w:val="left"/>
          <w:tab w:leader="none" w:pos="9360" w:val="left"/>
          <w:tab w:leader="none" w:pos="10080" w:val="left"/>
          <w:tab w:leader="none" w:pos="10800" w:val="left"/>
          <w:tab w:leader="none" w:pos="11520" w:val="left"/>
        </w:tabs>
        <w:suppressAutoHyphens w:val="true"/>
        <w:rPr>
          <w:sz w:val="22"/>
          <w:szCs w:val="22"/>
        </w:rPr>
      </w:pPr>
      <w:r>
        <w:rPr>
          <w:rFonts w:cs="Tahoma"/>
          <w:color w:val="000000"/>
          <w:sz w:val="22"/>
          <w:szCs w:val="22"/>
        </w:rPr>
        <w:t>Le décompte prévu à l’article 12 du présent accord doit permettre d’anticiper la prise des jours (ou demi-journées) de repos en fonction du nombre de jours travaillés depuis le début de la période de référence, des prévisions d’activité, des congés payés ou des absences prévisibles, dans le but d’éviter les risques de dépassement du nombre de jours travaillés, ou la prise des jours de repos dans les toutes dernières semaines de la période de référence.</w:t>
      </w:r>
    </w:p>
    <w:p>
      <w:pPr>
        <w:pStyle w:val="Normal"/>
        <w:widowControl w:val="false"/>
        <w:numPr>
          <w:ilvl w:val="0"/>
          <w:numId w:val="16"/>
        </w:numPr>
        <w:rPr>
          <w:sz w:val="22"/>
          <w:szCs w:val="22"/>
        </w:rPr>
      </w:pPr>
      <w:r>
        <w:rPr>
          <w:color w:val="000000"/>
          <w:sz w:val="22"/>
          <w:szCs w:val="22"/>
        </w:rPr>
        <w:t xml:space="preserve">Prise par journée ou demi-journée </w:t>
      </w:r>
    </w:p>
    <w:p>
      <w:pPr>
        <w:pStyle w:val="Normal"/>
        <w:ind w:left="720"/>
        <w:rPr>
          <w:color w:val="000000"/>
          <w:sz w:val="22"/>
          <w:szCs w:val="22"/>
        </w:rPr>
      </w:pPr>
      <w:r>
        <w:rPr>
          <w:color w:val="000000"/>
          <w:sz w:val="22"/>
          <w:szCs w:val="22"/>
        </w:rPr>
      </w:r>
    </w:p>
    <w:p>
      <w:pPr>
        <w:pStyle w:val="Normal"/>
        <w:rPr>
          <w:sz w:val="22"/>
          <w:szCs w:val="22"/>
        </w:rPr>
      </w:pPr>
      <w:r>
        <w:rPr>
          <w:color w:val="000000"/>
          <w:sz w:val="22"/>
          <w:szCs w:val="22"/>
        </w:rPr>
        <w:t>Les JRS sont pris par journées entières ou par demi-journées, consécutives ou non.</w:t>
      </w:r>
    </w:p>
    <w:p>
      <w:pPr>
        <w:pStyle w:val="Normal"/>
        <w:rPr>
          <w:color w:val="000000"/>
          <w:sz w:val="22"/>
          <w:szCs w:val="22"/>
        </w:rPr>
      </w:pPr>
      <w:r>
        <w:rPr>
          <w:color w:val="000000"/>
          <w:sz w:val="22"/>
          <w:szCs w:val="22"/>
        </w:rPr>
      </w:r>
    </w:p>
    <w:p>
      <w:pPr>
        <w:pStyle w:val="Normal"/>
        <w:rPr>
          <w:sz w:val="22"/>
          <w:szCs w:val="22"/>
        </w:rPr>
      </w:pPr>
      <w:r>
        <w:rPr>
          <w:color w:val="000000"/>
          <w:sz w:val="22"/>
          <w:szCs w:val="22"/>
        </w:rPr>
        <w:t>Une demi-journée de JRS s’entend soit :</w:t>
      </w:r>
    </w:p>
    <w:p>
      <w:pPr>
        <w:pStyle w:val="Normal"/>
        <w:widowControl w:val="false"/>
        <w:numPr>
          <w:ilvl w:val="1"/>
          <w:numId w:val="13"/>
        </w:numPr>
        <w:rPr>
          <w:sz w:val="22"/>
          <w:szCs w:val="22"/>
        </w:rPr>
      </w:pPr>
      <w:r>
        <w:rPr>
          <w:color w:val="000000"/>
          <w:sz w:val="22"/>
          <w:szCs w:val="22"/>
        </w:rPr>
        <w:t>D’une période se terminant avant la pause déjeuner,</w:t>
      </w:r>
    </w:p>
    <w:p>
      <w:pPr>
        <w:pStyle w:val="Normal"/>
        <w:widowControl w:val="false"/>
        <w:numPr>
          <w:ilvl w:val="1"/>
          <w:numId w:val="13"/>
        </w:numPr>
        <w:rPr>
          <w:sz w:val="22"/>
          <w:szCs w:val="22"/>
        </w:rPr>
      </w:pPr>
      <w:r>
        <w:rPr>
          <w:color w:val="000000"/>
          <w:sz w:val="22"/>
          <w:szCs w:val="22"/>
        </w:rPr>
        <w:t>D’une période commençant après la pause de déjeuner.</w:t>
      </w:r>
    </w:p>
    <w:p>
      <w:pPr>
        <w:pStyle w:val="Normal"/>
        <w:rPr>
          <w:color w:val="000000"/>
          <w:sz w:val="22"/>
          <w:szCs w:val="22"/>
        </w:rPr>
      </w:pPr>
      <w:r>
        <w:rPr>
          <w:color w:val="000000"/>
          <w:sz w:val="22"/>
          <w:szCs w:val="22"/>
        </w:rPr>
      </w:r>
    </w:p>
    <w:p>
      <w:pPr>
        <w:pStyle w:val="Normal"/>
        <w:widowControl w:val="false"/>
        <w:numPr>
          <w:ilvl w:val="0"/>
          <w:numId w:val="17"/>
        </w:numPr>
        <w:rPr>
          <w:sz w:val="22"/>
          <w:szCs w:val="22"/>
        </w:rPr>
      </w:pPr>
      <w:r>
        <w:rPr>
          <w:color w:val="000000"/>
          <w:sz w:val="22"/>
          <w:szCs w:val="22"/>
        </w:rPr>
        <w:t>Fixation des dates</w:t>
      </w:r>
    </w:p>
    <w:p>
      <w:pPr>
        <w:pStyle w:val="Normal"/>
        <w:ind w:left="720"/>
        <w:rPr>
          <w:color w:val="000000"/>
          <w:sz w:val="22"/>
          <w:szCs w:val="22"/>
        </w:rPr>
      </w:pPr>
      <w:r>
        <w:rPr>
          <w:color w:val="000000"/>
          <w:sz w:val="22"/>
          <w:szCs w:val="22"/>
        </w:rPr>
      </w:r>
    </w:p>
    <w:p>
      <w:pPr>
        <w:pStyle w:val="Normal"/>
        <w:rPr>
          <w:sz w:val="22"/>
          <w:szCs w:val="22"/>
        </w:rPr>
      </w:pPr>
      <w:bookmarkStart w:id="20" w:name="_Hlk104388107"/>
      <w:r>
        <w:rPr>
          <w:color w:val="000000"/>
          <w:sz w:val="22"/>
          <w:szCs w:val="22"/>
        </w:rPr>
        <w:t>Les dates de prise des JRS sont fixées à l'initiative des salariés, après validation par le supérieur hiérarchique.</w:t>
      </w:r>
      <w:bookmarkEnd w:id="20"/>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Il est précisé que les JRS doivent être posés dans un délai raisonnable préalablement à leur prise afin de ne pas désorganiser l'activité des services. </w:t>
      </w:r>
    </w:p>
    <w:p>
      <w:pPr>
        <w:pStyle w:val="Normal"/>
        <w:rPr>
          <w:color w:val="000000"/>
          <w:sz w:val="22"/>
          <w:szCs w:val="22"/>
        </w:rPr>
      </w:pPr>
      <w:r>
        <w:rPr>
          <w:color w:val="000000"/>
          <w:sz w:val="22"/>
          <w:szCs w:val="22"/>
        </w:rPr>
      </w:r>
    </w:p>
    <w:p>
      <w:pPr>
        <w:pStyle w:val="Normal"/>
        <w:rPr>
          <w:sz w:val="22"/>
          <w:szCs w:val="22"/>
        </w:rPr>
      </w:pPr>
      <w:r>
        <w:rPr>
          <w:color w:val="000000"/>
          <w:sz w:val="22"/>
          <w:szCs w:val="22"/>
        </w:rPr>
        <w:t>Si les nécessités de fonctionnement du Cabinet imposent à l’employeur de modifier les dates convenues, ce changement sera notifié au salarié concerné dans un délai de quatre (4) jours ouvrables au moins avant la date à laquelle cette modification doit intervenir, sauf contraintes exceptionnelles justifiées par la situation du Cabinet.</w:t>
      </w:r>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En tout état de cause, les JRS devront être impérativement pris et soldés au cours de la période de référence annuelle.  </w:t>
      </w:r>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L’employeur ou le supérieur hiérarchique pourra également imposer la prise d’un jour de JRS s’il constate, notamment au regard du </w:t>
      </w:r>
      <w:r>
        <w:rPr>
          <w:rFonts w:cs="Tahoma"/>
          <w:color w:val="000000"/>
          <w:sz w:val="22"/>
          <w:szCs w:val="22"/>
        </w:rPr>
        <w:t>décompte prévu à l’article 12, que le salarié n’a pas pris suffisamment de jours de repos liés au forfait au titre de la période écoulée.</w:t>
      </w:r>
    </w:p>
    <w:p>
      <w:pPr>
        <w:pStyle w:val="Normal"/>
        <w:rPr>
          <w:rFonts w:cs="Tahoma"/>
          <w:color w:val="000000"/>
        </w:rPr>
      </w:pPr>
      <w:r>
        <w:rPr>
          <w:rFonts w:cs="Tahoma"/>
          <w:color w:val="000000"/>
        </w:rPr>
      </w:r>
    </w:p>
    <w:p>
      <w:pPr>
        <w:pStyle w:val="Normal"/>
        <w:rPr>
          <w:sz w:val="22"/>
          <w:szCs w:val="22"/>
        </w:rPr>
      </w:pPr>
      <w:r>
        <w:rPr>
          <w:rFonts w:cs="Tahoma"/>
          <w:color w:val="000000"/>
          <w:sz w:val="22"/>
          <w:szCs w:val="22"/>
        </w:rPr>
        <w:t xml:space="preserve">Dans ce cas, l’employeur devra respecter un délai de prévenance de </w:t>
      </w:r>
      <w:r>
        <w:rPr>
          <w:color w:val="000000"/>
          <w:sz w:val="22"/>
          <w:szCs w:val="22"/>
        </w:rPr>
        <w:t>quatre (4) jours ouvrables avant la date de départ demandée.</w:t>
      </w:r>
    </w:p>
    <w:p>
      <w:pPr>
        <w:pStyle w:val="Normal"/>
        <w:rPr>
          <w:sz w:val="22"/>
          <w:szCs w:val="22"/>
        </w:rPr>
      </w:pPr>
      <w:r>
        <w:rPr>
          <w:sz w:val="22"/>
          <w:szCs w:val="22"/>
        </w:rPr>
      </w:r>
    </w:p>
    <w:p>
      <w:pPr>
        <w:pStyle w:val="Normal"/>
        <w:rPr>
          <w:sz w:val="22"/>
          <w:szCs w:val="22"/>
        </w:rPr>
      </w:pPr>
      <w:r>
        <w:rPr>
          <w:sz w:val="22"/>
          <w:szCs w:val="22"/>
        </w:rPr>
      </w:r>
    </w:p>
    <w:p>
      <w:pPr>
        <w:pStyle w:val="Heading1"/>
        <w:numPr>
          <w:ilvl w:val="0"/>
          <w:numId w:val="10"/>
        </w:numPr>
        <w:rPr>
          <w:color w:val="000000"/>
        </w:rPr>
      </w:pPr>
      <w:bookmarkStart w:id="21" w:name="_Toc189472856"/>
      <w:r>
        <w:rPr>
          <w:color w:val="000000"/>
          <w:sz w:val="22"/>
          <w:szCs w:val="22"/>
        </w:rPr>
        <w:t>forfait en jours réduits</w:t>
      </w:r>
      <w:bookmarkEnd w:id="21"/>
      <w:r>
        <w:rPr>
          <w:color w:val="000000"/>
          <w:sz w:val="22"/>
          <w:szCs w:val="22"/>
        </w:rPr>
        <w:t xml:space="preserve"> </w:t>
      </w:r>
    </w:p>
    <w:p>
      <w:pPr>
        <w:pStyle w:val="Normal"/>
        <w:rPr>
          <w:sz w:val="22"/>
          <w:szCs w:val="22"/>
        </w:rPr>
      </w:pPr>
      <w:r>
        <w:rPr>
          <w:sz w:val="22"/>
          <w:szCs w:val="22"/>
        </w:rPr>
      </w:r>
    </w:p>
    <w:p>
      <w:pPr>
        <w:pStyle w:val="Normal"/>
        <w:rPr>
          <w:sz w:val="22"/>
          <w:szCs w:val="22"/>
        </w:rPr>
      </w:pPr>
      <w:r>
        <w:rPr>
          <w:color w:val="000000"/>
          <w:sz w:val="22"/>
          <w:szCs w:val="22"/>
        </w:rPr>
        <w:t>Des conventions individuelles de forfait annuelles en jours sur des bases réduites pourront être mises en œuvre aux conditions prévues par le présent article.</w:t>
      </w:r>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L’acceptation de ces forfaits est subordonnée au fait que la demande du salarié ne porte pas atteinte au bon fonctionnement et à l’organisation du Cabinet. Le bénéfice du forfait en jours réduit ne constitue donc pas un droit pour les salariés concernés. </w:t>
      </w:r>
    </w:p>
    <w:p>
      <w:pPr>
        <w:pStyle w:val="Normal"/>
        <w:rPr>
          <w:color w:val="000000"/>
          <w:sz w:val="22"/>
          <w:szCs w:val="22"/>
        </w:rPr>
      </w:pPr>
      <w:r>
        <w:rPr>
          <w:color w:val="000000"/>
          <w:sz w:val="22"/>
          <w:szCs w:val="22"/>
        </w:rPr>
      </w:r>
    </w:p>
    <w:p>
      <w:pPr>
        <w:pStyle w:val="Normal"/>
        <w:rPr>
          <w:color w:val="000000"/>
        </w:rPr>
      </w:pPr>
      <w:r>
        <w:rPr>
          <w:color w:val="000000"/>
        </w:rPr>
        <w:t>La rémunération du salarié en forfait jours réduit est proportionnelle au nombre de jours travaillés fixé par sa convention de forfait et sa charge de travail est revue à la baisse proportionnellement.</w:t>
      </w:r>
    </w:p>
    <w:p>
      <w:pPr>
        <w:pStyle w:val="Normal"/>
        <w:rPr>
          <w:color w:val="000000"/>
        </w:rPr>
      </w:pPr>
      <w:r>
        <w:rPr>
          <w:color w:val="000000"/>
        </w:rPr>
      </w:r>
    </w:p>
    <w:p>
      <w:pPr>
        <w:pStyle w:val="Normal"/>
        <w:rPr>
          <w:color w:val="000000"/>
        </w:rPr>
      </w:pPr>
      <w:r>
        <w:rPr>
          <w:color w:val="000000"/>
        </w:rPr>
        <w:t>Le salarié pourra demander à ce que les jours non travaillés soient positionnés un jour précis de la semaine. Cette demande ne pourra être acceptée que sous réserve d’être compatible avec les contraintes de fonctionnement du Cabinet.</w:t>
      </w:r>
    </w:p>
    <w:p>
      <w:pPr>
        <w:pStyle w:val="Normal"/>
        <w:rPr>
          <w:color w:val="000000"/>
        </w:rPr>
      </w:pPr>
      <w:r>
        <w:rPr/>
      </w:r>
    </w:p>
    <w:p>
      <w:pPr>
        <w:pStyle w:val="Heading1"/>
        <w:numPr>
          <w:ilvl w:val="0"/>
          <w:numId w:val="10"/>
        </w:numPr>
        <w:rPr>
          <w:sz w:val="22"/>
          <w:szCs w:val="22"/>
        </w:rPr>
      </w:pPr>
      <w:bookmarkStart w:id="22" w:name="_Toc189472857"/>
      <w:r>
        <w:rPr>
          <w:color w:val="000000"/>
          <w:sz w:val="22"/>
          <w:szCs w:val="22"/>
        </w:rPr>
        <w:t>détermination de la rémunération forfaitaire</w:t>
      </w:r>
      <w:bookmarkEnd w:id="22"/>
    </w:p>
    <w:p>
      <w:pPr>
        <w:pStyle w:val="Normal"/>
        <w:rPr>
          <w:sz w:val="22"/>
          <w:szCs w:val="22"/>
        </w:rPr>
      </w:pPr>
      <w:r>
        <w:rPr>
          <w:sz w:val="22"/>
          <w:szCs w:val="22"/>
        </w:rPr>
      </w:r>
    </w:p>
    <w:p>
      <w:pPr>
        <w:pStyle w:val="Normal"/>
        <w:rPr>
          <w:sz w:val="22"/>
          <w:szCs w:val="22"/>
        </w:rPr>
      </w:pPr>
      <w:r>
        <w:rPr>
          <w:color w:val="000000"/>
          <w:sz w:val="22"/>
          <w:szCs w:val="22"/>
        </w:rPr>
        <w:t>Le salarié bénéficiant d’un forfait annuel en jours perçoit une rémunération annuelle brute forfaitaire en contrepartie de l’exécution de son forfait. Le salaire rémunère l’intégralité des missions confiées au salarié dans le cadre du forfait en jours, indépendamment de toute référence horaire, ainsi que les temps de déplacements.</w:t>
      </w:r>
    </w:p>
    <w:p>
      <w:pPr>
        <w:pStyle w:val="Normal"/>
        <w:rPr>
          <w:bCs/>
          <w:color w:val="000000"/>
          <w:sz w:val="22"/>
          <w:szCs w:val="22"/>
        </w:rPr>
      </w:pPr>
      <w:r>
        <w:rPr>
          <w:bCs/>
          <w:color w:val="000000"/>
          <w:sz w:val="22"/>
          <w:szCs w:val="22"/>
        </w:rPr>
      </w:r>
    </w:p>
    <w:p>
      <w:pPr>
        <w:pStyle w:val="Normal"/>
        <w:rPr>
          <w:sz w:val="22"/>
          <w:szCs w:val="22"/>
        </w:rPr>
      </w:pPr>
      <w:r>
        <w:rPr>
          <w:bCs/>
          <w:color w:val="000000"/>
          <w:sz w:val="22"/>
          <w:szCs w:val="22"/>
        </w:rPr>
        <w:t xml:space="preserve">Cette rémunération est versée mensuellement. Elle est indépendante du nombre de jours de travail effectivement accomplis durant la période de paye considérée et elle est identique d’un mois sur l’autre. </w:t>
      </w:r>
    </w:p>
    <w:p>
      <w:pPr>
        <w:pStyle w:val="Normal"/>
        <w:rPr>
          <w:bCs/>
          <w:color w:val="000000"/>
          <w:sz w:val="22"/>
          <w:szCs w:val="22"/>
        </w:rPr>
      </w:pPr>
      <w:r>
        <w:rPr>
          <w:bCs/>
          <w:color w:val="000000"/>
          <w:sz w:val="22"/>
          <w:szCs w:val="22"/>
        </w:rPr>
      </w:r>
    </w:p>
    <w:p>
      <w:pPr>
        <w:pStyle w:val="Normal"/>
        <w:rPr>
          <w:bCs/>
          <w:color w:val="000000"/>
          <w:sz w:val="22"/>
          <w:szCs w:val="22"/>
        </w:rPr>
      </w:pPr>
      <w:r>
        <w:rPr>
          <w:bCs/>
          <w:color w:val="000000"/>
          <w:sz w:val="22"/>
          <w:szCs w:val="22"/>
        </w:rPr>
      </w:r>
    </w:p>
    <w:p>
      <w:pPr>
        <w:pStyle w:val="Heading1"/>
        <w:numPr>
          <w:ilvl w:val="0"/>
          <w:numId w:val="10"/>
        </w:numPr>
        <w:rPr>
          <w:color w:val="000000"/>
        </w:rPr>
      </w:pPr>
      <w:bookmarkStart w:id="23" w:name="_Toc189472858"/>
      <w:r>
        <w:rPr>
          <w:color w:val="000000"/>
          <w:sz w:val="22"/>
          <w:szCs w:val="22"/>
        </w:rPr>
        <w:t>arrivées et départs en cours de période et absences</w:t>
      </w:r>
      <w:bookmarkEnd w:id="23"/>
      <w:r>
        <w:rPr>
          <w:color w:val="000000"/>
          <w:sz w:val="22"/>
          <w:szCs w:val="22"/>
        </w:rPr>
        <w:t xml:space="preserve"> </w:t>
      </w:r>
    </w:p>
    <w:p>
      <w:pPr>
        <w:pStyle w:val="Normal"/>
        <w:rPr>
          <w:sz w:val="22"/>
          <w:szCs w:val="22"/>
        </w:rPr>
      </w:pPr>
      <w:r>
        <w:rPr>
          <w:sz w:val="22"/>
          <w:szCs w:val="22"/>
        </w:rPr>
      </w:r>
    </w:p>
    <w:p>
      <w:pPr>
        <w:pStyle w:val="Heading2"/>
        <w:numPr>
          <w:ilvl w:val="1"/>
          <w:numId w:val="10"/>
        </w:numPr>
        <w:rPr>
          <w:sz w:val="22"/>
          <w:szCs w:val="22"/>
        </w:rPr>
      </w:pPr>
      <w:r>
        <w:rPr>
          <w:sz w:val="22"/>
          <w:szCs w:val="22"/>
        </w:rPr>
        <w:t>Arrivées et départs en cours de période</w:t>
      </w:r>
    </w:p>
    <w:p>
      <w:pPr>
        <w:pStyle w:val="Normal"/>
        <w:rPr>
          <w:sz w:val="22"/>
          <w:szCs w:val="22"/>
        </w:rPr>
      </w:pPr>
      <w:r>
        <w:rPr>
          <w:sz w:val="22"/>
          <w:szCs w:val="22"/>
        </w:rPr>
      </w:r>
    </w:p>
    <w:p>
      <w:pPr>
        <w:pStyle w:val="Normal"/>
        <w:rPr>
          <w:sz w:val="22"/>
          <w:szCs w:val="22"/>
        </w:rPr>
      </w:pPr>
      <w:r>
        <w:rPr>
          <w:bCs/>
          <w:color w:val="000000"/>
          <w:sz w:val="22"/>
          <w:szCs w:val="22"/>
        </w:rPr>
        <w:t>En cas d’arrivée ou de départ en cours de période, le nombre de jours travaillés et le nombre de JRS sont établis comme suit.</w:t>
      </w:r>
    </w:p>
    <w:p>
      <w:pPr>
        <w:pStyle w:val="Normal"/>
        <w:rPr>
          <w:bCs/>
          <w:color w:val="000000"/>
          <w:sz w:val="22"/>
          <w:szCs w:val="22"/>
        </w:rPr>
      </w:pPr>
      <w:r>
        <w:rPr>
          <w:bCs/>
          <w:color w:val="000000"/>
          <w:sz w:val="22"/>
          <w:szCs w:val="22"/>
        </w:rPr>
      </w:r>
    </w:p>
    <w:p>
      <w:pPr>
        <w:pStyle w:val="Normal"/>
        <w:rPr>
          <w:sz w:val="22"/>
          <w:szCs w:val="22"/>
        </w:rPr>
      </w:pPr>
      <w:r>
        <w:rPr>
          <w:bCs/>
          <w:color w:val="000000"/>
          <w:sz w:val="22"/>
          <w:szCs w:val="22"/>
        </w:rPr>
        <w:t xml:space="preserve">Pour les salariés embauchés ou soumis à une convention de forfait en cours de période de référence, le nombre de jours de travail et le nombre de JRS sont déterminés </w:t>
      </w:r>
      <w:r>
        <w:rPr>
          <w:bCs/>
          <w:i/>
          <w:color w:val="000000"/>
          <w:sz w:val="22"/>
          <w:szCs w:val="22"/>
        </w:rPr>
        <w:t>prorata temporis</w:t>
      </w:r>
      <w:r>
        <w:rPr>
          <w:bCs/>
          <w:color w:val="000000"/>
          <w:sz w:val="22"/>
          <w:szCs w:val="22"/>
        </w:rPr>
        <w:t xml:space="preserve">, compte tenu du nombre de jours ouvrés courant de la date d’embauche ou de passage au forfait au 31 décembre. En conséquence, les salariés ne bénéficiant pas d’un droit à congés payés complet au titre de la période de référence verront leur nombre de jours travaillés augmenté du nombre des jours de congés qu’ils n’ont pas acquis.   </w:t>
      </w:r>
    </w:p>
    <w:p>
      <w:pPr>
        <w:pStyle w:val="Normal"/>
        <w:rPr>
          <w:bCs/>
          <w:color w:val="000000"/>
          <w:sz w:val="22"/>
          <w:szCs w:val="22"/>
        </w:rPr>
      </w:pPr>
      <w:r>
        <w:rPr>
          <w:bCs/>
          <w:color w:val="000000"/>
          <w:sz w:val="22"/>
          <w:szCs w:val="22"/>
        </w:rPr>
      </w:r>
    </w:p>
    <w:p>
      <w:pPr>
        <w:pStyle w:val="Normal"/>
        <w:rPr>
          <w:sz w:val="22"/>
          <w:szCs w:val="22"/>
        </w:rPr>
      </w:pPr>
      <w:r>
        <w:rPr>
          <w:bCs/>
          <w:color w:val="000000"/>
          <w:sz w:val="22"/>
          <w:szCs w:val="22"/>
        </w:rPr>
        <w:t xml:space="preserve">En cas de rupture du contrat de travail en cours de période de référence, le nombre de jours de travail et de JRS au titre de la convention annuelle de forfait en jours est déterminé </w:t>
      </w:r>
      <w:r>
        <w:rPr>
          <w:bCs/>
          <w:i/>
          <w:color w:val="000000"/>
          <w:sz w:val="22"/>
          <w:szCs w:val="22"/>
        </w:rPr>
        <w:t>prorata temporis</w:t>
      </w:r>
      <w:r>
        <w:rPr>
          <w:bCs/>
          <w:color w:val="000000"/>
          <w:sz w:val="22"/>
          <w:szCs w:val="22"/>
        </w:rPr>
        <w:t>, dans les conditions fixées ci-dessus, compte tenu du nombre de jours ouvrés courant du 1</w:t>
      </w:r>
      <w:r>
        <w:rPr>
          <w:bCs/>
          <w:color w:val="000000"/>
          <w:sz w:val="22"/>
          <w:szCs w:val="22"/>
          <w:vertAlign w:val="superscript"/>
        </w:rPr>
        <w:t>er</w:t>
      </w:r>
      <w:r>
        <w:rPr>
          <w:bCs/>
          <w:color w:val="000000"/>
          <w:sz w:val="22"/>
          <w:szCs w:val="22"/>
        </w:rPr>
        <w:t xml:space="preserve"> janvier de la période de référence à la date de rupture du contrat de travail.  </w:t>
      </w:r>
    </w:p>
    <w:p>
      <w:pPr>
        <w:pStyle w:val="Normal"/>
        <w:tabs>
          <w:tab w:pos="708" w:val="clear"/>
          <w:tab w:leader="none" w:pos="7647" w:val="left"/>
        </w:tabs>
        <w:rPr>
          <w:bCs/>
          <w:color w:val="000000"/>
          <w:sz w:val="22"/>
          <w:szCs w:val="22"/>
        </w:rPr>
      </w:pPr>
      <w:r>
        <w:rPr>
          <w:bCs/>
          <w:color w:val="000000"/>
          <w:sz w:val="22"/>
          <w:szCs w:val="22"/>
        </w:rPr>
      </w:r>
    </w:p>
    <w:p>
      <w:pPr>
        <w:pStyle w:val="Normal"/>
        <w:rPr>
          <w:sz w:val="22"/>
          <w:szCs w:val="22"/>
        </w:rPr>
      </w:pPr>
      <w:r>
        <w:rPr>
          <w:bCs/>
          <w:color w:val="000000"/>
          <w:sz w:val="22"/>
          <w:szCs w:val="22"/>
        </w:rPr>
        <w:t>Ce nombre est arrondi s’il y lieu à l’unité supérieure.</w:t>
      </w:r>
    </w:p>
    <w:p>
      <w:pPr>
        <w:pStyle w:val="Normal"/>
        <w:rPr>
          <w:bCs/>
          <w:color w:val="000000"/>
          <w:sz w:val="22"/>
          <w:szCs w:val="22"/>
        </w:rPr>
      </w:pPr>
      <w:r>
        <w:rPr>
          <w:bCs/>
          <w:color w:val="000000"/>
          <w:sz w:val="22"/>
          <w:szCs w:val="22"/>
        </w:rPr>
      </w:r>
    </w:p>
    <w:p>
      <w:pPr>
        <w:pStyle w:val="Normal"/>
        <w:rPr>
          <w:sz w:val="22"/>
          <w:szCs w:val="22"/>
        </w:rPr>
      </w:pPr>
      <w:r>
        <w:rPr>
          <w:color w:val="000000"/>
          <w:sz w:val="22"/>
          <w:szCs w:val="22"/>
        </w:rPr>
        <w:t>Lorsque le salarié, en cas d’arrivée ou de départ en cours de la période de référence, a accompli un nombre de jours différent du résultat obtenu selon les modalités ci-dessus, une régularisation est effectuée en fin de période de référence ou à la date de la rupture du contrat de travail.</w:t>
      </w:r>
    </w:p>
    <w:p>
      <w:pPr>
        <w:pStyle w:val="Normal"/>
        <w:rPr>
          <w:sz w:val="22"/>
          <w:szCs w:val="22"/>
        </w:rPr>
      </w:pPr>
      <w:r>
        <w:rPr>
          <w:color w:val="000000"/>
          <w:sz w:val="22"/>
          <w:szCs w:val="22"/>
        </w:rPr>
        <w:t xml:space="preserve"> </w:t>
      </w:r>
    </w:p>
    <w:p>
      <w:pPr>
        <w:pStyle w:val="Normal"/>
        <w:rPr>
          <w:sz w:val="22"/>
          <w:szCs w:val="22"/>
        </w:rPr>
      </w:pPr>
      <w:r>
        <w:rPr>
          <w:color w:val="000000"/>
          <w:sz w:val="22"/>
          <w:szCs w:val="22"/>
        </w:rPr>
        <w:t xml:space="preserve">Ainsi, s’il apparaît que le salarié a accompli un nombre de jours supérieur à celui qu’il aurait dû effectuer, il est accordé au salarié un complément de rémunération pour chaque jour supplémentaire effectué. </w:t>
      </w:r>
    </w:p>
    <w:p>
      <w:pPr>
        <w:pStyle w:val="Normal"/>
        <w:rPr>
          <w:color w:val="000000"/>
          <w:sz w:val="22"/>
          <w:szCs w:val="22"/>
        </w:rPr>
      </w:pPr>
      <w:r>
        <w:rPr>
          <w:color w:val="000000"/>
          <w:sz w:val="22"/>
          <w:szCs w:val="22"/>
        </w:rPr>
      </w:r>
    </w:p>
    <w:p>
      <w:pPr>
        <w:pStyle w:val="Normal"/>
        <w:rPr>
          <w:sz w:val="22"/>
          <w:szCs w:val="22"/>
        </w:rPr>
      </w:pPr>
      <w:r>
        <w:rPr>
          <w:color w:val="000000"/>
          <w:sz w:val="22"/>
          <w:szCs w:val="22"/>
        </w:rPr>
        <w:t>Ce complément de rémunération, calculé pour chaque jour conformément à l’article 10.3 ci-après, est versé avec la paie du mois qui suit la fin de la période de référence ou lors de l’établissement du solde de tout compte.</w:t>
      </w:r>
    </w:p>
    <w:p>
      <w:pPr>
        <w:pStyle w:val="Normal"/>
        <w:rPr>
          <w:sz w:val="22"/>
          <w:szCs w:val="22"/>
        </w:rPr>
      </w:pPr>
      <w:r>
        <w:rPr>
          <w:color w:val="000000"/>
          <w:sz w:val="22"/>
          <w:szCs w:val="22"/>
        </w:rPr>
        <w:t xml:space="preserve"> </w:t>
      </w:r>
    </w:p>
    <w:p>
      <w:pPr>
        <w:pStyle w:val="Normal"/>
        <w:rPr>
          <w:color w:val="000000"/>
        </w:rPr>
      </w:pPr>
      <w:r>
        <w:rPr>
          <w:sz w:val="22"/>
          <w:szCs w:val="22"/>
        </w:rPr>
      </w:r>
    </w:p>
    <w:p>
      <w:pPr>
        <w:pStyle w:val="Normal"/>
        <w:rPr>
          <w:color w:val="000000"/>
        </w:rPr>
      </w:pPr>
      <w:r>
        <w:rPr>
          <w:sz w:val="22"/>
          <w:szCs w:val="22"/>
        </w:rPr>
      </w:r>
    </w:p>
    <w:p>
      <w:pPr>
        <w:pStyle w:val="Normal"/>
        <w:rPr>
          <w:sz w:val="22"/>
          <w:szCs w:val="22"/>
        </w:rPr>
      </w:pPr>
      <w:r>
        <w:rPr>
          <w:color w:val="000000"/>
          <w:sz w:val="22"/>
          <w:szCs w:val="22"/>
        </w:rPr>
        <w:t xml:space="preserve">S’il apparaît que le salarié a accompli un nombre de jours inférieur à celui qu’il aurait dû effectuer, une compensation est faite entre les sommes dues par l’employeur et la valorisation des jours non travaillés, conformément à l’article 10.3 ci-après, sur la dernière paie réalisée au titre du solde de tout compte ou celle du mois suivant l’échéance de la période de référence. </w:t>
      </w:r>
    </w:p>
    <w:p>
      <w:pPr>
        <w:pStyle w:val="Normal"/>
        <w:rPr/>
      </w:pPr>
      <w:r>
        <w:rPr/>
      </w:r>
    </w:p>
    <w:p>
      <w:pPr>
        <w:pStyle w:val="Heading2"/>
        <w:numPr>
          <w:ilvl w:val="1"/>
          <w:numId w:val="10"/>
        </w:numPr>
        <w:rPr>
          <w:sz w:val="22"/>
          <w:szCs w:val="22"/>
        </w:rPr>
      </w:pPr>
      <w:r>
        <w:rPr>
          <w:sz w:val="22"/>
          <w:szCs w:val="22"/>
        </w:rPr>
        <w:t>Absences</w:t>
      </w:r>
    </w:p>
    <w:p>
      <w:pPr>
        <w:pStyle w:val="Normal"/>
        <w:rPr>
          <w:sz w:val="22"/>
          <w:szCs w:val="22"/>
        </w:rPr>
      </w:pPr>
      <w:r>
        <w:rPr>
          <w:sz w:val="22"/>
          <w:szCs w:val="22"/>
        </w:rPr>
      </w:r>
    </w:p>
    <w:p>
      <w:pPr>
        <w:pStyle w:val="Normal"/>
        <w:rPr>
          <w:sz w:val="22"/>
          <w:szCs w:val="22"/>
        </w:rPr>
      </w:pPr>
      <w:r>
        <w:rPr>
          <w:bCs/>
          <w:color w:val="000000"/>
          <w:sz w:val="22"/>
          <w:szCs w:val="22"/>
        </w:rPr>
        <w:t>Les absences rémunérées comme la maladie, la maternité, les congés pour événements familiaux sont à déduire du nombre de jours devant être travaillés puisque la récupération de ces absences est interdite. Il n’est donc pas possible de considérer une absence maladie comme un jour non travaillé au regard du décompte du nombre de jours travaillés dans l'année.</w:t>
      </w:r>
    </w:p>
    <w:p>
      <w:pPr>
        <w:pStyle w:val="Normal"/>
        <w:rPr>
          <w:bCs/>
          <w:color w:val="000000"/>
          <w:sz w:val="22"/>
          <w:szCs w:val="22"/>
        </w:rPr>
      </w:pPr>
      <w:r>
        <w:rPr>
          <w:bCs/>
          <w:color w:val="000000"/>
          <w:sz w:val="22"/>
          <w:szCs w:val="22"/>
        </w:rPr>
      </w:r>
    </w:p>
    <w:p>
      <w:pPr>
        <w:pStyle w:val="Heading2"/>
        <w:numPr>
          <w:ilvl w:val="1"/>
          <w:numId w:val="10"/>
        </w:numPr>
        <w:rPr>
          <w:sz w:val="22"/>
          <w:szCs w:val="22"/>
        </w:rPr>
      </w:pPr>
      <w:r>
        <w:rPr>
          <w:sz w:val="22"/>
          <w:szCs w:val="22"/>
        </w:rPr>
        <w:t>Valorisation d’un jour de rémunération</w:t>
      </w:r>
    </w:p>
    <w:p>
      <w:pPr>
        <w:pStyle w:val="Normal"/>
        <w:rPr>
          <w:sz w:val="22"/>
          <w:szCs w:val="22"/>
        </w:rPr>
      </w:pPr>
      <w:r>
        <w:rPr>
          <w:sz w:val="22"/>
          <w:szCs w:val="22"/>
        </w:rPr>
      </w:r>
    </w:p>
    <w:p>
      <w:pPr>
        <w:pStyle w:val="Normal"/>
        <w:tabs>
          <w:tab w:pos="708" w:val="clear"/>
          <w:tab w:leader="none" w:pos="-1134" w:val="left"/>
          <w:tab w:leader="none" w:pos="1134" w:val="left"/>
          <w:tab w:leader="none" w:pos="1700" w:val="left"/>
          <w:tab w:leader="none" w:pos="1921" w:val="left"/>
          <w:tab w:leader="none" w:pos="3968" w:val="left"/>
          <w:tab w:leader="none" w:pos="7937" w:val="decimal"/>
        </w:tabs>
        <w:spacing w:line="312" w:lineRule="atLeast"/>
        <w:rPr>
          <w:sz w:val="22"/>
          <w:szCs w:val="22"/>
        </w:rPr>
      </w:pPr>
      <w:r>
        <w:rPr>
          <w:color w:val="000000"/>
          <w:sz w:val="22"/>
          <w:szCs w:val="22"/>
        </w:rPr>
        <w:t>La valorisation d’une journée sera effectuée comme suit :</w:t>
      </w:r>
    </w:p>
    <w:p>
      <w:pPr>
        <w:pStyle w:val="BodyText3"/>
        <w:rPr>
          <w:sz w:val="22"/>
          <w:szCs w:val="22"/>
        </w:rPr>
      </w:pPr>
      <w:r>
        <w:rPr>
          <w:sz w:val="22"/>
          <w:szCs w:val="22"/>
        </w:rPr>
        <w:t xml:space="preserve"> </w:t>
      </w:r>
    </w:p>
    <w:p>
      <w:pPr>
        <w:pStyle w:val="BodyText3"/>
        <w:pBdr>
          <w:bottom w:color="000000" w:space="1" w:sz="4" w:val="single"/>
        </w:pBdr>
        <w:jc w:val="center"/>
        <w:rPr>
          <w:sz w:val="22"/>
          <w:szCs w:val="22"/>
        </w:rPr>
      </w:pPr>
      <w:r>
        <w:rPr>
          <w:rFonts w:ascii="Times New Roman" w:hAnsi="Times New Roman"/>
          <w:sz w:val="22"/>
          <w:szCs w:val="22"/>
        </w:rPr>
        <w:t>Rémunération annuelle brute contractuelle</w:t>
      </w:r>
    </w:p>
    <w:p>
      <w:pPr>
        <w:pStyle w:val="BodyText3"/>
        <w:jc w:val="center"/>
        <w:rPr>
          <w:sz w:val="22"/>
          <w:szCs w:val="22"/>
        </w:rPr>
      </w:pPr>
      <w:r>
        <w:rPr>
          <w:rFonts w:ascii="Times New Roman" w:hAnsi="Times New Roman"/>
          <w:sz w:val="22"/>
          <w:szCs w:val="22"/>
        </w:rPr>
        <w:t>(Nombre de jours de travail au titre du forfait de la période considérée + 25 jours ouvrés de congés payés + nombre de jours fériés chômés sur la période)</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Heading1"/>
        <w:numPr>
          <w:ilvl w:val="0"/>
          <w:numId w:val="10"/>
        </w:numPr>
        <w:rPr>
          <w:color w:val="000000"/>
        </w:rPr>
      </w:pPr>
      <w:bookmarkStart w:id="24" w:name="_Toc189472859"/>
      <w:r>
        <w:rPr>
          <w:color w:val="000000"/>
          <w:sz w:val="22"/>
          <w:szCs w:val="22"/>
        </w:rPr>
        <w:t>caractéristiques principales des conventions de forfait</w:t>
      </w:r>
      <w:bookmarkEnd w:id="24"/>
      <w:r>
        <w:rPr>
          <w:color w:val="000000"/>
          <w:sz w:val="22"/>
          <w:szCs w:val="22"/>
        </w:rPr>
        <w:t xml:space="preserve"> </w:t>
      </w:r>
    </w:p>
    <w:p>
      <w:pPr>
        <w:pStyle w:val="Normal"/>
        <w:rPr>
          <w:color w:val="FF0000"/>
          <w:sz w:val="22"/>
          <w:szCs w:val="22"/>
        </w:rPr>
      </w:pPr>
      <w:r>
        <w:rPr>
          <w:color w:val="FF0000"/>
          <w:sz w:val="22"/>
          <w:szCs w:val="22"/>
        </w:rPr>
      </w:r>
    </w:p>
    <w:p>
      <w:pPr>
        <w:pStyle w:val="Normal"/>
        <w:rPr>
          <w:sz w:val="22"/>
          <w:szCs w:val="22"/>
        </w:rPr>
      </w:pPr>
      <w:r>
        <w:rPr>
          <w:color w:val="000000"/>
          <w:sz w:val="22"/>
          <w:szCs w:val="22"/>
        </w:rPr>
        <w:t xml:space="preserve">Le dispositif du forfait annuel en jours est précisé dans une convention individuelle de forfait en jours obligatoirement conclue avec chacun des salariés concernés sur la base des modalités fixées au présent accord. Cette convention figure dans le contrat de travail ou dans un avenant au contrat de travail de chaque salarié. </w:t>
      </w:r>
    </w:p>
    <w:p>
      <w:pPr>
        <w:pStyle w:val="Normal"/>
        <w:rPr>
          <w:sz w:val="22"/>
          <w:szCs w:val="22"/>
        </w:rPr>
      </w:pPr>
      <w:r>
        <w:rPr>
          <w:color w:val="000000"/>
          <w:sz w:val="22"/>
          <w:szCs w:val="22"/>
        </w:rPr>
        <w:t xml:space="preserve"> </w:t>
      </w:r>
    </w:p>
    <w:p>
      <w:pPr>
        <w:pStyle w:val="Normal"/>
        <w:rPr>
          <w:sz w:val="22"/>
          <w:szCs w:val="22"/>
        </w:rPr>
      </w:pPr>
      <w:r>
        <w:rPr>
          <w:color w:val="000000"/>
          <w:sz w:val="22"/>
          <w:szCs w:val="22"/>
        </w:rPr>
        <w:t xml:space="preserve">Les termes de cette convention rappelleront les principes édictés dans le présent accord. </w:t>
      </w:r>
    </w:p>
    <w:p>
      <w:pPr>
        <w:pStyle w:val="Normal"/>
        <w:rPr>
          <w:color w:val="000000"/>
          <w:sz w:val="22"/>
          <w:szCs w:val="22"/>
        </w:rPr>
      </w:pPr>
      <w:r>
        <w:rPr>
          <w:color w:val="000000"/>
          <w:sz w:val="22"/>
          <w:szCs w:val="22"/>
        </w:rPr>
      </w:r>
    </w:p>
    <w:p>
      <w:pPr>
        <w:pStyle w:val="Normal"/>
        <w:rPr>
          <w:sz w:val="22"/>
          <w:szCs w:val="22"/>
        </w:rPr>
      </w:pPr>
      <w:r>
        <w:rPr>
          <w:color w:val="000000"/>
          <w:sz w:val="22"/>
          <w:szCs w:val="22"/>
        </w:rPr>
        <w:t>Ainsi, la convention devra notamment fixer :</w:t>
      </w:r>
    </w:p>
    <w:p>
      <w:pPr>
        <w:pStyle w:val="Normal"/>
        <w:numPr>
          <w:ilvl w:val="0"/>
          <w:numId w:val="13"/>
        </w:numPr>
        <w:rPr>
          <w:sz w:val="22"/>
          <w:szCs w:val="22"/>
        </w:rPr>
      </w:pPr>
      <w:r>
        <w:rPr>
          <w:color w:val="000000"/>
          <w:sz w:val="22"/>
          <w:szCs w:val="22"/>
        </w:rPr>
        <w:t>la nature du forfait,</w:t>
      </w:r>
    </w:p>
    <w:p>
      <w:pPr>
        <w:pStyle w:val="Normal"/>
        <w:numPr>
          <w:ilvl w:val="0"/>
          <w:numId w:val="13"/>
        </w:numPr>
        <w:rPr>
          <w:sz w:val="22"/>
          <w:szCs w:val="22"/>
        </w:rPr>
      </w:pPr>
      <w:r>
        <w:rPr>
          <w:color w:val="000000"/>
          <w:sz w:val="22"/>
          <w:szCs w:val="22"/>
        </w:rPr>
        <w:t>le nombre de jours travaillés compris dans le forfait,</w:t>
      </w:r>
    </w:p>
    <w:p>
      <w:pPr>
        <w:pStyle w:val="Normal"/>
        <w:numPr>
          <w:ilvl w:val="0"/>
          <w:numId w:val="13"/>
        </w:numPr>
        <w:rPr>
          <w:sz w:val="22"/>
          <w:szCs w:val="22"/>
        </w:rPr>
      </w:pPr>
      <w:r>
        <w:rPr>
          <w:color w:val="000000"/>
          <w:sz w:val="22"/>
          <w:szCs w:val="22"/>
        </w:rPr>
        <w:t>la période de référence,</w:t>
      </w:r>
    </w:p>
    <w:p>
      <w:pPr>
        <w:pStyle w:val="Normal"/>
        <w:numPr>
          <w:ilvl w:val="0"/>
          <w:numId w:val="13"/>
        </w:numPr>
        <w:rPr>
          <w:sz w:val="22"/>
          <w:szCs w:val="22"/>
        </w:rPr>
      </w:pPr>
      <w:r>
        <w:rPr>
          <w:color w:val="000000"/>
          <w:sz w:val="22"/>
          <w:szCs w:val="22"/>
        </w:rPr>
        <w:t>la rémunération forfaitaire correspondante,</w:t>
      </w:r>
    </w:p>
    <w:p>
      <w:pPr>
        <w:pStyle w:val="Normal"/>
        <w:numPr>
          <w:ilvl w:val="0"/>
          <w:numId w:val="13"/>
        </w:numPr>
        <w:rPr>
          <w:sz w:val="22"/>
          <w:szCs w:val="22"/>
        </w:rPr>
      </w:pPr>
      <w:r>
        <w:rPr>
          <w:color w:val="000000"/>
          <w:sz w:val="22"/>
          <w:szCs w:val="22"/>
        </w:rPr>
        <w:t>la nécessité d’assurer un suivi du nombre de jours travaillés.</w:t>
      </w:r>
    </w:p>
    <w:p>
      <w:pPr>
        <w:pStyle w:val="Normal"/>
        <w:ind w:left="720"/>
        <w:rPr>
          <w:sz w:val="22"/>
          <w:szCs w:val="22"/>
        </w:rPr>
      </w:pPr>
      <w:r>
        <w:rPr>
          <w:sz w:val="22"/>
          <w:szCs w:val="22"/>
        </w:rPr>
        <w:t xml:space="preserve">                                                                                                                                                                                                                                                                                                                                                                                                                                                                                                                                                                                                                                                                                                                                                                                                                                                                                                                                                                                                                                                                                                                                                                                                                                                                                                                                                                                                                                                                                                                                                                                                                                                                                                          </w:t>
      </w:r>
    </w:p>
    <w:p>
      <w:pPr>
        <w:pStyle w:val="Normal"/>
        <w:rPr>
          <w:sz w:val="22"/>
          <w:szCs w:val="22"/>
        </w:rPr>
      </w:pPr>
      <w:r>
        <w:rPr>
          <w:sz w:val="22"/>
          <w:szCs w:val="22"/>
        </w:rPr>
        <w:t>Le bulletin de paie des salariés fera apparaitre le nombre annuel de jours de travail sur la base duquel le salaire forfaitaire a été convenu.</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Heading1"/>
        <w:numPr>
          <w:ilvl w:val="0"/>
          <w:numId w:val="10"/>
        </w:numPr>
        <w:rPr>
          <w:color w:val="000000"/>
        </w:rPr>
      </w:pPr>
      <w:r>
        <w:rPr>
          <w:color w:val="000000"/>
          <w:sz w:val="22"/>
          <w:szCs w:val="22"/>
        </w:rPr>
        <w:t xml:space="preserve"> </w:t>
      </w:r>
      <w:bookmarkStart w:id="25" w:name="_Toc189472860"/>
      <w:r>
        <w:rPr>
          <w:color w:val="000000"/>
          <w:sz w:val="22"/>
          <w:szCs w:val="22"/>
        </w:rPr>
        <w:t>décompte et suivi des jours travaillés et de la charge de travail</w:t>
      </w:r>
      <w:bookmarkEnd w:id="25"/>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Le forfait annuel en jours s'accompagne d'un décompte et d’un contrôle du nombre de jours (ou demi-journées) travaillés. </w:t>
      </w:r>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Le décompte du temps de travail est établi par référence à des unités temps « jours de travail » et « demi-journées de travail ». </w:t>
      </w:r>
    </w:p>
    <w:p>
      <w:pPr>
        <w:pStyle w:val="Normal"/>
        <w:rPr>
          <w:color w:val="000000"/>
          <w:sz w:val="22"/>
          <w:szCs w:val="22"/>
        </w:rPr>
      </w:pPr>
      <w:r>
        <w:rPr>
          <w:color w:val="000000"/>
          <w:sz w:val="22"/>
          <w:szCs w:val="22"/>
        </w:rPr>
      </w:r>
    </w:p>
    <w:p>
      <w:pPr>
        <w:pStyle w:val="Normal"/>
        <w:rPr>
          <w:sz w:val="22"/>
          <w:szCs w:val="22"/>
        </w:rPr>
      </w:pPr>
      <w:r>
        <w:rPr>
          <w:color w:val="000000"/>
          <w:sz w:val="22"/>
          <w:szCs w:val="22"/>
        </w:rPr>
        <w:t>Afin de suivre le nombre de journées ou de demi-journées travaillées, ainsi que celui des journées ou demi-journées de repos prises, chaque salarié établit mensuellement un décompte faisant apparaître le nombre et la date des journées ou demi-journées travaillées, ainsi que le positionnement et la qualification des journées ou demi-journées non travaillées, notamment en repos hebdomadaire, jour férié chômé, congés payés, congés conventionnels ou JRS.</w:t>
      </w:r>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Ce décompte a pour objectif de concourir à préserver la santé des salariés en permettant de faire un point régulier des jours de travail et des jours de repos afin de favoriser la prise par les salariés de l’ensemble de leurs jours de repos. </w:t>
      </w:r>
    </w:p>
    <w:p>
      <w:pPr>
        <w:pStyle w:val="Normal"/>
        <w:rPr>
          <w:sz w:val="22"/>
          <w:szCs w:val="22"/>
        </w:rPr>
      </w:pPr>
      <w:r>
        <w:rPr>
          <w:color w:val="000000"/>
          <w:sz w:val="22"/>
          <w:szCs w:val="22"/>
        </w:rPr>
        <w:t xml:space="preserve">  </w:t>
      </w:r>
    </w:p>
    <w:p>
      <w:pPr>
        <w:pStyle w:val="Normal"/>
        <w:rPr>
          <w:sz w:val="22"/>
          <w:szCs w:val="22"/>
        </w:rPr>
      </w:pPr>
      <w:r>
        <w:rPr>
          <w:color w:val="000000"/>
          <w:sz w:val="22"/>
          <w:szCs w:val="22"/>
        </w:rPr>
        <w:t xml:space="preserve">Dans le cadre de l’organisation et de la répartition du travail, le responsable hiérarchique s’assure que la charge de travail du salarié est compatible avec une durée raisonnable de travail et une bonne répartition dans le temps du travail de l’intéressé. Le responsable hiérarchique vérifie également ce point régulièrement au cours de l’exécution des missions confiées. </w:t>
      </w:r>
    </w:p>
    <w:p>
      <w:pPr>
        <w:pStyle w:val="Normal"/>
        <w:rPr>
          <w:color w:val="000000"/>
          <w:sz w:val="22"/>
          <w:szCs w:val="22"/>
        </w:rPr>
      </w:pPr>
      <w:r>
        <w:rPr>
          <w:color w:val="000000"/>
          <w:sz w:val="22"/>
          <w:szCs w:val="22"/>
        </w:rPr>
      </w:r>
    </w:p>
    <w:p>
      <w:pPr>
        <w:pStyle w:val="Normal"/>
        <w:rPr>
          <w:sz w:val="22"/>
          <w:szCs w:val="22"/>
        </w:rPr>
      </w:pPr>
      <w:r>
        <w:rPr>
          <w:color w:val="000000"/>
          <w:sz w:val="22"/>
          <w:szCs w:val="22"/>
        </w:rPr>
        <w:t>Le décompte est suivi par le supérieur hiérarchique et contrôlé régulièrement par le service en charge des Ressources Humaines. A cette occasion, le responsable hiérarchique contrôle le respect des repos quotidien et hebdomadaire et s’assure que la charge de travail et l’amplitude des journées d’activité du salarié sont raisonnables.</w:t>
      </w:r>
    </w:p>
    <w:p>
      <w:pPr>
        <w:pStyle w:val="Normal"/>
        <w:rPr>
          <w:color w:val="000000"/>
          <w:sz w:val="22"/>
          <w:szCs w:val="22"/>
        </w:rPr>
      </w:pPr>
      <w:r>
        <w:rPr>
          <w:color w:val="000000"/>
          <w:sz w:val="22"/>
          <w:szCs w:val="22"/>
        </w:rPr>
      </w:r>
    </w:p>
    <w:p>
      <w:pPr>
        <w:pStyle w:val="Normal"/>
        <w:rPr>
          <w:sz w:val="22"/>
          <w:szCs w:val="22"/>
        </w:rPr>
      </w:pPr>
      <w:r>
        <w:rPr>
          <w:color w:val="000000"/>
          <w:sz w:val="22"/>
          <w:szCs w:val="22"/>
        </w:rPr>
        <w:t>S’il constate des anomalies, le responsable hiérarchique organise un entretien avec le salarié dans les conditions prévues à l’article 14.1.</w:t>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Heading1"/>
        <w:numPr>
          <w:ilvl w:val="0"/>
          <w:numId w:val="10"/>
        </w:numPr>
        <w:rPr>
          <w:color w:val="000000"/>
        </w:rPr>
      </w:pPr>
      <w:bookmarkStart w:id="26" w:name="_Toc189472861"/>
      <w:r>
        <w:rPr>
          <w:color w:val="000000"/>
          <w:sz w:val="22"/>
          <w:szCs w:val="22"/>
        </w:rPr>
        <w:t>respect des temps de repos – droit à la déconnexion</w:t>
      </w:r>
      <w:bookmarkEnd w:id="26"/>
    </w:p>
    <w:p>
      <w:pPr>
        <w:pStyle w:val="Normal"/>
        <w:rPr>
          <w:sz w:val="22"/>
          <w:szCs w:val="22"/>
        </w:rPr>
      </w:pPr>
      <w:r>
        <w:rPr>
          <w:sz w:val="22"/>
          <w:szCs w:val="22"/>
        </w:rPr>
      </w:r>
    </w:p>
    <w:p>
      <w:pPr>
        <w:pStyle w:val="Normal"/>
        <w:rPr>
          <w:sz w:val="22"/>
          <w:szCs w:val="22"/>
        </w:rPr>
      </w:pPr>
      <w:r>
        <w:rPr>
          <w:bCs/>
          <w:sz w:val="22"/>
          <w:szCs w:val="22"/>
        </w:rPr>
        <w:t>Les salariés employés dans le cadre d’un forfait annuel en jours</w:t>
      </w:r>
      <w:r>
        <w:rPr>
          <w:sz w:val="22"/>
          <w:szCs w:val="22"/>
        </w:rPr>
        <w:t xml:space="preserve"> gèrent librement, en concertation avec l’employeur, le temps à consacrer à l’accomplissement de leurs missions.</w:t>
      </w:r>
    </w:p>
    <w:p>
      <w:pPr>
        <w:pStyle w:val="Normal"/>
        <w:rPr>
          <w:bCs/>
          <w:sz w:val="22"/>
          <w:szCs w:val="22"/>
        </w:rPr>
      </w:pPr>
      <w:r>
        <w:rPr>
          <w:bCs/>
          <w:sz w:val="22"/>
          <w:szCs w:val="22"/>
        </w:rPr>
      </w:r>
    </w:p>
    <w:p>
      <w:pPr>
        <w:pStyle w:val="Normal"/>
        <w:rPr>
          <w:sz w:val="22"/>
          <w:szCs w:val="22"/>
        </w:rPr>
      </w:pPr>
      <w:r>
        <w:rPr>
          <w:bCs/>
          <w:sz w:val="22"/>
          <w:szCs w:val="22"/>
        </w:rPr>
        <w:t xml:space="preserve">Ils ne sont pas soumis aux durées légales maximales quotidiennes et hebdomadaires. </w:t>
      </w:r>
    </w:p>
    <w:p>
      <w:pPr>
        <w:pStyle w:val="Normal"/>
        <w:rPr>
          <w:bCs/>
          <w:sz w:val="22"/>
          <w:szCs w:val="22"/>
        </w:rPr>
      </w:pPr>
      <w:r>
        <w:rPr>
          <w:bCs/>
          <w:sz w:val="22"/>
          <w:szCs w:val="22"/>
        </w:rPr>
      </w:r>
    </w:p>
    <w:p>
      <w:pPr>
        <w:pStyle w:val="Normal"/>
        <w:rPr>
          <w:sz w:val="22"/>
          <w:szCs w:val="22"/>
        </w:rPr>
      </w:pPr>
      <w:r>
        <w:rPr>
          <w:bCs/>
          <w:sz w:val="22"/>
          <w:szCs w:val="22"/>
        </w:rPr>
        <w:t>Toutefois, afin de préserver leur droit à la santé, au repos et au respect de leur vie privée, ils sont tenus de</w:t>
      </w:r>
      <w:r>
        <w:rPr>
          <w:sz w:val="22"/>
          <w:szCs w:val="22"/>
        </w:rPr>
        <w:t xml:space="preserve"> respecter les dispositions légales relatives aux repos quotidien et hebdomadaire à savoir les dispositions des articles L. 3131-1 du Code du travail (repos quotidien minimal de 11 heures consécutives), L. 3132-1 du Code du travail (6 jours de travail maximum par semaine), L. 3132-2 du Code du travail (repos hebdomadaire minimal de 24 heures consécutives auquel s’ajoutent les 11 heures de repos quotidien).</w:t>
      </w:r>
    </w:p>
    <w:p>
      <w:pPr>
        <w:pStyle w:val="Normal"/>
        <w:rPr>
          <w:bCs/>
          <w:sz w:val="22"/>
          <w:szCs w:val="22"/>
        </w:rPr>
      </w:pPr>
      <w:r>
        <w:rPr>
          <w:bCs/>
          <w:sz w:val="22"/>
          <w:szCs w:val="22"/>
        </w:rPr>
      </w:r>
    </w:p>
    <w:p>
      <w:pPr>
        <w:pStyle w:val="Normal"/>
        <w:rPr>
          <w:sz w:val="22"/>
          <w:szCs w:val="22"/>
        </w:rPr>
      </w:pPr>
      <w:r>
        <w:rPr>
          <w:bCs/>
          <w:sz w:val="22"/>
          <w:szCs w:val="22"/>
        </w:rPr>
        <w:t xml:space="preserve">En tout état de cause, la charge du travail confiée et l'amplitude de la journée d'activité doivent permettre à chaque salarié de prendre obligatoirement les repos visés ci-dessus. </w:t>
      </w:r>
    </w:p>
    <w:p>
      <w:pPr>
        <w:pStyle w:val="Normal"/>
        <w:rPr>
          <w:bCs/>
          <w:sz w:val="22"/>
          <w:szCs w:val="22"/>
        </w:rPr>
      </w:pPr>
      <w:r>
        <w:rPr>
          <w:bCs/>
          <w:sz w:val="22"/>
          <w:szCs w:val="22"/>
        </w:rPr>
      </w:r>
    </w:p>
    <w:p>
      <w:pPr>
        <w:pStyle w:val="Normal"/>
        <w:rPr>
          <w:sz w:val="22"/>
          <w:szCs w:val="22"/>
        </w:rPr>
      </w:pPr>
      <w:r>
        <w:rPr>
          <w:bCs/>
          <w:sz w:val="22"/>
          <w:szCs w:val="22"/>
        </w:rPr>
        <w:t xml:space="preserve">Il est rappelé que ces limites </w:t>
      </w:r>
      <w:r>
        <w:rPr>
          <w:sz w:val="22"/>
          <w:szCs w:val="22"/>
        </w:rPr>
        <w:t>n’ont pas pour objet de définir une journée habituelle de travail de 13 heures par jour mais une amplitude exceptionnelle maximale de la journée de travail.</w:t>
      </w:r>
    </w:p>
    <w:p>
      <w:pPr>
        <w:pStyle w:val="Normal"/>
        <w:rPr>
          <w:sz w:val="22"/>
          <w:szCs w:val="22"/>
        </w:rPr>
      </w:pPr>
      <w:r>
        <w:rPr>
          <w:sz w:val="22"/>
          <w:szCs w:val="22"/>
        </w:rPr>
      </w:r>
    </w:p>
    <w:p>
      <w:pPr>
        <w:pStyle w:val="Normal"/>
        <w:rPr>
          <w:sz w:val="22"/>
          <w:szCs w:val="22"/>
        </w:rPr>
      </w:pPr>
      <w:r>
        <w:rPr>
          <w:sz w:val="22"/>
          <w:szCs w:val="22"/>
        </w:rPr>
        <w:t>L’effectivité du respect par les salariés des durées minimales de repos implique pour ces derniers une obligation de déconnexion des outils de communication à distance.</w:t>
      </w:r>
    </w:p>
    <w:p>
      <w:pPr>
        <w:pStyle w:val="Normal"/>
        <w:rPr>
          <w:sz w:val="22"/>
          <w:szCs w:val="22"/>
        </w:rPr>
      </w:pPr>
      <w:r>
        <w:rPr>
          <w:sz w:val="22"/>
          <w:szCs w:val="22"/>
        </w:rPr>
      </w:r>
    </w:p>
    <w:p>
      <w:pPr>
        <w:pStyle w:val="Normal"/>
        <w:rPr>
          <w:sz w:val="22"/>
          <w:szCs w:val="22"/>
        </w:rPr>
      </w:pPr>
      <w:r>
        <w:rPr>
          <w:bCs/>
          <w:sz w:val="22"/>
          <w:szCs w:val="22"/>
        </w:rPr>
        <w:t xml:space="preserve">Soucieux de la santé des salariés et désirant améliorer la qualité de vie au travail, les signataires affirment l’importance d’un bon usage des outils informatiques en vue du respect de l’équilibre vie privée/activité professionnelle. </w:t>
      </w:r>
    </w:p>
    <w:p>
      <w:pPr>
        <w:pStyle w:val="Normal"/>
        <w:rPr>
          <w:bCs/>
          <w:sz w:val="22"/>
          <w:szCs w:val="22"/>
        </w:rPr>
      </w:pPr>
      <w:r>
        <w:rPr>
          <w:bCs/>
          <w:sz w:val="22"/>
          <w:szCs w:val="22"/>
        </w:rPr>
      </w:r>
    </w:p>
    <w:p>
      <w:pPr>
        <w:pStyle w:val="Normal"/>
        <w:rPr>
          <w:sz w:val="22"/>
          <w:szCs w:val="22"/>
        </w:rPr>
      </w:pPr>
      <w:r>
        <w:rPr>
          <w:bCs/>
          <w:sz w:val="22"/>
          <w:szCs w:val="22"/>
        </w:rPr>
        <w:t xml:space="preserve">La mise à disposition des outils de communication doit s’accompagner d’une véritable vigilance de la part du Cabinet et de la part de chaque utilisateur afin de s’assurer de l’équilibre entre l’activité professionnelle et la vie privée. </w:t>
      </w:r>
    </w:p>
    <w:p>
      <w:pPr>
        <w:pStyle w:val="Normal"/>
        <w:rPr>
          <w:bCs/>
          <w:sz w:val="22"/>
          <w:szCs w:val="22"/>
        </w:rPr>
      </w:pPr>
      <w:r>
        <w:rPr>
          <w:bCs/>
          <w:sz w:val="22"/>
          <w:szCs w:val="22"/>
        </w:rPr>
      </w:r>
    </w:p>
    <w:p>
      <w:pPr>
        <w:pStyle w:val="Normal"/>
        <w:rPr>
          <w:sz w:val="22"/>
          <w:szCs w:val="22"/>
        </w:rPr>
      </w:pPr>
      <w:r>
        <w:rPr>
          <w:bCs/>
          <w:sz w:val="22"/>
          <w:szCs w:val="22"/>
        </w:rPr>
        <w:t>Les outils de communication permettant une connexion à distance sont destinés à faciliter l’organisation et la gestion de leur temps de travail par les salariés et ne doivent pas les empêcher de bénéficier, de manière effective, des durées minimales de repos quotidien et hebdomadaire, de leurs congés, jours non travaillés, jours fériés, etc.</w:t>
      </w:r>
    </w:p>
    <w:p>
      <w:pPr>
        <w:pStyle w:val="Normal"/>
        <w:rPr>
          <w:bCs/>
          <w:sz w:val="22"/>
          <w:szCs w:val="22"/>
        </w:rPr>
      </w:pPr>
      <w:r>
        <w:rPr>
          <w:bCs/>
          <w:sz w:val="22"/>
          <w:szCs w:val="22"/>
        </w:rPr>
      </w:r>
    </w:p>
    <w:p>
      <w:pPr>
        <w:pStyle w:val="Normal"/>
        <w:rPr>
          <w:sz w:val="22"/>
          <w:szCs w:val="22"/>
        </w:rPr>
      </w:pPr>
      <w:r>
        <w:rPr>
          <w:bCs/>
          <w:sz w:val="22"/>
          <w:szCs w:val="22"/>
        </w:rPr>
        <w:t>Par conséquent, l’ensemble des salariés doit respecter une obligation de déconnexion des outils de communication à distance de manière à bénéficier effectivement de leurs temps de repos.</w:t>
      </w:r>
    </w:p>
    <w:p>
      <w:pPr>
        <w:pStyle w:val="Normal"/>
        <w:rPr>
          <w:bCs/>
          <w:sz w:val="22"/>
          <w:szCs w:val="22"/>
        </w:rPr>
      </w:pPr>
      <w:r>
        <w:rPr>
          <w:bCs/>
          <w:sz w:val="22"/>
          <w:szCs w:val="22"/>
        </w:rPr>
      </w:r>
    </w:p>
    <w:p>
      <w:pPr>
        <w:pStyle w:val="Normal"/>
        <w:rPr>
          <w:sz w:val="22"/>
          <w:szCs w:val="22"/>
        </w:rPr>
      </w:pPr>
      <w:r>
        <w:rPr>
          <w:bCs/>
          <w:sz w:val="22"/>
          <w:szCs w:val="22"/>
        </w:rPr>
        <w:t>Il est précisé qu’en dehors de leur temps de travail les salariés pourront choisir :</w:t>
      </w:r>
    </w:p>
    <w:p>
      <w:pPr>
        <w:pStyle w:val="Normal"/>
        <w:numPr>
          <w:ilvl w:val="0"/>
          <w:numId w:val="19"/>
        </w:numPr>
        <w:rPr>
          <w:sz w:val="22"/>
          <w:szCs w:val="22"/>
        </w:rPr>
      </w:pPr>
      <w:r>
        <w:rPr>
          <w:bCs/>
          <w:sz w:val="22"/>
          <w:szCs w:val="22"/>
        </w:rPr>
        <w:t>Soit de ne pas consulter leur smartphone et/ou tout autre appareil ou outil leur permettant d’accéder à leur boite email professionnelle et/ou à l’intranet et/ou au réseau interne et/ou à tout autre document ou outil de travail du Cabinet ;</w:t>
      </w:r>
    </w:p>
    <w:p>
      <w:pPr>
        <w:pStyle w:val="Normal"/>
        <w:rPr>
          <w:bCs/>
          <w:sz w:val="22"/>
          <w:szCs w:val="22"/>
        </w:rPr>
      </w:pPr>
      <w:r>
        <w:rPr>
          <w:bCs/>
          <w:sz w:val="22"/>
          <w:szCs w:val="22"/>
        </w:rPr>
      </w:r>
    </w:p>
    <w:p>
      <w:pPr>
        <w:pStyle w:val="Normal"/>
        <w:numPr>
          <w:ilvl w:val="0"/>
          <w:numId w:val="19"/>
        </w:numPr>
        <w:rPr>
          <w:sz w:val="22"/>
          <w:szCs w:val="22"/>
        </w:rPr>
      </w:pPr>
      <w:r>
        <w:rPr>
          <w:bCs/>
          <w:sz w:val="22"/>
          <w:szCs w:val="22"/>
        </w:rPr>
        <w:t xml:space="preserve">Soit de se déconnecter du serveur hôte de la session bureau à distance ou de désactiver la réception des courriers électroniques dans les réglages de leurs smartphones. </w:t>
      </w:r>
    </w:p>
    <w:p>
      <w:pPr>
        <w:pStyle w:val="Normal"/>
        <w:rPr>
          <w:bCs/>
          <w:sz w:val="22"/>
          <w:szCs w:val="22"/>
        </w:rPr>
      </w:pPr>
      <w:r>
        <w:rPr>
          <w:bCs/>
          <w:sz w:val="22"/>
          <w:szCs w:val="22"/>
        </w:rPr>
      </w:r>
    </w:p>
    <w:p>
      <w:pPr>
        <w:pStyle w:val="Normal"/>
        <w:rPr>
          <w:sz w:val="22"/>
          <w:szCs w:val="22"/>
        </w:rPr>
      </w:pPr>
      <w:r>
        <w:rPr>
          <w:bCs/>
          <w:sz w:val="22"/>
          <w:szCs w:val="22"/>
        </w:rPr>
        <w:t>Par ailleurs, en cas d’absence, il est demandé à chaque salarié d’activer un message d’absence et d’inviter l’expéditeur à contacter une autre personne en cas d’urgence.</w:t>
      </w:r>
    </w:p>
    <w:p>
      <w:pPr>
        <w:pStyle w:val="Normal"/>
        <w:rPr>
          <w:b/>
          <w:bCs/>
          <w:sz w:val="22"/>
          <w:szCs w:val="22"/>
        </w:rPr>
      </w:pPr>
      <w:r>
        <w:rPr>
          <w:b/>
          <w:bCs/>
          <w:sz w:val="22"/>
          <w:szCs w:val="22"/>
        </w:rPr>
      </w:r>
    </w:p>
    <w:p>
      <w:pPr>
        <w:pStyle w:val="Normal"/>
        <w:rPr>
          <w:sz w:val="22"/>
          <w:szCs w:val="22"/>
        </w:rPr>
      </w:pPr>
      <w:r>
        <w:rPr>
          <w:sz w:val="22"/>
          <w:szCs w:val="22"/>
        </w:rPr>
        <w:t>Il est aussi rappelé à chaque salarié de :</w:t>
      </w:r>
    </w:p>
    <w:p>
      <w:pPr>
        <w:pStyle w:val="Normal"/>
        <w:numPr>
          <w:ilvl w:val="0"/>
          <w:numId w:val="20"/>
        </w:numPr>
        <w:rPr>
          <w:sz w:val="22"/>
          <w:szCs w:val="22"/>
        </w:rPr>
      </w:pPr>
      <w:r>
        <w:rPr>
          <w:sz w:val="22"/>
          <w:szCs w:val="22"/>
        </w:rPr>
        <w:t>S’interroger sur le moment opportun pour adresser un courriel, un message ou joindre un collègue par téléphone ;</w:t>
      </w:r>
    </w:p>
    <w:p>
      <w:pPr>
        <w:pStyle w:val="Normal"/>
        <w:rPr>
          <w:sz w:val="22"/>
          <w:szCs w:val="22"/>
        </w:rPr>
      </w:pPr>
      <w:r>
        <w:rPr>
          <w:sz w:val="22"/>
          <w:szCs w:val="22"/>
        </w:rPr>
      </w:r>
    </w:p>
    <w:p>
      <w:pPr>
        <w:pStyle w:val="Normal"/>
        <w:numPr>
          <w:ilvl w:val="0"/>
          <w:numId w:val="20"/>
        </w:numPr>
        <w:rPr>
          <w:sz w:val="22"/>
          <w:szCs w:val="22"/>
        </w:rPr>
      </w:pPr>
      <w:r>
        <w:rPr>
          <w:sz w:val="22"/>
          <w:szCs w:val="22"/>
        </w:rPr>
        <w:t>Ne pas solliciter de réponse immédiate si ce n’est pas nécessaire.</w:t>
      </w:r>
    </w:p>
    <w:p>
      <w:pPr>
        <w:pStyle w:val="Normal"/>
        <w:rPr>
          <w:sz w:val="22"/>
          <w:szCs w:val="22"/>
        </w:rPr>
      </w:pPr>
      <w:r>
        <w:rPr>
          <w:sz w:val="22"/>
          <w:szCs w:val="22"/>
        </w:rPr>
      </w:r>
    </w:p>
    <w:p>
      <w:pPr>
        <w:pStyle w:val="Normal"/>
        <w:rPr>
          <w:sz w:val="22"/>
          <w:szCs w:val="22"/>
        </w:rPr>
      </w:pPr>
      <w:r>
        <w:rPr>
          <w:sz w:val="22"/>
          <w:szCs w:val="22"/>
        </w:rPr>
        <w:t>En cas de difficulté de mise en œuvre de ce droit à la déconnexion, les salariés doivent, sans délai, en avertir leur supérieur hiérarchique, de préférence par écrit.</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color w:val="000000"/>
          <w:sz w:val="22"/>
          <w:szCs w:val="22"/>
        </w:rPr>
      </w:pPr>
      <w:r>
        <w:rPr>
          <w:color w:val="000000"/>
          <w:sz w:val="22"/>
          <w:szCs w:val="22"/>
        </w:rPr>
      </w:r>
    </w:p>
    <w:p>
      <w:pPr>
        <w:pStyle w:val="Heading1"/>
        <w:numPr>
          <w:ilvl w:val="0"/>
          <w:numId w:val="10"/>
        </w:numPr>
        <w:rPr>
          <w:color w:val="000000"/>
        </w:rPr>
      </w:pPr>
      <w:bookmarkStart w:id="27" w:name="_Toc189472862"/>
      <w:r>
        <w:rPr>
          <w:color w:val="000000"/>
          <w:sz w:val="22"/>
          <w:szCs w:val="22"/>
        </w:rPr>
        <w:t>évaluation de la charge de travail</w:t>
      </w:r>
      <w:bookmarkEnd w:id="27"/>
    </w:p>
    <w:p>
      <w:pPr>
        <w:pStyle w:val="Normal"/>
        <w:rPr>
          <w:sz w:val="22"/>
          <w:szCs w:val="22"/>
        </w:rPr>
      </w:pPr>
      <w:r>
        <w:rPr>
          <w:sz w:val="22"/>
          <w:szCs w:val="22"/>
        </w:rPr>
      </w:r>
    </w:p>
    <w:p>
      <w:pPr>
        <w:pStyle w:val="ListParagraph"/>
        <w:keepNext w:val="true"/>
        <w:numPr>
          <w:ilvl w:val="1"/>
          <w:numId w:val="18"/>
        </w:numPr>
        <w:outlineLvl w:val="1"/>
        <w:rPr>
          <w:rFonts w:ascii="Times New Roman Gras" w:hAnsi="Times New Roman Gras"/>
          <w:b/>
          <w:smallCaps/>
          <w:vanish/>
          <w:sz w:val="22"/>
          <w:szCs w:val="22"/>
          <w:u w:val="single"/>
        </w:rPr>
      </w:pPr>
      <w:r>
        <w:rPr>
          <w:rFonts w:ascii="Times New Roman Gras" w:hAnsi="Times New Roman Gras"/>
          <w:b/>
          <w:smallCaps/>
          <w:vanish/>
          <w:sz w:val="22"/>
          <w:szCs w:val="22"/>
          <w:u w:val="single"/>
        </w:rPr>
      </w:r>
    </w:p>
    <w:p>
      <w:pPr>
        <w:pStyle w:val="ListParagraph"/>
        <w:keepNext w:val="true"/>
        <w:numPr>
          <w:ilvl w:val="1"/>
          <w:numId w:val="18"/>
        </w:numPr>
        <w:outlineLvl w:val="1"/>
        <w:rPr>
          <w:rFonts w:ascii="Times New Roman Gras" w:hAnsi="Times New Roman Gras"/>
          <w:b/>
          <w:smallCaps/>
          <w:vanish/>
          <w:sz w:val="22"/>
          <w:szCs w:val="22"/>
          <w:u w:val="single"/>
        </w:rPr>
      </w:pPr>
      <w:r>
        <w:rPr>
          <w:rFonts w:ascii="Times New Roman Gras" w:hAnsi="Times New Roman Gras"/>
          <w:b/>
          <w:smallCaps/>
          <w:vanish/>
          <w:sz w:val="22"/>
          <w:szCs w:val="22"/>
          <w:u w:val="single"/>
        </w:rPr>
      </w:r>
    </w:p>
    <w:p>
      <w:pPr>
        <w:pStyle w:val="ListParagraph"/>
        <w:keepNext w:val="true"/>
        <w:numPr>
          <w:ilvl w:val="1"/>
          <w:numId w:val="18"/>
        </w:numPr>
        <w:outlineLvl w:val="1"/>
        <w:rPr>
          <w:rFonts w:ascii="Times New Roman Gras" w:hAnsi="Times New Roman Gras"/>
          <w:b/>
          <w:smallCaps/>
          <w:vanish/>
          <w:sz w:val="22"/>
          <w:szCs w:val="22"/>
          <w:u w:val="single"/>
        </w:rPr>
      </w:pPr>
      <w:r>
        <w:rPr>
          <w:rFonts w:ascii="Times New Roman Gras" w:hAnsi="Times New Roman Gras"/>
          <w:b/>
          <w:smallCaps/>
          <w:vanish/>
          <w:sz w:val="22"/>
          <w:szCs w:val="22"/>
          <w:u w:val="single"/>
        </w:rPr>
      </w:r>
    </w:p>
    <w:p>
      <w:pPr>
        <w:pStyle w:val="ListParagraph"/>
        <w:keepNext w:val="true"/>
        <w:numPr>
          <w:ilvl w:val="1"/>
          <w:numId w:val="18"/>
        </w:numPr>
        <w:outlineLvl w:val="1"/>
        <w:rPr>
          <w:rFonts w:ascii="Times New Roman Gras" w:hAnsi="Times New Roman Gras"/>
          <w:b/>
          <w:smallCaps/>
          <w:vanish/>
          <w:sz w:val="22"/>
          <w:szCs w:val="22"/>
          <w:u w:val="single"/>
        </w:rPr>
      </w:pPr>
      <w:r>
        <w:rPr>
          <w:rFonts w:ascii="Times New Roman Gras" w:hAnsi="Times New Roman Gras"/>
          <w:b/>
          <w:smallCaps/>
          <w:vanish/>
          <w:sz w:val="22"/>
          <w:szCs w:val="22"/>
          <w:u w:val="single"/>
        </w:rPr>
      </w:r>
    </w:p>
    <w:p>
      <w:pPr>
        <w:pStyle w:val="ListParagraph"/>
        <w:keepNext w:val="true"/>
        <w:numPr>
          <w:ilvl w:val="1"/>
          <w:numId w:val="21"/>
        </w:numPr>
        <w:outlineLvl w:val="1"/>
        <w:rPr>
          <w:rFonts w:ascii="Times New Roman Gras" w:hAnsi="Times New Roman Gras"/>
          <w:b/>
          <w:smallCaps/>
          <w:vanish/>
          <w:sz w:val="22"/>
          <w:szCs w:val="22"/>
          <w:u w:val="single"/>
        </w:rPr>
      </w:pPr>
      <w:r>
        <w:rPr>
          <w:rFonts w:ascii="Times New Roman Gras" w:hAnsi="Times New Roman Gras"/>
          <w:b/>
          <w:smallCaps/>
          <w:vanish/>
          <w:sz w:val="22"/>
          <w:szCs w:val="22"/>
          <w:u w:val="single"/>
        </w:rPr>
      </w:r>
    </w:p>
    <w:p>
      <w:pPr>
        <w:pStyle w:val="ListParagraph"/>
        <w:keepNext w:val="true"/>
        <w:numPr>
          <w:ilvl w:val="1"/>
          <w:numId w:val="21"/>
        </w:numPr>
        <w:outlineLvl w:val="1"/>
        <w:rPr>
          <w:rFonts w:ascii="Times New Roman Gras" w:hAnsi="Times New Roman Gras"/>
          <w:b/>
          <w:smallCaps/>
          <w:vanish/>
          <w:sz w:val="22"/>
          <w:szCs w:val="22"/>
          <w:u w:val="single"/>
        </w:rPr>
      </w:pPr>
      <w:r>
        <w:rPr>
          <w:rFonts w:ascii="Times New Roman Gras" w:hAnsi="Times New Roman Gras"/>
          <w:b/>
          <w:smallCaps/>
          <w:vanish/>
          <w:sz w:val="22"/>
          <w:szCs w:val="22"/>
          <w:u w:val="single"/>
        </w:rPr>
      </w:r>
    </w:p>
    <w:p>
      <w:pPr>
        <w:pStyle w:val="ListParagraph"/>
        <w:keepNext w:val="true"/>
        <w:numPr>
          <w:ilvl w:val="1"/>
          <w:numId w:val="21"/>
        </w:numPr>
        <w:outlineLvl w:val="1"/>
        <w:rPr>
          <w:rFonts w:ascii="Times New Roman Gras" w:hAnsi="Times New Roman Gras"/>
          <w:b/>
          <w:smallCaps/>
          <w:vanish/>
          <w:sz w:val="22"/>
          <w:szCs w:val="22"/>
          <w:u w:val="single"/>
        </w:rPr>
      </w:pPr>
      <w:r>
        <w:rPr>
          <w:rFonts w:ascii="Times New Roman Gras" w:hAnsi="Times New Roman Gras"/>
          <w:b/>
          <w:smallCaps/>
          <w:vanish/>
          <w:sz w:val="22"/>
          <w:szCs w:val="22"/>
          <w:u w:val="single"/>
        </w:rPr>
      </w:r>
    </w:p>
    <w:p>
      <w:pPr>
        <w:pStyle w:val="ListParagraph"/>
        <w:keepNext w:val="true"/>
        <w:numPr>
          <w:ilvl w:val="1"/>
          <w:numId w:val="21"/>
        </w:numPr>
        <w:outlineLvl w:val="1"/>
        <w:rPr>
          <w:rFonts w:ascii="Times New Roman Gras" w:hAnsi="Times New Roman Gras"/>
          <w:b/>
          <w:smallCaps/>
          <w:vanish/>
          <w:sz w:val="22"/>
          <w:szCs w:val="22"/>
          <w:u w:val="single"/>
        </w:rPr>
      </w:pPr>
      <w:r>
        <w:rPr>
          <w:rFonts w:ascii="Times New Roman Gras" w:hAnsi="Times New Roman Gras"/>
          <w:b/>
          <w:smallCaps/>
          <w:vanish/>
          <w:sz w:val="22"/>
          <w:szCs w:val="22"/>
          <w:u w:val="single"/>
        </w:rPr>
      </w:r>
    </w:p>
    <w:p>
      <w:pPr>
        <w:pStyle w:val="Heading2"/>
        <w:numPr>
          <w:ilvl w:val="1"/>
          <w:numId w:val="10"/>
        </w:numPr>
        <w:rPr>
          <w:sz w:val="22"/>
          <w:szCs w:val="22"/>
        </w:rPr>
      </w:pPr>
      <w:r>
        <w:rPr>
          <w:sz w:val="22"/>
          <w:szCs w:val="22"/>
        </w:rPr>
        <w:t>entretiens individuels</w:t>
      </w:r>
    </w:p>
    <w:p>
      <w:pPr>
        <w:pStyle w:val="Style11"/>
        <w:numPr>
          <w:ilvl w:val="0"/>
          <w:numId w:val="0"/>
        </w:numPr>
        <w:ind w:hanging="0" w:left="0"/>
        <w:rPr>
          <w:sz w:val="22"/>
          <w:szCs w:val="22"/>
        </w:rPr>
      </w:pPr>
      <w:r>
        <w:rPr>
          <w:sz w:val="22"/>
          <w:szCs w:val="22"/>
        </w:rPr>
      </w:r>
    </w:p>
    <w:p>
      <w:pPr>
        <w:pStyle w:val="Normal"/>
        <w:rPr>
          <w:sz w:val="22"/>
          <w:szCs w:val="22"/>
        </w:rPr>
      </w:pPr>
      <w:r>
        <w:rPr>
          <w:bCs/>
          <w:sz w:val="22"/>
          <w:szCs w:val="22"/>
        </w:rPr>
        <w:t xml:space="preserve">Le salarié bénéficiant d’une convention annuelle de forfait en jours sera reçu au moins une fois par an par son supérieur hiérarchique. Au cours de l’entretien seront évoquées l’organisation du travail dans le Cabinet, la charge de travail du salarié - qui doit être raisonnable - l’amplitude des journées de travail, l’articulation entre activité professionnelle et vie personnelle et la rémunération. </w:t>
      </w:r>
    </w:p>
    <w:p>
      <w:pPr>
        <w:pStyle w:val="Normal"/>
        <w:rPr>
          <w:bCs/>
          <w:sz w:val="22"/>
          <w:szCs w:val="22"/>
        </w:rPr>
      </w:pPr>
      <w:r>
        <w:rPr>
          <w:bCs/>
          <w:sz w:val="22"/>
          <w:szCs w:val="22"/>
        </w:rPr>
      </w:r>
    </w:p>
    <w:p>
      <w:pPr>
        <w:pStyle w:val="Normal"/>
        <w:rPr>
          <w:sz w:val="22"/>
          <w:szCs w:val="22"/>
        </w:rPr>
      </w:pPr>
      <w:r>
        <w:rPr>
          <w:bCs/>
          <w:sz w:val="22"/>
          <w:szCs w:val="22"/>
        </w:rPr>
        <w:t>Lors de cet entretien, le salarié et son supérieur hiérarchique feront également le bilan sur les modalités d’organisation du travail du salarié, l’amplitude des journées de travail, l’état des jours non travaillés pris et non pris à la date des entretiens.</w:t>
      </w:r>
    </w:p>
    <w:p>
      <w:pPr>
        <w:pStyle w:val="Normal"/>
        <w:rPr>
          <w:bCs/>
          <w:sz w:val="22"/>
          <w:szCs w:val="22"/>
        </w:rPr>
      </w:pPr>
      <w:r>
        <w:rPr>
          <w:bCs/>
          <w:sz w:val="22"/>
          <w:szCs w:val="22"/>
        </w:rPr>
      </w:r>
    </w:p>
    <w:p>
      <w:pPr>
        <w:pStyle w:val="Normal"/>
        <w:rPr>
          <w:sz w:val="22"/>
          <w:szCs w:val="22"/>
        </w:rPr>
      </w:pPr>
      <w:bookmarkStart w:id="28" w:name="_Hlk109975987"/>
      <w:r>
        <w:rPr>
          <w:bCs/>
          <w:sz w:val="22"/>
          <w:szCs w:val="22"/>
        </w:rPr>
        <w:t>Au regard des constats effectués, le salarié et son responsable hiérarchique arrêteront ensemble, si nécessaire, les mesures de prévention et de règlement des difficultés (lissage sur une plus grande période, répartition de la charge de travail, etc.). Les solutions et mesures seront alors consignées dans le compte-rendu de cet entretien annuel.</w:t>
      </w:r>
      <w:bookmarkEnd w:id="28"/>
    </w:p>
    <w:p>
      <w:pPr>
        <w:pStyle w:val="Normal"/>
        <w:rPr>
          <w:bCs/>
        </w:rPr>
      </w:pPr>
      <w:r>
        <w:rPr>
          <w:sz w:val="22"/>
          <w:szCs w:val="22"/>
        </w:rPr>
      </w:r>
    </w:p>
    <w:p>
      <w:pPr>
        <w:pStyle w:val="Normal"/>
        <w:rPr>
          <w:sz w:val="22"/>
          <w:szCs w:val="22"/>
        </w:rPr>
      </w:pPr>
      <w:r>
        <w:rPr>
          <w:bCs/>
          <w:sz w:val="22"/>
          <w:szCs w:val="22"/>
        </w:rPr>
        <w:t>Si cela est possible, le salarié et son responsable hiérarchique examineront également à l’occasion de cet entretien la charge de travail prévisible sur la période à venir et les adaptations éventuellement nécessaires en termes d’organisation du travail.</w:t>
      </w:r>
    </w:p>
    <w:p>
      <w:pPr>
        <w:pStyle w:val="Normal"/>
        <w:rPr>
          <w:bCs/>
          <w:sz w:val="22"/>
          <w:szCs w:val="22"/>
        </w:rPr>
      </w:pPr>
      <w:r>
        <w:rPr>
          <w:bCs/>
          <w:sz w:val="22"/>
          <w:szCs w:val="22"/>
        </w:rPr>
      </w:r>
    </w:p>
    <w:p>
      <w:pPr>
        <w:pStyle w:val="Normal"/>
        <w:rPr>
          <w:sz w:val="22"/>
          <w:szCs w:val="22"/>
        </w:rPr>
      </w:pPr>
      <w:r>
        <w:rPr>
          <w:bCs/>
          <w:sz w:val="22"/>
          <w:szCs w:val="22"/>
        </w:rPr>
        <w:t>Cet entretien obligatoire a également pour but de veiller au respect de la santé et de la sécurité des salariés.</w:t>
      </w:r>
    </w:p>
    <w:p>
      <w:pPr>
        <w:pStyle w:val="Normal"/>
        <w:rPr>
          <w:bCs/>
          <w:sz w:val="22"/>
          <w:szCs w:val="22"/>
        </w:rPr>
      </w:pPr>
      <w:r>
        <w:rPr>
          <w:bCs/>
          <w:sz w:val="22"/>
          <w:szCs w:val="22"/>
        </w:rPr>
      </w:r>
    </w:p>
    <w:p>
      <w:pPr>
        <w:pStyle w:val="Heading2"/>
        <w:numPr>
          <w:ilvl w:val="1"/>
          <w:numId w:val="10"/>
        </w:numPr>
        <w:rPr>
          <w:sz w:val="22"/>
          <w:szCs w:val="22"/>
        </w:rPr>
      </w:pPr>
      <w:r>
        <w:rPr>
          <w:sz w:val="22"/>
          <w:szCs w:val="22"/>
        </w:rPr>
        <w:t>suivi régulier de la charge de travail</w:t>
      </w:r>
    </w:p>
    <w:p>
      <w:pPr>
        <w:pStyle w:val="Style11"/>
        <w:numPr>
          <w:ilvl w:val="0"/>
          <w:numId w:val="0"/>
        </w:numPr>
        <w:ind w:hanging="0" w:left="0"/>
        <w:rPr>
          <w:sz w:val="22"/>
          <w:szCs w:val="22"/>
        </w:rPr>
      </w:pPr>
      <w:r>
        <w:rPr>
          <w:sz w:val="22"/>
          <w:szCs w:val="22"/>
        </w:rPr>
      </w:r>
    </w:p>
    <w:p>
      <w:pPr>
        <w:pStyle w:val="Normal"/>
        <w:rPr>
          <w:sz w:val="22"/>
          <w:szCs w:val="22"/>
        </w:rPr>
      </w:pPr>
      <w:r>
        <w:rPr>
          <w:color w:val="000000"/>
          <w:sz w:val="22"/>
          <w:szCs w:val="22"/>
        </w:rPr>
        <w:t xml:space="preserve">La durée de travail, l’amplitude des journées de travail et la charge de travail du salarié doivent rester raisonnables et assurer une bonne répartition, dans le temps, du travail de l’intéressé, en permettant une réelle conciliation entre activité professionnelle et vie personnelle et familiale. </w:t>
      </w:r>
    </w:p>
    <w:p>
      <w:pPr>
        <w:pStyle w:val="Normal"/>
        <w:rPr>
          <w:sz w:val="22"/>
          <w:szCs w:val="22"/>
        </w:rPr>
      </w:pPr>
      <w:r>
        <w:rPr>
          <w:bCs/>
          <w:color w:val="000000"/>
          <w:sz w:val="22"/>
          <w:szCs w:val="22"/>
        </w:rPr>
        <w:t xml:space="preserve"> </w:t>
      </w:r>
    </w:p>
    <w:p>
      <w:pPr>
        <w:pStyle w:val="Normal"/>
        <w:rPr>
          <w:sz w:val="22"/>
          <w:szCs w:val="22"/>
        </w:rPr>
      </w:pPr>
      <w:r>
        <w:rPr>
          <w:color w:val="000000"/>
          <w:sz w:val="22"/>
          <w:szCs w:val="22"/>
        </w:rPr>
        <w:t xml:space="preserve">A cette fin, le supérieur hiérarchique assure le suivi régulier de l'organisation du travail de l'intéressé et de sa charge de travail. </w:t>
      </w:r>
    </w:p>
    <w:p>
      <w:pPr>
        <w:pStyle w:val="Normal"/>
        <w:suppressAutoHyphens w:val="true"/>
        <w:rPr>
          <w:sz w:val="22"/>
          <w:szCs w:val="22"/>
        </w:rPr>
      </w:pPr>
      <w:r>
        <w:rPr>
          <w:color w:val="000000"/>
          <w:sz w:val="22"/>
          <w:szCs w:val="22"/>
        </w:rPr>
        <w:t xml:space="preserve"> </w:t>
      </w:r>
      <w:r>
        <w:rPr>
          <w:rFonts w:ascii="Verdana" w:cs="Tahoma" w:eastAsia="Calibri" w:hAnsi="Verdana"/>
          <w:color w:val="000000"/>
          <w:sz w:val="22"/>
          <w:szCs w:val="22"/>
          <w:lang w:eastAsia="zh-CN"/>
        </w:rPr>
        <w:t xml:space="preserve"> </w:t>
      </w:r>
    </w:p>
    <w:p>
      <w:pPr>
        <w:pStyle w:val="Normal"/>
        <w:rPr>
          <w:sz w:val="22"/>
          <w:szCs w:val="22"/>
        </w:rPr>
      </w:pPr>
      <w:r>
        <w:rPr>
          <w:bCs/>
          <w:color w:val="000000"/>
          <w:sz w:val="22"/>
          <w:szCs w:val="22"/>
        </w:rPr>
        <w:t>Le salarié tiendra également informé son supérieur hiérarchique</w:t>
      </w:r>
      <w:r>
        <w:rPr>
          <w:color w:val="000000"/>
          <w:sz w:val="22"/>
          <w:szCs w:val="22"/>
        </w:rPr>
        <w:t xml:space="preserve"> des évènements ou éléments qui accroissent de façon inhabituelle ou anormale sa charge de travail.</w:t>
      </w:r>
    </w:p>
    <w:p>
      <w:pPr>
        <w:pStyle w:val="Normal"/>
        <w:suppressAutoHyphens w:val="true"/>
        <w:rPr>
          <w:color w:val="000000"/>
          <w:sz w:val="22"/>
          <w:szCs w:val="22"/>
        </w:rPr>
      </w:pPr>
      <w:r>
        <w:rPr>
          <w:color w:val="000000"/>
          <w:sz w:val="22"/>
          <w:szCs w:val="22"/>
        </w:rPr>
      </w:r>
    </w:p>
    <w:p>
      <w:pPr>
        <w:pStyle w:val="Normal"/>
        <w:rPr>
          <w:sz w:val="22"/>
          <w:szCs w:val="22"/>
        </w:rPr>
      </w:pPr>
      <w:r>
        <w:rPr>
          <w:color w:val="000000"/>
          <w:sz w:val="22"/>
          <w:szCs w:val="22"/>
        </w:rPr>
        <w:t>Si le supérieur hiérarchique est amené à constater des situations anormales, il organisera dans les meilleurs délais un entretien avec le salarié concerné afin d’arrêter avec lui un plan d’actions, en lien avec le service en charge des Ressources Humaines. Ces mesures feront l’objet d’un compte-rendu écrit et d’un suivi.</w:t>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Heading2"/>
        <w:numPr>
          <w:ilvl w:val="1"/>
          <w:numId w:val="10"/>
        </w:numPr>
        <w:rPr>
          <w:sz w:val="22"/>
          <w:szCs w:val="22"/>
        </w:rPr>
      </w:pPr>
      <w:r>
        <w:rPr>
          <w:sz w:val="22"/>
          <w:szCs w:val="22"/>
        </w:rPr>
        <w:t>procédure d’alertes individuelles</w:t>
      </w:r>
    </w:p>
    <w:p>
      <w:pPr>
        <w:pStyle w:val="Style11"/>
        <w:numPr>
          <w:ilvl w:val="0"/>
          <w:numId w:val="0"/>
        </w:numPr>
        <w:ind w:hanging="0" w:left="0"/>
        <w:rPr>
          <w:sz w:val="22"/>
          <w:szCs w:val="22"/>
        </w:rPr>
      </w:pPr>
      <w:r>
        <w:rPr>
          <w:sz w:val="22"/>
          <w:szCs w:val="22"/>
        </w:rPr>
      </w:r>
    </w:p>
    <w:p>
      <w:pPr>
        <w:pStyle w:val="Normal"/>
        <w:rPr>
          <w:sz w:val="22"/>
          <w:szCs w:val="22"/>
        </w:rPr>
      </w:pPr>
      <w:r>
        <w:rPr>
          <w:color w:val="000000"/>
          <w:sz w:val="22"/>
          <w:szCs w:val="22"/>
        </w:rPr>
        <w:t>Indépendamment des entretiens individuels annuels et du suivi régulier assuré par leur supérieur hiérarchique, les salariés en forfait annuel en jours doivent, en cas de difficulté inhabituelle, émettre une alerte écrite et obtenir de plein droit un entretien individuel, selon leur choix avec leur supérieur hiérarchique ou le service en charge des Ressources Humaines du Cabinet, dans un délai qui ne peut excéder 8 jours.</w:t>
      </w:r>
    </w:p>
    <w:p>
      <w:pPr>
        <w:pStyle w:val="Normal"/>
        <w:rPr>
          <w:color w:val="000000"/>
          <w:sz w:val="22"/>
          <w:szCs w:val="22"/>
        </w:rPr>
      </w:pPr>
      <w:r>
        <w:rPr>
          <w:color w:val="000000"/>
          <w:sz w:val="22"/>
          <w:szCs w:val="22"/>
        </w:rPr>
      </w:r>
    </w:p>
    <w:p>
      <w:pPr>
        <w:pStyle w:val="Normal"/>
        <w:rPr>
          <w:sz w:val="22"/>
          <w:szCs w:val="22"/>
        </w:rPr>
      </w:pPr>
      <w:r>
        <w:rPr>
          <w:color w:val="000000"/>
          <w:sz w:val="22"/>
          <w:szCs w:val="22"/>
        </w:rPr>
        <w:t xml:space="preserve">A l’issue de la procédure, des mesures correctrices sont prises le cas échéant au cas par cas afin de permettre un traitement effectif de la situation. Ces mesures feront l’objet d’un compte-rendu écrit et d’un suivi. </w:t>
      </w:r>
    </w:p>
    <w:p>
      <w:pPr>
        <w:pStyle w:val="Style11"/>
        <w:numPr>
          <w:ilvl w:val="0"/>
          <w:numId w:val="0"/>
        </w:numPr>
        <w:ind w:hanging="0" w:left="0"/>
        <w:rPr>
          <w:sz w:val="22"/>
          <w:szCs w:val="22"/>
        </w:rPr>
      </w:pPr>
      <w:r>
        <w:rPr>
          <w:sz w:val="22"/>
          <w:szCs w:val="22"/>
        </w:rPr>
      </w:r>
    </w:p>
    <w:p>
      <w:pPr>
        <w:pStyle w:val="Heading2"/>
        <w:numPr>
          <w:ilvl w:val="1"/>
          <w:numId w:val="10"/>
        </w:numPr>
        <w:rPr>
          <w:sz w:val="22"/>
          <w:szCs w:val="22"/>
        </w:rPr>
      </w:pPr>
      <w:r>
        <w:rPr>
          <w:sz w:val="22"/>
          <w:szCs w:val="22"/>
        </w:rPr>
        <w:t>suivi médical spécifique</w:t>
      </w:r>
    </w:p>
    <w:p>
      <w:pPr>
        <w:pStyle w:val="Normal"/>
        <w:rPr>
          <w:sz w:val="22"/>
          <w:szCs w:val="22"/>
        </w:rPr>
      </w:pPr>
      <w:r>
        <w:rPr>
          <w:sz w:val="22"/>
          <w:szCs w:val="22"/>
        </w:rPr>
      </w:r>
    </w:p>
    <w:p>
      <w:pPr>
        <w:pStyle w:val="Normal"/>
        <w:rPr>
          <w:sz w:val="22"/>
          <w:szCs w:val="22"/>
        </w:rPr>
      </w:pPr>
      <w:r>
        <w:rPr>
          <w:color w:val="000000"/>
          <w:sz w:val="22"/>
          <w:szCs w:val="22"/>
        </w:rPr>
        <w:t xml:space="preserve">A la demande du salarié, une visite médicale distincte pourra être sollicitée auprès du service de santé au travail. Elle devra porter sur la prévention des risques du recours au forfait en jours ainsi que sur la santé physique et morale du salarié. </w:t>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Titre"/>
        <w:rPr/>
      </w:pPr>
      <w:bookmarkStart w:id="29" w:name="_Toc189472863"/>
      <w:bookmarkStart w:id="30" w:name="_Toc508611269"/>
      <w:r>
        <w:rPr>
          <w:color w:val="000000"/>
        </w:rPr>
        <w:t>TITRE IV : DISPOSITIONS FINALES</w:t>
      </w:r>
      <w:bookmarkEnd w:id="29"/>
      <w:bookmarkEnd w:id="30"/>
    </w:p>
    <w:p>
      <w:pPr>
        <w:pStyle w:val="Normal"/>
        <w:rPr>
          <w:color w:val="000000"/>
        </w:rPr>
      </w:pPr>
      <w:r>
        <w:rPr>
          <w:color w:val="000000"/>
        </w:rPr>
        <w:t xml:space="preserve"> </w:t>
      </w:r>
    </w:p>
    <w:p>
      <w:pPr>
        <w:pStyle w:val="Heading1"/>
        <w:numPr>
          <w:ilvl w:val="0"/>
          <w:numId w:val="10"/>
        </w:numPr>
        <w:rPr>
          <w:sz w:val="22"/>
          <w:szCs w:val="22"/>
        </w:rPr>
      </w:pPr>
      <w:bookmarkStart w:id="31" w:name="_Toc189472864"/>
      <w:bookmarkStart w:id="32" w:name="_Toc20729281"/>
      <w:r>
        <w:rPr>
          <w:color w:val="000000"/>
          <w:sz w:val="22"/>
          <w:szCs w:val="22"/>
        </w:rPr>
        <w:t>DATE D'ENTREE EN VIGUEUR - DUREE</w:t>
      </w:r>
      <w:bookmarkEnd w:id="31"/>
      <w:bookmarkEnd w:id="32"/>
    </w:p>
    <w:p>
      <w:pPr>
        <w:pStyle w:val="BodyText"/>
        <w:rPr>
          <w:sz w:val="22"/>
          <w:szCs w:val="22"/>
        </w:rPr>
      </w:pPr>
      <w:r>
        <w:rPr>
          <w:sz w:val="22"/>
          <w:szCs w:val="22"/>
        </w:rPr>
      </w:r>
    </w:p>
    <w:p>
      <w:pPr>
        <w:pStyle w:val="Normal"/>
        <w:rPr>
          <w:sz w:val="22"/>
          <w:szCs w:val="22"/>
        </w:rPr>
      </w:pPr>
      <w:r>
        <w:rPr>
          <w:color w:val="000000"/>
          <w:sz w:val="22"/>
          <w:szCs w:val="22"/>
        </w:rPr>
        <w:t>Le présent accord est conclu pour une durée indéterminée.</w:t>
      </w:r>
    </w:p>
    <w:p>
      <w:pPr>
        <w:pStyle w:val="Normal"/>
        <w:rPr>
          <w:color w:val="000000"/>
          <w:sz w:val="22"/>
          <w:szCs w:val="22"/>
        </w:rPr>
      </w:pPr>
      <w:r>
        <w:rPr>
          <w:color w:val="000000"/>
          <w:sz w:val="22"/>
          <w:szCs w:val="22"/>
        </w:rPr>
      </w:r>
    </w:p>
    <w:p>
      <w:pPr>
        <w:pStyle w:val="Normal"/>
        <w:rPr>
          <w:sz w:val="22"/>
          <w:szCs w:val="22"/>
        </w:rPr>
      </w:pPr>
      <w:r>
        <w:rPr>
          <w:color w:val="000000"/>
          <w:sz w:val="22"/>
          <w:szCs w:val="22"/>
        </w:rPr>
        <w:t>Il entre rétroactivement en vigueur à compter du 1</w:t>
      </w:r>
      <w:r>
        <w:rPr>
          <w:color w:val="000000"/>
          <w:sz w:val="22"/>
          <w:szCs w:val="22"/>
          <w:vertAlign w:val="superscript"/>
        </w:rPr>
        <w:t>er</w:t>
      </w:r>
      <w:r>
        <w:rPr>
          <w:color w:val="000000"/>
          <w:sz w:val="22"/>
          <w:szCs w:val="22"/>
        </w:rPr>
        <w:t xml:space="preserve"> janvier 2025.</w:t>
      </w:r>
    </w:p>
    <w:p>
      <w:pPr>
        <w:pStyle w:val="Normal"/>
        <w:rPr>
          <w:sz w:val="22"/>
          <w:szCs w:val="22"/>
        </w:rPr>
      </w:pPr>
      <w:r>
        <w:rPr>
          <w:sz w:val="22"/>
          <w:szCs w:val="22"/>
        </w:rPr>
      </w:r>
    </w:p>
    <w:p>
      <w:pPr>
        <w:pStyle w:val="Normal"/>
        <w:rPr>
          <w:sz w:val="22"/>
          <w:szCs w:val="22"/>
        </w:rPr>
      </w:pPr>
      <w:r>
        <w:rPr>
          <w:sz w:val="22"/>
          <w:szCs w:val="22"/>
        </w:rPr>
      </w:r>
    </w:p>
    <w:p>
      <w:pPr>
        <w:pStyle w:val="Heading1"/>
        <w:numPr>
          <w:ilvl w:val="0"/>
          <w:numId w:val="10"/>
        </w:numPr>
        <w:rPr>
          <w:color w:val="000000"/>
        </w:rPr>
      </w:pPr>
      <w:bookmarkStart w:id="33" w:name="_Toc189472865"/>
      <w:bookmarkStart w:id="34" w:name="_Toc20729282"/>
      <w:r>
        <w:rPr>
          <w:color w:val="000000"/>
          <w:sz w:val="22"/>
          <w:szCs w:val="22"/>
        </w:rPr>
        <w:t>REVISION ET DENONCIATION</w:t>
      </w:r>
      <w:bookmarkEnd w:id="33"/>
      <w:bookmarkEnd w:id="34"/>
    </w:p>
    <w:p>
      <w:pPr>
        <w:pStyle w:val="Normal"/>
        <w:rPr>
          <w:color w:val="000000"/>
          <w:sz w:val="22"/>
          <w:szCs w:val="22"/>
        </w:rPr>
      </w:pPr>
      <w:r>
        <w:rPr>
          <w:color w:val="000000"/>
          <w:sz w:val="22"/>
          <w:szCs w:val="22"/>
        </w:rPr>
      </w:r>
    </w:p>
    <w:p>
      <w:pPr>
        <w:pStyle w:val="Normal"/>
        <w:rPr>
          <w:sz w:val="22"/>
          <w:szCs w:val="22"/>
        </w:rPr>
      </w:pPr>
      <w:r>
        <w:rPr>
          <w:color w:val="000000"/>
          <w:sz w:val="22"/>
          <w:szCs w:val="22"/>
        </w:rPr>
        <w:t>Le présent accord pourra être révisé par avenant, conformément aux dispositions des articles L.2222-5, L.2261-7-1 et L.2261-8 du Code du travail dans les conditions suivantes :</w:t>
      </w:r>
    </w:p>
    <w:p>
      <w:pPr>
        <w:pStyle w:val="ListParagraph"/>
        <w:widowControl w:val="false"/>
        <w:numPr>
          <w:ilvl w:val="0"/>
          <w:numId w:val="15"/>
        </w:numPr>
        <w:spacing w:line="252" w:lineRule="exact"/>
        <w:ind w:hanging="283" w:left="1099" w:right="87"/>
        <w:rPr>
          <w:sz w:val="22"/>
          <w:szCs w:val="22"/>
        </w:rPr>
      </w:pPr>
      <w:r>
        <w:rPr>
          <w:sz w:val="22"/>
          <w:szCs w:val="22"/>
        </w:rPr>
        <w:t>toute demande devra être notifiée par lettre recommandée avec accusé de réception à chacune des parties signataires et comporter en outre les dispositions dont la révision est demandée et les propositions de remplacement,</w:t>
      </w:r>
    </w:p>
    <w:p>
      <w:pPr>
        <w:pStyle w:val="ListParagraph"/>
        <w:spacing w:line="252" w:lineRule="exact"/>
        <w:ind w:left="1099" w:right="87"/>
        <w:rPr>
          <w:sz w:val="22"/>
          <w:szCs w:val="22"/>
        </w:rPr>
      </w:pPr>
      <w:r>
        <w:rPr>
          <w:sz w:val="22"/>
          <w:szCs w:val="22"/>
        </w:rPr>
      </w:r>
    </w:p>
    <w:p>
      <w:pPr>
        <w:pStyle w:val="ListParagraph"/>
        <w:widowControl w:val="false"/>
        <w:numPr>
          <w:ilvl w:val="0"/>
          <w:numId w:val="15"/>
        </w:numPr>
        <w:spacing w:line="252" w:lineRule="exact"/>
        <w:ind w:hanging="283" w:left="1099" w:right="87"/>
        <w:rPr>
          <w:sz w:val="22"/>
          <w:szCs w:val="22"/>
        </w:rPr>
      </w:pPr>
      <w:r>
        <w:rPr>
          <w:sz w:val="22"/>
          <w:szCs w:val="22"/>
        </w:rPr>
        <w:t>les parties ouvriront les négociations dans le délai d'un mois suivant réception de la demande de révision,</w:t>
      </w:r>
    </w:p>
    <w:p>
      <w:pPr>
        <w:pStyle w:val="ListParagraph"/>
        <w:spacing w:line="252" w:lineRule="exact"/>
        <w:ind w:left="1099" w:right="87"/>
        <w:rPr>
          <w:sz w:val="22"/>
          <w:szCs w:val="22"/>
        </w:rPr>
      </w:pPr>
      <w:r>
        <w:rPr>
          <w:sz w:val="22"/>
          <w:szCs w:val="22"/>
        </w:rPr>
      </w:r>
    </w:p>
    <w:p>
      <w:pPr>
        <w:pStyle w:val="ListParagraph"/>
        <w:widowControl w:val="false"/>
        <w:numPr>
          <w:ilvl w:val="0"/>
          <w:numId w:val="15"/>
        </w:numPr>
        <w:spacing w:line="252" w:lineRule="exact"/>
        <w:ind w:hanging="283" w:left="1099" w:right="87"/>
        <w:rPr>
          <w:sz w:val="22"/>
          <w:szCs w:val="22"/>
        </w:rPr>
      </w:pPr>
      <w:r>
        <w:rPr>
          <w:sz w:val="22"/>
          <w:szCs w:val="22"/>
        </w:rPr>
        <w:t>les dispositions conventionnelles dont la révision est demandée resteront en vigueur jusqu'à la conclusion d'un avenant de révision.</w:t>
      </w:r>
    </w:p>
    <w:p>
      <w:pPr>
        <w:pStyle w:val="BodyText"/>
        <w:ind w:right="87"/>
        <w:rPr>
          <w:sz w:val="22"/>
          <w:szCs w:val="22"/>
        </w:rPr>
      </w:pPr>
      <w:r>
        <w:rPr>
          <w:sz w:val="22"/>
          <w:szCs w:val="22"/>
        </w:rPr>
      </w:r>
    </w:p>
    <w:p>
      <w:pPr>
        <w:pStyle w:val="Normal"/>
        <w:rPr>
          <w:sz w:val="22"/>
          <w:szCs w:val="22"/>
        </w:rPr>
      </w:pPr>
      <w:r>
        <w:rPr>
          <w:color w:val="000000"/>
          <w:sz w:val="22"/>
          <w:szCs w:val="22"/>
        </w:rPr>
        <w:t>Il peut en outre être dénoncé par les parties signataires avec un préavis de trois mois dans les conditions fixées à l'article L.2261-9 du Code du travail.</w:t>
      </w:r>
    </w:p>
    <w:p>
      <w:pPr>
        <w:pStyle w:val="Normal"/>
        <w:rPr>
          <w:color w:val="000000"/>
          <w:sz w:val="22"/>
          <w:szCs w:val="22"/>
        </w:rPr>
      </w:pPr>
      <w:r>
        <w:rPr>
          <w:color w:val="000000"/>
          <w:sz w:val="22"/>
          <w:szCs w:val="22"/>
        </w:rPr>
      </w:r>
    </w:p>
    <w:p>
      <w:pPr>
        <w:pStyle w:val="Normal"/>
        <w:rPr>
          <w:sz w:val="22"/>
          <w:szCs w:val="22"/>
        </w:rPr>
      </w:pPr>
      <w:r>
        <w:rPr>
          <w:sz w:val="22"/>
          <w:szCs w:val="22"/>
        </w:rPr>
        <w:t>Les parties signataires rappellent que le présent accord est le résultat de la recherche d’un équilibre entre leurs intérêts respectifs et qu’une clause de dénonciation partielle ne peut être envisagée que de manière exceptionnelle et pour des sujets délimités. Dans ces conditions, elles conviennent des dispositions suivantes :</w:t>
      </w:r>
    </w:p>
    <w:p>
      <w:pPr>
        <w:pStyle w:val="Normal"/>
        <w:rPr>
          <w:sz w:val="22"/>
          <w:szCs w:val="22"/>
        </w:rPr>
      </w:pPr>
      <w:r>
        <w:rPr>
          <w:sz w:val="22"/>
          <w:szCs w:val="22"/>
        </w:rPr>
      </w:r>
    </w:p>
    <w:p>
      <w:pPr>
        <w:pStyle w:val="Normal"/>
        <w:rPr>
          <w:sz w:val="22"/>
          <w:szCs w:val="22"/>
        </w:rPr>
      </w:pPr>
      <w:r>
        <w:rPr>
          <w:sz w:val="22"/>
          <w:szCs w:val="22"/>
        </w:rPr>
        <w:t>Les dispositions des Titres II et III et des articles 3, 4, 7 et 14.4 pourront faire l’objet d’une dénonciation partielle. Cette dénonciation pourra être effectuée unilatéralement par chacun des signataires, indépendamment des autres dispositions du présent accord. La décision de dénonciation devra dès lors indiquer précisément les dispositions qui font l’objet de cette dénonciation.</w:t>
      </w:r>
    </w:p>
    <w:p>
      <w:pPr>
        <w:pStyle w:val="Normal"/>
        <w:rPr>
          <w:sz w:val="22"/>
          <w:szCs w:val="22"/>
        </w:rPr>
      </w:pPr>
      <w:r>
        <w:rPr>
          <w:sz w:val="22"/>
          <w:szCs w:val="22"/>
        </w:rPr>
      </w:r>
    </w:p>
    <w:p>
      <w:pPr>
        <w:pStyle w:val="Normal"/>
        <w:rPr>
          <w:sz w:val="22"/>
          <w:szCs w:val="22"/>
        </w:rPr>
      </w:pPr>
      <w:r>
        <w:rPr>
          <w:sz w:val="22"/>
          <w:szCs w:val="22"/>
        </w:rPr>
        <w:t>La dénonciation sera alors notifiée par son auteur à tous les signataires par lettre recommandée avec avis de réception et fera l’objet d’un dépôt auprès de la DREETS et au secrétariat greffe du Conseil de prud’hommes, dès que la notification en aura été faite au dernier signataire par la réception par celui-ci de la lettre recommandée.</w:t>
      </w:r>
    </w:p>
    <w:p>
      <w:pPr>
        <w:pStyle w:val="Normal"/>
        <w:rPr>
          <w:sz w:val="22"/>
          <w:szCs w:val="22"/>
        </w:rPr>
      </w:pPr>
      <w:r>
        <w:rPr>
          <w:sz w:val="22"/>
          <w:szCs w:val="22"/>
        </w:rPr>
      </w:r>
    </w:p>
    <w:p>
      <w:pPr>
        <w:pStyle w:val="Normal"/>
        <w:rPr>
          <w:sz w:val="22"/>
          <w:szCs w:val="22"/>
        </w:rPr>
      </w:pPr>
      <w:r>
        <w:rPr>
          <w:sz w:val="22"/>
          <w:szCs w:val="22"/>
        </w:rPr>
        <w:t>La dénonciation prendra effet à l’expiration d’un préavis de trois mois et une nouvelle négociation devra s’engager à la demande de l’une des parties intéressées.</w:t>
      </w:r>
    </w:p>
    <w:p>
      <w:pPr>
        <w:pStyle w:val="Normal"/>
        <w:rPr>
          <w:sz w:val="22"/>
          <w:szCs w:val="22"/>
        </w:rPr>
      </w:pPr>
      <w:r>
        <w:rPr>
          <w:sz w:val="22"/>
          <w:szCs w:val="22"/>
        </w:rPr>
      </w:r>
    </w:p>
    <w:p>
      <w:pPr>
        <w:pStyle w:val="Normal"/>
        <w:rPr>
          <w:sz w:val="22"/>
          <w:szCs w:val="22"/>
        </w:rPr>
      </w:pPr>
      <w:r>
        <w:rPr>
          <w:sz w:val="22"/>
          <w:szCs w:val="22"/>
        </w:rPr>
        <w:t xml:space="preserve">Lorsque la dénonciation sera le fait de la totalité des signataires salariés ou de la partie employeur, les articles dénoncés cesseront de plein droit de produire leurs effets à la date d’entrée en vigueur des nouveaux articles destinés à les remplacer, ou à défaut et au plus tard, à l’expiration d’un délai d’un an à compter de la fin du préavis. </w:t>
      </w:r>
    </w:p>
    <w:p>
      <w:pPr>
        <w:pStyle w:val="Normal"/>
        <w:ind w:right="-2"/>
        <w:rPr>
          <w:sz w:val="22"/>
          <w:szCs w:val="22"/>
        </w:rPr>
      </w:pPr>
      <w:r>
        <w:rPr>
          <w:sz w:val="22"/>
          <w:szCs w:val="22"/>
        </w:rPr>
      </w:r>
    </w:p>
    <w:p>
      <w:pPr>
        <w:pStyle w:val="Normal"/>
        <w:ind w:right="-2"/>
        <w:rPr>
          <w:sz w:val="22"/>
          <w:szCs w:val="22"/>
        </w:rPr>
      </w:pPr>
      <w:r>
        <w:rPr>
          <w:sz w:val="22"/>
          <w:szCs w:val="22"/>
        </w:rPr>
      </w:r>
    </w:p>
    <w:p>
      <w:pPr>
        <w:pStyle w:val="Heading1"/>
        <w:numPr>
          <w:ilvl w:val="0"/>
          <w:numId w:val="10"/>
        </w:numPr>
        <w:rPr>
          <w:color w:val="000000"/>
        </w:rPr>
      </w:pPr>
      <w:bookmarkStart w:id="35" w:name="_Toc189472866"/>
      <w:bookmarkStart w:id="36" w:name="_Toc20729283"/>
      <w:bookmarkStart w:id="37" w:name="_Toc7168666"/>
      <w:r>
        <w:rPr>
          <w:color w:val="000000"/>
          <w:sz w:val="22"/>
          <w:szCs w:val="22"/>
        </w:rPr>
        <w:t>ADHESION</w:t>
      </w:r>
      <w:bookmarkEnd w:id="35"/>
      <w:bookmarkEnd w:id="36"/>
      <w:bookmarkEnd w:id="37"/>
    </w:p>
    <w:p>
      <w:pPr>
        <w:pStyle w:val="Normal"/>
        <w:rPr>
          <w:sz w:val="22"/>
          <w:szCs w:val="22"/>
        </w:rPr>
      </w:pPr>
      <w:r>
        <w:rPr>
          <w:sz w:val="22"/>
          <w:szCs w:val="22"/>
        </w:rPr>
      </w:r>
    </w:p>
    <w:p>
      <w:pPr>
        <w:pStyle w:val="Normal"/>
        <w:rPr>
          <w:sz w:val="22"/>
          <w:szCs w:val="22"/>
        </w:rPr>
      </w:pPr>
      <w:r>
        <w:rPr>
          <w:sz w:val="22"/>
          <w:szCs w:val="22"/>
        </w:rPr>
        <w:t xml:space="preserve">Conformément à l’article L. 2261-3 du Code du travail, toute organisation syndicale de salariés, non signataire du présent </w:t>
      </w:r>
      <w:r>
        <w:rPr>
          <w:color w:val="000000"/>
          <w:sz w:val="22"/>
          <w:szCs w:val="22"/>
        </w:rPr>
        <w:t>accord</w:t>
      </w:r>
      <w:r>
        <w:rPr>
          <w:sz w:val="22"/>
          <w:szCs w:val="22"/>
        </w:rPr>
        <w:t>, qui deviendrait représentative dans le Cabinet pourrait y adhérer ultérieurement.</w:t>
      </w:r>
    </w:p>
    <w:p>
      <w:pPr>
        <w:pStyle w:val="Normal"/>
        <w:rPr>
          <w:sz w:val="22"/>
          <w:szCs w:val="22"/>
        </w:rPr>
      </w:pPr>
      <w:r>
        <w:rPr>
          <w:sz w:val="22"/>
          <w:szCs w:val="22"/>
        </w:rPr>
      </w:r>
    </w:p>
    <w:p>
      <w:pPr>
        <w:pStyle w:val="Normal"/>
        <w:rPr>
          <w:sz w:val="22"/>
          <w:szCs w:val="22"/>
        </w:rPr>
      </w:pPr>
      <w:r>
        <w:rPr>
          <w:sz w:val="22"/>
          <w:szCs w:val="22"/>
        </w:rPr>
        <w:t>L’adhésion est valable à partir du jour qui suivra celui de sa notification au secrétariat du Greffe du Conseil de prud’hommes compétent.</w:t>
      </w:r>
    </w:p>
    <w:p>
      <w:pPr>
        <w:pStyle w:val="Normal"/>
        <w:rPr>
          <w:sz w:val="22"/>
          <w:szCs w:val="22"/>
        </w:rPr>
      </w:pPr>
      <w:r>
        <w:rPr>
          <w:sz w:val="22"/>
          <w:szCs w:val="22"/>
        </w:rPr>
      </w:r>
    </w:p>
    <w:p>
      <w:pPr>
        <w:pStyle w:val="Normal"/>
        <w:rPr>
          <w:sz w:val="22"/>
          <w:szCs w:val="22"/>
        </w:rPr>
      </w:pPr>
      <w:r>
        <w:rPr>
          <w:sz w:val="22"/>
          <w:szCs w:val="22"/>
        </w:rPr>
        <w:t>Notification doit également en être faite dans le délai de huit jours par lettre recommandée aux parties signataires.</w:t>
      </w:r>
    </w:p>
    <w:p>
      <w:pPr>
        <w:pStyle w:val="Normal"/>
        <w:rPr>
          <w:sz w:val="22"/>
          <w:szCs w:val="22"/>
        </w:rPr>
      </w:pPr>
      <w:r>
        <w:rPr>
          <w:sz w:val="22"/>
          <w:szCs w:val="22"/>
        </w:rPr>
      </w:r>
    </w:p>
    <w:p>
      <w:pPr>
        <w:pStyle w:val="Normal"/>
        <w:rPr>
          <w:sz w:val="22"/>
          <w:szCs w:val="22"/>
        </w:rPr>
      </w:pPr>
      <w:r>
        <w:rPr>
          <w:sz w:val="22"/>
          <w:szCs w:val="22"/>
        </w:rPr>
        <w:t>L’adhésion ultérieure d’une organisation syndicale représentative ne peut être partielle et intéresse donc l’</w:t>
      </w:r>
      <w:r>
        <w:rPr>
          <w:color w:val="000000"/>
          <w:sz w:val="22"/>
          <w:szCs w:val="22"/>
        </w:rPr>
        <w:t>accord</w:t>
      </w:r>
      <w:r>
        <w:rPr>
          <w:sz w:val="22"/>
          <w:szCs w:val="22"/>
        </w:rPr>
        <w:t xml:space="preserve"> dans son entier. </w:t>
      </w:r>
    </w:p>
    <w:p>
      <w:pPr>
        <w:pStyle w:val="Normal"/>
        <w:rPr>
          <w:b/>
          <w:smallCaps/>
          <w:sz w:val="22"/>
          <w:szCs w:val="22"/>
        </w:rPr>
      </w:pPr>
      <w:r>
        <w:rPr>
          <w:b/>
          <w:smallCaps/>
          <w:sz w:val="22"/>
          <w:szCs w:val="22"/>
        </w:rPr>
      </w:r>
    </w:p>
    <w:p>
      <w:pPr>
        <w:pStyle w:val="Normal"/>
        <w:rPr>
          <w:b/>
          <w:smallCaps/>
          <w:sz w:val="22"/>
          <w:szCs w:val="22"/>
        </w:rPr>
      </w:pPr>
      <w:r>
        <w:rPr>
          <w:b/>
          <w:smallCaps/>
          <w:sz w:val="22"/>
          <w:szCs w:val="22"/>
        </w:rPr>
      </w:r>
    </w:p>
    <w:p>
      <w:pPr>
        <w:pStyle w:val="Normal"/>
        <w:rPr>
          <w:b/>
          <w:smallCaps/>
          <w:sz w:val="22"/>
          <w:szCs w:val="22"/>
        </w:rPr>
      </w:pPr>
      <w:r>
        <w:rPr>
          <w:b/>
          <w:smallCaps/>
          <w:sz w:val="22"/>
          <w:szCs w:val="22"/>
        </w:rPr>
      </w:r>
    </w:p>
    <w:p>
      <w:pPr>
        <w:pStyle w:val="Normal"/>
        <w:rPr>
          <w:b/>
          <w:smallCaps/>
          <w:sz w:val="22"/>
          <w:szCs w:val="22"/>
        </w:rPr>
      </w:pPr>
      <w:r>
        <w:rPr>
          <w:b/>
          <w:smallCaps/>
          <w:sz w:val="22"/>
          <w:szCs w:val="22"/>
        </w:rPr>
      </w:r>
    </w:p>
    <w:p>
      <w:pPr>
        <w:pStyle w:val="Normal"/>
        <w:rPr>
          <w:b/>
          <w:smallCaps/>
          <w:sz w:val="22"/>
          <w:szCs w:val="22"/>
        </w:rPr>
      </w:pPr>
      <w:r>
        <w:rPr>
          <w:b/>
          <w:smallCaps/>
          <w:sz w:val="22"/>
          <w:szCs w:val="22"/>
        </w:rPr>
      </w:r>
    </w:p>
    <w:p>
      <w:pPr>
        <w:pStyle w:val="Normal"/>
        <w:rPr>
          <w:b/>
          <w:smallCaps/>
          <w:sz w:val="22"/>
          <w:szCs w:val="22"/>
        </w:rPr>
      </w:pPr>
      <w:r>
        <w:rPr>
          <w:b/>
          <w:smallCaps/>
          <w:sz w:val="22"/>
          <w:szCs w:val="22"/>
        </w:rPr>
      </w:r>
    </w:p>
    <w:p>
      <w:pPr>
        <w:pStyle w:val="Heading1"/>
        <w:numPr>
          <w:ilvl w:val="0"/>
          <w:numId w:val="10"/>
        </w:numPr>
        <w:rPr>
          <w:color w:val="000000"/>
        </w:rPr>
      </w:pPr>
      <w:bookmarkStart w:id="38" w:name="_Toc189472867"/>
      <w:r>
        <w:rPr>
          <w:color w:val="000000"/>
          <w:sz w:val="22"/>
          <w:szCs w:val="22"/>
        </w:rPr>
        <w:t>CONDITIONS SUSPENSIVES ET RESOLUTOIRES</w:t>
      </w:r>
      <w:bookmarkEnd w:id="38"/>
    </w:p>
    <w:p>
      <w:pPr>
        <w:pStyle w:val="Normal"/>
        <w:rPr>
          <w:b/>
          <w:smallCaps/>
          <w:sz w:val="22"/>
          <w:szCs w:val="22"/>
        </w:rPr>
      </w:pPr>
      <w:r>
        <w:rPr>
          <w:b/>
          <w:smallCaps/>
          <w:sz w:val="22"/>
          <w:szCs w:val="22"/>
        </w:rPr>
      </w:r>
    </w:p>
    <w:p>
      <w:pPr>
        <w:pStyle w:val="Normal"/>
        <w:rPr>
          <w:sz w:val="22"/>
          <w:szCs w:val="22"/>
        </w:rPr>
      </w:pPr>
      <w:r>
        <w:rPr>
          <w:color w:val="000000"/>
          <w:sz w:val="22"/>
          <w:szCs w:val="22"/>
        </w:rPr>
        <w:t>Les dispositions du présent accord sont soumises à la condition suspensive suivante :</w:t>
      </w:r>
    </w:p>
    <w:p>
      <w:pPr>
        <w:pStyle w:val="Normal"/>
        <w:rPr>
          <w:color w:val="000000"/>
          <w:sz w:val="22"/>
          <w:szCs w:val="22"/>
        </w:rPr>
      </w:pPr>
      <w:r>
        <w:rPr>
          <w:color w:val="000000"/>
          <w:sz w:val="22"/>
          <w:szCs w:val="22"/>
        </w:rPr>
      </w:r>
    </w:p>
    <w:p>
      <w:pPr>
        <w:pStyle w:val="Normal"/>
        <w:ind w:right="-2"/>
        <w:rPr>
          <w:sz w:val="22"/>
          <w:szCs w:val="22"/>
        </w:rPr>
      </w:pPr>
      <w:r>
        <w:rPr>
          <w:color w:val="000000"/>
          <w:sz w:val="22"/>
          <w:szCs w:val="22"/>
        </w:rPr>
        <w:t xml:space="preserve">Conformément à l’article L. 2232-23-1 du Code du travail, le présent accord ne sera valable et ne rentrera ainsi en vigueur que s’il est signé par l’élue titulaire au CSE représentant la majorité des suffrages exprimés aux dernières élections. </w:t>
      </w:r>
    </w:p>
    <w:p>
      <w:pPr>
        <w:pStyle w:val="Normal"/>
        <w:ind w:right="-2"/>
        <w:rPr>
          <w:color w:val="000000"/>
          <w:sz w:val="22"/>
          <w:szCs w:val="22"/>
        </w:rPr>
      </w:pPr>
      <w:r>
        <w:rPr>
          <w:color w:val="000000"/>
          <w:sz w:val="22"/>
          <w:szCs w:val="22"/>
        </w:rPr>
      </w:r>
    </w:p>
    <w:p>
      <w:pPr>
        <w:pStyle w:val="Normal"/>
        <w:rPr>
          <w:sz w:val="22"/>
          <w:szCs w:val="22"/>
        </w:rPr>
      </w:pPr>
      <w:r>
        <w:rPr>
          <w:color w:val="000000"/>
          <w:sz w:val="22"/>
          <w:szCs w:val="22"/>
        </w:rPr>
        <w:t>A défaut de respect de la condition rappelée ci-dessus, le présent accord sera réputé non écrit et ne pourra en aucun cas constituer un usage ou un engagement unilatéral de l’employeur.</w:t>
      </w:r>
    </w:p>
    <w:p>
      <w:pPr>
        <w:pStyle w:val="Normal"/>
        <w:rPr>
          <w:color w:val="000000"/>
          <w:sz w:val="22"/>
          <w:szCs w:val="22"/>
        </w:rPr>
      </w:pPr>
      <w:r>
        <w:rPr>
          <w:color w:val="000000"/>
          <w:sz w:val="22"/>
          <w:szCs w:val="22"/>
        </w:rPr>
      </w:r>
    </w:p>
    <w:p>
      <w:pPr>
        <w:pStyle w:val="Normal"/>
        <w:rPr>
          <w:b/>
          <w:smallCaps/>
          <w:sz w:val="22"/>
          <w:szCs w:val="22"/>
        </w:rPr>
      </w:pPr>
      <w:r>
        <w:rPr>
          <w:b/>
          <w:smallCaps/>
          <w:sz w:val="22"/>
          <w:szCs w:val="22"/>
        </w:rPr>
      </w:r>
    </w:p>
    <w:p>
      <w:pPr>
        <w:pStyle w:val="Heading1"/>
        <w:numPr>
          <w:ilvl w:val="0"/>
          <w:numId w:val="10"/>
        </w:numPr>
        <w:rPr>
          <w:color w:val="000000"/>
        </w:rPr>
      </w:pPr>
      <w:bookmarkStart w:id="39" w:name="_Toc189472868"/>
      <w:bookmarkStart w:id="40" w:name="_Toc20729284"/>
      <w:bookmarkStart w:id="41" w:name="_Toc7168667"/>
      <w:r>
        <w:rPr>
          <w:color w:val="000000"/>
          <w:sz w:val="22"/>
          <w:szCs w:val="22"/>
        </w:rPr>
        <w:t>INTERPRETATION DE L’</w:t>
      </w:r>
      <w:bookmarkEnd w:id="40"/>
      <w:bookmarkEnd w:id="41"/>
      <w:r>
        <w:rPr>
          <w:color w:val="000000"/>
          <w:sz w:val="22"/>
          <w:szCs w:val="22"/>
        </w:rPr>
        <w:t>Accord</w:t>
      </w:r>
      <w:bookmarkEnd w:id="39"/>
    </w:p>
    <w:p>
      <w:pPr>
        <w:pStyle w:val="Normal"/>
        <w:rPr>
          <w:sz w:val="22"/>
          <w:szCs w:val="22"/>
        </w:rPr>
      </w:pPr>
      <w:r>
        <w:rPr>
          <w:sz w:val="22"/>
          <w:szCs w:val="22"/>
        </w:rPr>
      </w:r>
    </w:p>
    <w:p>
      <w:pPr>
        <w:pStyle w:val="Normal"/>
        <w:rPr>
          <w:sz w:val="22"/>
          <w:szCs w:val="22"/>
        </w:rPr>
      </w:pPr>
      <w:r>
        <w:rPr>
          <w:sz w:val="22"/>
          <w:szCs w:val="22"/>
        </w:rPr>
        <w:t xml:space="preserve">Les représentants de chacune des parties signataires conviennent de se rencontrer à la requête de la partie la plus diligente, dans les 15 jours suivants la demande pour étudier et tenter de régler tout différend d’ordre individuel ou collectif né de l’application du présent </w:t>
      </w:r>
      <w:r>
        <w:rPr>
          <w:color w:val="000000"/>
          <w:sz w:val="22"/>
          <w:szCs w:val="22"/>
        </w:rPr>
        <w:t>accord</w:t>
      </w:r>
      <w:r>
        <w:rPr>
          <w:sz w:val="22"/>
          <w:szCs w:val="22"/>
        </w:rPr>
        <w:t>.</w:t>
      </w:r>
    </w:p>
    <w:p>
      <w:pPr>
        <w:pStyle w:val="Normal"/>
        <w:rPr>
          <w:sz w:val="22"/>
          <w:szCs w:val="22"/>
        </w:rPr>
      </w:pPr>
      <w:r>
        <w:rPr>
          <w:sz w:val="22"/>
          <w:szCs w:val="22"/>
        </w:rPr>
      </w:r>
    </w:p>
    <w:p>
      <w:pPr>
        <w:pStyle w:val="Normal"/>
        <w:rPr>
          <w:sz w:val="22"/>
          <w:szCs w:val="22"/>
        </w:rPr>
      </w:pPr>
      <w:r>
        <w:rPr>
          <w:sz w:val="22"/>
          <w:szCs w:val="22"/>
        </w:rPr>
        <w:t>La demande de réunion consigne l’exposé précis du différend. La position retenue en fin de réunion fait l’objet d’un procès-verbal rédigé par le représentant du Cabinet. Le document est remis à chacune des parties signataires.</w:t>
      </w:r>
    </w:p>
    <w:p>
      <w:pPr>
        <w:pStyle w:val="Normal"/>
        <w:rPr>
          <w:sz w:val="22"/>
          <w:szCs w:val="22"/>
        </w:rPr>
      </w:pPr>
      <w:r>
        <w:rPr>
          <w:sz w:val="22"/>
          <w:szCs w:val="22"/>
        </w:rPr>
      </w:r>
    </w:p>
    <w:p>
      <w:pPr>
        <w:pStyle w:val="Normal"/>
        <w:rPr>
          <w:sz w:val="22"/>
          <w:szCs w:val="22"/>
        </w:rPr>
      </w:pPr>
      <w:r>
        <w:rPr>
          <w:sz w:val="22"/>
          <w:szCs w:val="22"/>
        </w:rPr>
        <w:t>Si cela est nécessaire une seconde réunion pourra être organisée dans les 15 jours suivant la date de la première réunion.</w:t>
      </w:r>
    </w:p>
    <w:p>
      <w:pPr>
        <w:pStyle w:val="Normal"/>
        <w:rPr>
          <w:sz w:val="22"/>
          <w:szCs w:val="22"/>
        </w:rPr>
      </w:pPr>
      <w:r>
        <w:rPr>
          <w:sz w:val="22"/>
          <w:szCs w:val="22"/>
        </w:rPr>
      </w:r>
    </w:p>
    <w:p>
      <w:pPr>
        <w:pStyle w:val="Normal"/>
        <w:rPr>
          <w:sz w:val="22"/>
          <w:szCs w:val="22"/>
        </w:rPr>
      </w:pPr>
      <w:r>
        <w:rPr>
          <w:sz w:val="22"/>
          <w:szCs w:val="22"/>
        </w:rPr>
        <w:t>Jusqu’à l’expiration de ces délais, les parties contractantes s’engagent à ne susciter aucune forme d’action contentieuse liée au différend faisant l’objet de cette procédure.</w:t>
      </w:r>
    </w:p>
    <w:p>
      <w:pPr>
        <w:pStyle w:val="Normal"/>
        <w:rPr>
          <w:sz w:val="22"/>
          <w:szCs w:val="22"/>
        </w:rPr>
      </w:pPr>
      <w:r>
        <w:rPr>
          <w:sz w:val="22"/>
          <w:szCs w:val="22"/>
        </w:rPr>
      </w:r>
    </w:p>
    <w:p>
      <w:pPr>
        <w:pStyle w:val="Normal"/>
        <w:rPr>
          <w:sz w:val="22"/>
          <w:szCs w:val="22"/>
        </w:rPr>
      </w:pPr>
      <w:r>
        <w:rPr>
          <w:sz w:val="22"/>
          <w:szCs w:val="22"/>
        </w:rPr>
      </w:r>
    </w:p>
    <w:p>
      <w:pPr>
        <w:pStyle w:val="Heading1"/>
        <w:numPr>
          <w:ilvl w:val="0"/>
          <w:numId w:val="10"/>
        </w:numPr>
        <w:rPr>
          <w:color w:val="000000"/>
        </w:rPr>
      </w:pPr>
      <w:bookmarkStart w:id="42" w:name="_Toc189472869"/>
      <w:bookmarkStart w:id="43" w:name="_Toc20729285"/>
      <w:bookmarkStart w:id="44" w:name="_Toc7168669"/>
      <w:r>
        <w:rPr>
          <w:color w:val="000000"/>
          <w:sz w:val="22"/>
          <w:szCs w:val="22"/>
        </w:rPr>
        <w:t>SUIVI</w:t>
      </w:r>
      <w:bookmarkEnd w:id="42"/>
      <w:bookmarkEnd w:id="43"/>
      <w:bookmarkEnd w:id="44"/>
    </w:p>
    <w:p>
      <w:pPr>
        <w:pStyle w:val="Normal"/>
        <w:tabs>
          <w:tab w:pos="708" w:val="clear"/>
          <w:tab w:leader="none" w:pos="709" w:val="left"/>
          <w:tab w:leader="none" w:pos="2835" w:val="left"/>
        </w:tabs>
        <w:rPr>
          <w:sz w:val="22"/>
          <w:szCs w:val="22"/>
        </w:rPr>
      </w:pPr>
      <w:r>
        <w:rPr>
          <w:sz w:val="22"/>
          <w:szCs w:val="22"/>
        </w:rPr>
      </w:r>
    </w:p>
    <w:p>
      <w:pPr>
        <w:pStyle w:val="Normal"/>
        <w:tabs>
          <w:tab w:pos="708" w:val="clear"/>
          <w:tab w:leader="none" w:pos="709" w:val="left"/>
          <w:tab w:leader="none" w:pos="2835" w:val="left"/>
        </w:tabs>
        <w:rPr>
          <w:sz w:val="22"/>
          <w:szCs w:val="22"/>
        </w:rPr>
      </w:pPr>
      <w:r>
        <w:rPr>
          <w:sz w:val="22"/>
          <w:szCs w:val="22"/>
        </w:rPr>
        <w:t>Sur demande de l’une des parties, des réunions de suivi pourront se tenir entre la Direction et le CSE. Le cas échéant, les modalités de fonctionnement de ces réunions de suivi seront déterminées lors de la première réunion qui sera tenue.</w:t>
      </w:r>
    </w:p>
    <w:p>
      <w:pPr>
        <w:pStyle w:val="Normal"/>
        <w:ind w:left="720"/>
        <w:rPr>
          <w:sz w:val="22"/>
          <w:szCs w:val="22"/>
        </w:rPr>
      </w:pPr>
      <w:r>
        <w:rPr>
          <w:sz w:val="22"/>
          <w:szCs w:val="22"/>
        </w:rPr>
        <w:br/>
      </w:r>
    </w:p>
    <w:p>
      <w:pPr>
        <w:pStyle w:val="Heading1"/>
        <w:numPr>
          <w:ilvl w:val="0"/>
          <w:numId w:val="10"/>
        </w:numPr>
        <w:rPr>
          <w:color w:val="000000"/>
        </w:rPr>
      </w:pPr>
      <w:bookmarkStart w:id="45" w:name="_Toc189472870"/>
      <w:bookmarkStart w:id="46" w:name="_Toc20729286"/>
      <w:r>
        <w:rPr>
          <w:color w:val="000000"/>
          <w:sz w:val="22"/>
          <w:szCs w:val="22"/>
        </w:rPr>
        <w:t>FORMALITES</w:t>
      </w:r>
      <w:bookmarkEnd w:id="45"/>
      <w:bookmarkEnd w:id="46"/>
      <w:r>
        <w:rPr>
          <w:color w:val="000000"/>
          <w:sz w:val="22"/>
          <w:szCs w:val="22"/>
        </w:rPr>
        <w:t xml:space="preserve"> </w:t>
      </w:r>
    </w:p>
    <w:p>
      <w:pPr>
        <w:pStyle w:val="BodyText"/>
        <w:rPr>
          <w:sz w:val="22"/>
          <w:szCs w:val="22"/>
        </w:rPr>
      </w:pPr>
      <w:r>
        <w:rPr>
          <w:sz w:val="22"/>
          <w:szCs w:val="22"/>
        </w:rPr>
      </w:r>
      <w:bookmarkStart w:id="47" w:name="_Toc494809403"/>
      <w:bookmarkStart w:id="48" w:name="_Toc494809403"/>
      <w:bookmarkEnd w:id="48"/>
    </w:p>
    <w:p>
      <w:pPr>
        <w:pStyle w:val="Heading2"/>
        <w:numPr>
          <w:ilvl w:val="1"/>
          <w:numId w:val="10"/>
        </w:numPr>
        <w:ind w:left="567"/>
        <w:rPr>
          <w:sz w:val="22"/>
          <w:szCs w:val="22"/>
        </w:rPr>
      </w:pPr>
      <w:bookmarkStart w:id="49" w:name="_Toc494809403"/>
      <w:bookmarkStart w:id="50" w:name="_Toc20729288"/>
      <w:bookmarkEnd w:id="49"/>
      <w:r>
        <w:rPr>
          <w:color w:val="000000"/>
          <w:sz w:val="22"/>
          <w:szCs w:val="22"/>
        </w:rPr>
        <w:t>Dépôt Legal</w:t>
      </w:r>
      <w:bookmarkEnd w:id="50"/>
      <w:r>
        <w:rPr>
          <w:color w:val="000000"/>
          <w:sz w:val="22"/>
          <w:szCs w:val="22"/>
        </w:rPr>
        <w:t xml:space="preserve"> </w:t>
      </w:r>
    </w:p>
    <w:p>
      <w:pPr>
        <w:pStyle w:val="Normal"/>
        <w:tabs>
          <w:tab w:pos="708" w:val="clear"/>
          <w:tab w:leader="none" w:pos="709" w:val="left"/>
          <w:tab w:leader="none" w:pos="2835" w:val="left"/>
        </w:tabs>
        <w:rPr>
          <w:sz w:val="22"/>
          <w:szCs w:val="22"/>
        </w:rPr>
      </w:pPr>
      <w:r>
        <w:rPr>
          <w:sz w:val="22"/>
          <w:szCs w:val="22"/>
        </w:rPr>
        <w:tab/>
      </w:r>
    </w:p>
    <w:p>
      <w:pPr>
        <w:pStyle w:val="Normal"/>
        <w:tabs>
          <w:tab w:pos="708" w:val="clear"/>
          <w:tab w:leader="none" w:pos="709" w:val="left"/>
          <w:tab w:leader="none" w:pos="2835" w:val="left"/>
        </w:tabs>
        <w:rPr/>
      </w:pPr>
      <w:bookmarkStart w:id="51" w:name="_Hlk530409175"/>
      <w:r>
        <w:rPr>
          <w:sz w:val="22"/>
          <w:szCs w:val="22"/>
        </w:rPr>
        <w:t>Conformément à la réglementation en vigueur, le présent accord, accompagné des pièces mentionnées aux articles D. 2231-6 et D. 2231-7 du Code du travail, fera l’objet d’un dépôt à la diligence du Cabinet, auprès de la DREETS et ce par voie dématérialisée au moyen de la plateforme de téléprocédure dédiée (</w:t>
      </w:r>
      <w:hyperlink r:id="rId2">
        <w:r>
          <w:rPr>
            <w:rStyle w:val="ListLabel2"/>
            <w:sz w:val="22"/>
            <w:szCs w:val="22"/>
          </w:rPr>
          <w:t>www.teleaccords.travail-emploi.gouv.fr</w:t>
        </w:r>
      </w:hyperlink>
      <w:r>
        <w:rPr>
          <w:sz w:val="22"/>
          <w:szCs w:val="22"/>
        </w:rPr>
        <w:t xml:space="preserve">). </w:t>
      </w:r>
    </w:p>
    <w:p>
      <w:pPr>
        <w:pStyle w:val="Normal"/>
        <w:tabs>
          <w:tab w:pos="708" w:val="clear"/>
          <w:tab w:leader="none" w:pos="709" w:val="left"/>
          <w:tab w:leader="none" w:pos="2835" w:val="left"/>
        </w:tabs>
        <w:rPr>
          <w:sz w:val="22"/>
          <w:szCs w:val="22"/>
        </w:rPr>
      </w:pPr>
      <w:r>
        <w:rPr>
          <w:sz w:val="22"/>
          <w:szCs w:val="22"/>
        </w:rPr>
      </w:r>
    </w:p>
    <w:p>
      <w:pPr>
        <w:pStyle w:val="Normal"/>
        <w:tabs>
          <w:tab w:pos="708" w:val="clear"/>
          <w:tab w:leader="none" w:pos="709" w:val="left"/>
          <w:tab w:leader="none" w:pos="2835" w:val="left"/>
        </w:tabs>
        <w:rPr>
          <w:sz w:val="22"/>
          <w:szCs w:val="22"/>
        </w:rPr>
      </w:pPr>
      <w:r>
        <w:rPr>
          <w:sz w:val="22"/>
          <w:szCs w:val="22"/>
        </w:rPr>
        <w:t>Une version rendue anonyme du présent accord ne comportant pas les noms, prénoms paraphes ou signatures des négociateurs et des signataires est également déposée auprès de la même entité au format docx.</w:t>
      </w:r>
    </w:p>
    <w:p>
      <w:pPr>
        <w:pStyle w:val="Normal"/>
        <w:tabs>
          <w:tab w:pos="708" w:val="clear"/>
          <w:tab w:leader="none" w:pos="709" w:val="left"/>
          <w:tab w:leader="none" w:pos="2835" w:val="left"/>
        </w:tabs>
        <w:rPr>
          <w:sz w:val="22"/>
          <w:szCs w:val="22"/>
        </w:rPr>
      </w:pPr>
      <w:r>
        <w:rPr>
          <w:sz w:val="22"/>
          <w:szCs w:val="22"/>
        </w:rPr>
      </w:r>
    </w:p>
    <w:p>
      <w:pPr>
        <w:pStyle w:val="Normal"/>
        <w:tabs>
          <w:tab w:pos="708" w:val="clear"/>
          <w:tab w:leader="none" w:pos="709" w:val="left"/>
          <w:tab w:leader="none" w:pos="2835" w:val="left"/>
        </w:tabs>
        <w:rPr>
          <w:sz w:val="22"/>
          <w:szCs w:val="22"/>
        </w:rPr>
      </w:pPr>
      <w:bookmarkStart w:id="52" w:name="_Hlk530409175"/>
      <w:r>
        <w:rPr>
          <w:sz w:val="22"/>
          <w:szCs w:val="22"/>
        </w:rPr>
        <w:t xml:space="preserve">Un exemplaire papier sera, en outre, déposé auprès du Secrétariat du Greffe du Conseil de Prud’hommes de Lyon. </w:t>
      </w:r>
      <w:bookmarkStart w:id="53" w:name="_Toc494809405"/>
      <w:bookmarkEnd w:id="52"/>
    </w:p>
    <w:p>
      <w:pPr>
        <w:pStyle w:val="Normal"/>
        <w:tabs>
          <w:tab w:pos="708" w:val="clear"/>
          <w:tab w:leader="none" w:pos="709" w:val="left"/>
          <w:tab w:leader="none" w:pos="2835" w:val="left"/>
        </w:tabs>
        <w:rPr>
          <w:sz w:val="22"/>
          <w:szCs w:val="22"/>
        </w:rPr>
      </w:pPr>
      <w:r>
        <w:rPr>
          <w:sz w:val="22"/>
          <w:szCs w:val="22"/>
        </w:rPr>
      </w:r>
    </w:p>
    <w:p>
      <w:pPr>
        <w:pStyle w:val="Normal"/>
        <w:tabs>
          <w:tab w:pos="708" w:val="clear"/>
          <w:tab w:leader="none" w:pos="709" w:val="left"/>
          <w:tab w:leader="none" w:pos="2835" w:val="left"/>
        </w:tabs>
        <w:rPr>
          <w:sz w:val="22"/>
          <w:szCs w:val="22"/>
        </w:rPr>
      </w:pPr>
      <w:r>
        <w:rPr>
          <w:sz w:val="22"/>
          <w:szCs w:val="22"/>
        </w:rPr>
        <w:t xml:space="preserve">Enfin, conformément à l’article L. 2232-9 du Code du travail, le Cabinet transmettra copie du présent accord à la Commission paritaire permanente de négociation et d’interprétation de la branche dont il relève, après suppression des noms et prénoms des négociateurs et des signataires. Il informera les autres signataires du présent accord de cette transmission. </w:t>
      </w:r>
    </w:p>
    <w:p>
      <w:pPr>
        <w:pStyle w:val="Normal"/>
        <w:ind w:right="-2"/>
        <w:rPr>
          <w:sz w:val="22"/>
          <w:szCs w:val="22"/>
        </w:rPr>
      </w:pPr>
      <w:r>
        <w:rPr>
          <w:sz w:val="22"/>
          <w:szCs w:val="22"/>
        </w:rPr>
      </w:r>
    </w:p>
    <w:p>
      <w:pPr>
        <w:pStyle w:val="Normal"/>
        <w:ind w:right="-2"/>
        <w:rPr>
          <w:sz w:val="22"/>
          <w:szCs w:val="22"/>
        </w:rPr>
      </w:pPr>
      <w:r>
        <w:rPr>
          <w:sz w:val="22"/>
          <w:szCs w:val="22"/>
        </w:rPr>
      </w:r>
    </w:p>
    <w:p>
      <w:pPr>
        <w:pStyle w:val="Heading2"/>
        <w:numPr>
          <w:ilvl w:val="1"/>
          <w:numId w:val="10"/>
        </w:numPr>
        <w:ind w:left="567"/>
        <w:rPr>
          <w:sz w:val="22"/>
          <w:szCs w:val="22"/>
        </w:rPr>
      </w:pPr>
      <w:bookmarkStart w:id="54" w:name="_Toc20729289"/>
      <w:r>
        <w:rPr>
          <w:color w:val="000000"/>
          <w:sz w:val="22"/>
          <w:szCs w:val="22"/>
        </w:rPr>
        <w:t xml:space="preserve">Information des salariés </w:t>
      </w:r>
      <w:bookmarkEnd w:id="53"/>
      <w:r>
        <w:rPr>
          <w:color w:val="000000"/>
          <w:sz w:val="22"/>
          <w:szCs w:val="22"/>
        </w:rPr>
        <w:t>et des Représentants du Personnel</w:t>
      </w:r>
      <w:bookmarkEnd w:id="54"/>
    </w:p>
    <w:p>
      <w:pPr>
        <w:pStyle w:val="Normal"/>
        <w:ind w:right="87"/>
        <w:rPr>
          <w:sz w:val="22"/>
          <w:szCs w:val="22"/>
        </w:rPr>
      </w:pPr>
      <w:r>
        <w:rPr>
          <w:sz w:val="22"/>
          <w:szCs w:val="22"/>
        </w:rPr>
      </w:r>
    </w:p>
    <w:p>
      <w:pPr>
        <w:pStyle w:val="Normal"/>
        <w:ind w:right="87"/>
        <w:rPr>
          <w:sz w:val="22"/>
          <w:szCs w:val="22"/>
        </w:rPr>
      </w:pPr>
      <w:r>
        <w:rPr>
          <w:sz w:val="22"/>
          <w:szCs w:val="22"/>
        </w:rPr>
        <w:t xml:space="preserve">Les salariés et représentants du personnel seront informés de la conclusion du présent </w:t>
      </w:r>
      <w:r>
        <w:rPr>
          <w:color w:val="000000"/>
          <w:sz w:val="22"/>
          <w:szCs w:val="22"/>
        </w:rPr>
        <w:t>accord</w:t>
      </w:r>
      <w:r>
        <w:rPr>
          <w:sz w:val="22"/>
          <w:szCs w:val="22"/>
        </w:rPr>
        <w:t xml:space="preserve"> conformément aux dispositions des articles R. 2262-1 et suivants du Code du travail.</w:t>
      </w:r>
    </w:p>
    <w:p>
      <w:pPr>
        <w:pStyle w:val="Normal"/>
        <w:rPr>
          <w:sz w:val="22"/>
          <w:szCs w:val="22"/>
        </w:rPr>
      </w:pPr>
      <w:r>
        <w:rPr>
          <w:sz w:val="22"/>
          <w:szCs w:val="22"/>
        </w:rPr>
        <w:t xml:space="preserve"> </w:t>
      </w:r>
    </w:p>
    <w:p>
      <w:pPr>
        <w:pStyle w:val="Normal"/>
        <w:rPr>
          <w:sz w:val="22"/>
          <w:szCs w:val="22"/>
        </w:rPr>
      </w:pPr>
      <w:r>
        <w:rPr>
          <w:sz w:val="22"/>
          <w:szCs w:val="22"/>
        </w:rPr>
        <w:t>Fait à LYON, le 3 février 2025</w:t>
      </w:r>
    </w:p>
    <w:p>
      <w:pPr>
        <w:pStyle w:val="Normal"/>
        <w:rPr>
          <w:sz w:val="22"/>
          <w:szCs w:val="22"/>
        </w:rPr>
      </w:pPr>
      <w:r>
        <w:rPr>
          <w:sz w:val="22"/>
          <w:szCs w:val="22"/>
        </w:rPr>
      </w:r>
    </w:p>
    <w:p>
      <w:pPr>
        <w:pStyle w:val="Normal"/>
        <w:rPr>
          <w:sz w:val="22"/>
          <w:szCs w:val="22"/>
        </w:rPr>
      </w:pPr>
      <w:r>
        <w:rPr>
          <w:sz w:val="22"/>
          <w:szCs w:val="22"/>
        </w:rPr>
        <w:t>En 3 exemplaires originaux.</w:t>
      </w:r>
    </w:p>
    <w:p>
      <w:pPr>
        <w:pStyle w:val="Normal"/>
        <w:rPr>
          <w:b/>
          <w:caps/>
          <w:sz w:val="22"/>
          <w:szCs w:val="22"/>
        </w:rPr>
      </w:pPr>
      <w:r>
        <w:rPr>
          <w:b/>
          <w:caps/>
          <w:sz w:val="22"/>
          <w:szCs w:val="22"/>
        </w:rPr>
      </w:r>
    </w:p>
    <w:p>
      <w:pPr>
        <w:pStyle w:val="Normal"/>
        <w:rPr>
          <w:b/>
          <w:caps/>
          <w:sz w:val="22"/>
          <w:szCs w:val="22"/>
        </w:rPr>
      </w:pPr>
      <w:r>
        <w:rPr>
          <w:b/>
          <w:caps/>
          <w:sz w:val="22"/>
          <w:szCs w:val="22"/>
        </w:rPr>
      </w:r>
    </w:p>
    <w:p>
      <w:pPr>
        <w:pStyle w:val="Normal"/>
        <w:rPr>
          <w:sz w:val="22"/>
          <w:szCs w:val="22"/>
        </w:rPr>
      </w:pPr>
      <w:r>
        <w:rPr>
          <w:b/>
          <w:caps/>
          <w:sz w:val="22"/>
          <w:szCs w:val="22"/>
        </w:rPr>
        <w:t>Pour LE CABINET</w:t>
        <w:tab/>
        <w:tab/>
      </w:r>
    </w:p>
    <w:p>
      <w:pPr>
        <w:pStyle w:val="Normal"/>
        <w:rPr>
          <w:sz w:val="22"/>
          <w:szCs w:val="22"/>
        </w:rPr>
      </w:pPr>
      <w:r>
        <w:rPr>
          <w:b/>
          <w:sz w:val="22"/>
          <w:szCs w:val="22"/>
        </w:rPr>
        <w:t xml:space="preserve">Monsieur </w:t>
      </w:r>
      <w:r>
        <w:rPr>
          <w:b/>
          <w:sz w:val="22"/>
          <w:szCs w:val="22"/>
        </w:rPr>
        <w:t>XXXX</w:t>
      </w:r>
    </w:p>
    <w:p>
      <w:pPr>
        <w:pStyle w:val="Normal"/>
        <w:rPr>
          <w:sz w:val="22"/>
          <w:szCs w:val="22"/>
        </w:rPr>
      </w:pPr>
      <w:r>
        <w:rPr>
          <w:b/>
          <w:sz w:val="22"/>
          <w:szCs w:val="22"/>
        </w:rPr>
        <w:t>P</w:t>
      </w:r>
      <w:r>
        <w:rPr>
          <w:b/>
          <w:sz w:val="22"/>
          <w:szCs w:val="22"/>
        </w:rPr>
        <w:t>résident</w:t>
      </w:r>
    </w:p>
    <w:p>
      <w:pPr>
        <w:pStyle w:val="Normal"/>
        <w:rPr>
          <w:b/>
          <w:caps/>
        </w:rPr>
      </w:pPr>
      <w:r>
        <w:rPr>
          <w:sz w:val="22"/>
          <w:szCs w:val="22"/>
        </w:rPr>
      </w:r>
    </w:p>
    <w:p>
      <w:pPr>
        <w:pStyle w:val="Normal"/>
        <w:rPr>
          <w:b/>
          <w:caps/>
        </w:rPr>
      </w:pPr>
      <w:r>
        <w:rPr>
          <w:sz w:val="22"/>
          <w:szCs w:val="22"/>
        </w:rPr>
      </w:r>
    </w:p>
    <w:p>
      <w:pPr>
        <w:pStyle w:val="Normal"/>
        <w:rPr>
          <w:rFonts w:ascii="Times New Roman" w:hAnsi="Times New Roman"/>
          <w:b/>
          <w:bCs/>
          <w:sz w:val="22"/>
          <w:szCs w:val="22"/>
        </w:rPr>
      </w:pPr>
      <w:r>
        <w:rPr>
          <w:b/>
          <w:bCs/>
          <w:sz w:val="22"/>
          <w:szCs w:val="22"/>
        </w:rPr>
      </w:r>
    </w:p>
    <w:p>
      <w:pPr>
        <w:pStyle w:val="BodyText"/>
        <w:spacing w:after="0" w:before="4"/>
        <w:rPr>
          <w:sz w:val="22"/>
          <w:szCs w:val="22"/>
        </w:rPr>
      </w:pPr>
      <w:r>
        <w:rPr>
          <w:rFonts w:ascii="Times New Roman" w:hAnsi="Times New Roman"/>
          <w:b/>
          <w:bCs/>
          <w:i w:val="false"/>
          <w:iCs/>
          <w:sz w:val="22"/>
          <w:szCs w:val="22"/>
        </w:rPr>
        <w:t>Pour le CSE</w:t>
      </w:r>
    </w:p>
    <w:p>
      <w:pPr>
        <w:pStyle w:val="Normal"/>
        <w:rPr>
          <w:sz w:val="22"/>
          <w:szCs w:val="22"/>
        </w:rPr>
      </w:pPr>
      <w:r>
        <w:rPr>
          <w:b/>
          <w:bCs/>
          <w:color w:val="000000"/>
          <w:sz w:val="22"/>
          <w:szCs w:val="22"/>
        </w:rPr>
        <w:t xml:space="preserve">Madame </w:t>
      </w:r>
      <w:r>
        <w:rPr>
          <w:b/>
          <w:bCs/>
          <w:color w:val="000000"/>
          <w:sz w:val="22"/>
          <w:szCs w:val="22"/>
        </w:rPr>
        <w:t>XXXX</w:t>
      </w:r>
    </w:p>
    <w:p>
      <w:pPr>
        <w:pStyle w:val="Normal"/>
        <w:rPr>
          <w:sz w:val="22"/>
          <w:szCs w:val="22"/>
        </w:rPr>
      </w:pPr>
      <w:r>
        <w:rPr>
          <w:b/>
          <w:bCs/>
          <w:color w:val="000000"/>
          <w:sz w:val="22"/>
          <w:szCs w:val="22"/>
        </w:rPr>
        <w:t>Elue titulaire au CSE non mandatée</w:t>
      </w:r>
    </w:p>
    <w:sectPr>
      <w:footerReference r:id="rId3" w:type="even"/>
      <w:footerReference r:id="rId4" w:type="default"/>
      <w:footerReference r:id="rId5" w:type="first"/>
      <w:type w:val="nextPage"/>
      <w:pgSz w:h="16838" w:w="11906"/>
      <w:pgMar w:bottom="1418" w:footer="794" w:gutter="0" w:header="0" w:left="1418" w:right="1559" w:top="1588"/>
      <w:pgNumType w:fmt="decimal"/>
      <w:formProt w:val="false"/>
      <w:textDirection w:val="lrTb"/>
      <w:docGrid w:charSpace="0" w:linePitch="10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auto"/>
    <w:pitch w:val="default"/>
  </w:font>
  <w:font w:name="Times New Roman Gras">
    <w:charset w:val="01"/>
    <w:family w:val="auto"/>
    <w:pitch w:val="default"/>
  </w:font>
  <w:font w:name="Arial">
    <w:charset w:val="01"/>
    <w:family w:val="auto"/>
    <w:pitch w:val="default"/>
  </w:font>
  <w:font w:name="Times">
    <w:altName w:val="Times New Roman"/>
    <w:charset w:val="01"/>
    <w:family w:val="auto"/>
    <w:pitch w:val="default"/>
  </w:font>
  <w:font w:name="Tahoma">
    <w:charset w:val="01"/>
    <w:family w:val="auto"/>
    <w:pitch w:val="default"/>
  </w:font>
  <w:font w:name="Calibri Light">
    <w:charset w:val="01"/>
    <w:family w:val="auto"/>
    <w:pitch w:val="default"/>
  </w:font>
  <w:font w:name="Marianne">
    <w:charset w:val="01"/>
    <w:family w:val="auto"/>
    <w:pitch w:val="default"/>
  </w:font>
  <w:font w:name="Helvetica">
    <w:altName w:val="Arial"/>
    <w:charset w:val="01"/>
    <w:family w:val="auto"/>
    <w:pitch w:val="default"/>
  </w:font>
  <w:font w:name="Century Gothic">
    <w:charset w:val="01"/>
    <w:family w:val="auto"/>
    <w:pitch w:val="default"/>
  </w:font>
  <w:font w:name="Cambria">
    <w:charset w:val="01"/>
    <w:family w:val="auto"/>
    <w:pitch w:val="default"/>
  </w:font>
  <w:font w:name="Calibri">
    <w:charset w:val="01"/>
    <w:family w:val="auto"/>
    <w:pitch w:val="default"/>
  </w:font>
  <w:font w:name="Verdana">
    <w:charset w:val="01"/>
    <w:family w:val="auto"/>
    <w:pitch w:val="default"/>
  </w:font>
  <w:font w:name="Aptos">
    <w:charset w:val="01"/>
    <w:family w:val="auto"/>
    <w:pitch w:val="default"/>
  </w:font>
  <w:font w:name="Times New Roman">
    <w:charset w:val="01"/>
    <w:family w:val="roman"/>
    <w:pitch w:val="variable"/>
  </w:font>
  <w:font w:name="Wingdings">
    <w:charset w:val="02"/>
    <w:family w:val="auto"/>
    <w:pitch w:val="variable"/>
  </w:font>
  <w:font w:name="Courier New">
    <w:charset w:val="01"/>
    <w:family w:val="modern"/>
    <w:pitch w:val="fixed"/>
  </w:font>
  <w:font w:name="Webdings">
    <w:charset w:val="02"/>
    <w:family w:val="roman"/>
    <w:pitch w:val="variable"/>
  </w:font>
  <w:font w:name="OpenSymbol">
    <w:altName w:val="Arial Unicode MS"/>
    <w:charset w:val="01"/>
    <w:family w:val="auto"/>
    <w:pitch w:val="default"/>
  </w:font>
  <w:font w:name="Symbol">
    <w:charset w:val="02"/>
    <w:family w:val="auto"/>
    <w:pitch w:val="default"/>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rPr/>
    </w:pPr>
    <w:r>
      <w:rPr/>
    </w:r>
  </w:p>
</w:ftr>
</file>

<file path=word/footer2.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tbl>
    <w:tblPr>
      <w:tblW w:type="dxa" w:w="4559"/>
      <w:jc w:val="left"/>
      <w:tblInd w:type="dxa" w:w="4361"/>
      <w:tblLayout w:type="fixed"/>
      <w:tblCellMar>
        <w:top w:type="dxa" w:w="0"/>
        <w:left w:type="dxa" w:w="108"/>
        <w:bottom w:type="dxa" w:w="0"/>
        <w:right w:type="dxa" w:w="108"/>
      </w:tblCellMar>
      <w:tblLook w:firstColumn="1" w:firstRow="1" w:lastColumn="0" w:lastRow="0" w:noHBand="0" w:noVBand="1" w:val="04a0"/>
    </w:tblPr>
    <w:tblGrid>
      <w:gridCol w:w="1516"/>
      <w:gridCol w:w="1571"/>
      <w:gridCol w:w="1472"/>
    </w:tblGrid>
    <w:tr>
      <w:trPr/>
      <w:tc>
        <w:tcPr>
          <w:tcW w:type="dxa" w:w="1516"/>
          <w:tcBorders>
            <w:top w:color="000000" w:space="0" w:sz="4" w:val="single"/>
            <w:left w:color="000000" w:space="0" w:sz="4" w:val="single"/>
            <w:bottom w:color="000000" w:space="0" w:sz="4" w:val="single"/>
            <w:right w:color="000000" w:space="0" w:sz="4" w:val="single"/>
          </w:tcBorders>
        </w:tcPr>
        <w:p>
          <w:pPr>
            <w:pStyle w:val="Normal"/>
            <w:rPr/>
          </w:pPr>
          <w:r>
            <w:rPr/>
            <w:t>Paraphes</w:t>
          </w:r>
        </w:p>
        <w:p>
          <w:pPr>
            <w:pStyle w:val="Normal"/>
            <w:rPr/>
          </w:pPr>
          <w:r>
            <w:rPr/>
          </w:r>
        </w:p>
      </w:tc>
      <w:tc>
        <w:tcPr>
          <w:tcW w:type="dxa" w:w="1571"/>
          <w:tcBorders>
            <w:top w:color="000000" w:space="0" w:sz="4" w:val="single"/>
            <w:left w:color="000000" w:space="0" w:sz="4" w:val="single"/>
            <w:bottom w:color="000000" w:space="0" w:sz="4" w:val="single"/>
            <w:right w:color="000000" w:space="0" w:sz="4" w:val="single"/>
          </w:tcBorders>
        </w:tcPr>
        <w:p>
          <w:pPr>
            <w:pStyle w:val="Normal"/>
            <w:rPr/>
          </w:pPr>
          <w:r>
            <w:rPr/>
          </w:r>
        </w:p>
      </w:tc>
      <w:tc>
        <w:tcPr>
          <w:tcW w:type="dxa" w:w="1472"/>
          <w:tcBorders>
            <w:top w:color="000000" w:space="0" w:sz="4" w:val="single"/>
            <w:left w:color="000000" w:space="0" w:sz="4" w:val="single"/>
            <w:bottom w:color="000000" w:space="0" w:sz="4" w:val="single"/>
            <w:right w:color="000000" w:space="0" w:sz="4" w:val="single"/>
          </w:tcBorders>
        </w:tcPr>
        <w:p>
          <w:pPr>
            <w:pStyle w:val="Normal"/>
            <w:rPr/>
          </w:pPr>
          <w:r>
            <w:rPr/>
          </w:r>
        </w:p>
      </w:tc>
    </w:tr>
  </w:tbl>
  <w:p>
    <w:pPr>
      <w:pStyle w:val="Footer"/>
      <w:rPr>
        <w:sz w:val="24"/>
      </w:rPr>
    </w:pPr>
    <w:r>
      <w:rPr>
        <w:sz w:val="24"/>
      </w:rPr>
    </w:r>
  </w:p>
  <w:p>
    <w:pPr>
      <w:pStyle w:val="Footer"/>
      <w:rPr>
        <w:sz w:val="24"/>
      </w:rPr>
    </w:pPr>
    <w:r>
      <w:rPr>
        <w:sz w:val="24"/>
      </w:rPr>
    </w:r>
  </w:p>
  <w:p>
    <w:pPr>
      <w:pStyle w:val="Footer"/>
      <w:rPr>
        <w:sz w:val="24"/>
      </w:rPr>
    </w:pPr>
    <w:r>
      <w:rPr>
        <w:sz w:val="24"/>
      </w:rPr>
    </w:r>
  </w:p>
  <w:p>
    <w:pPr>
      <w:pStyle w:val="Footer"/>
      <w:rPr/>
    </w:pPr>
    <w:r>
      <w:rPr/>
      <w:t xml:space="preserve">Page </w:t>
    </w:r>
    <w:r>
      <w:rPr>
        <w:b/>
      </w:rPr>
      <w:fldChar w:fldCharType="begin"/>
    </w:r>
    <w:r>
      <w:rPr>
        <w:b/>
      </w:rPr>
      <w:instrText xml:space="preserve"> PAGE </w:instrText>
    </w:r>
    <w:r>
      <w:rPr>
        <w:b/>
      </w:rPr>
      <w:fldChar w:fldCharType="separate"/>
    </w:r>
    <w:r>
      <w:rPr>
        <w:b/>
      </w:rPr>
      <w:t>15</w:t>
    </w:r>
    <w:r>
      <w:rPr>
        <w:b/>
      </w:rPr>
      <w:fldChar w:fldCharType="end"/>
    </w:r>
    <w:r>
      <w:rPr/>
      <w:t xml:space="preserve"> sur </w:t>
    </w:r>
    <w:r>
      <w:rPr>
        <w:b/>
      </w:rPr>
      <w:fldChar w:fldCharType="begin"/>
    </w:r>
    <w:r>
      <w:rPr>
        <w:b/>
      </w:rPr>
      <w:instrText xml:space="preserve"> NUMPAGES </w:instrText>
    </w:r>
    <w:r>
      <w:rPr>
        <w:b/>
      </w:rPr>
      <w:fldChar w:fldCharType="separate"/>
    </w:r>
    <w:r>
      <w:rPr>
        <w:b/>
      </w:rPr>
      <w:t>16</w:t>
    </w:r>
    <w:r>
      <w:rPr>
        <w:b/>
      </w:rPr>
      <w:fldChar w:fldCharType="end"/>
    </w:r>
  </w:p>
  <w:p>
    <w:pPr>
      <w:pStyle w:val="Footer"/>
      <w:jc w:val="center"/>
      <w:rPr>
        <w:b/>
        <w:bCs/>
        <w:i w:val="false"/>
        <w:i w:val="false"/>
        <w:iCs/>
      </w:rPr>
    </w:pPr>
    <w:r>
      <w:rPr>
        <w:b/>
        <w:bCs/>
        <w:i w:val="false"/>
        <w:iCs/>
      </w:rPr>
    </w:r>
  </w:p>
</w:ftr>
</file>

<file path=word/footer3.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tbl>
    <w:tblPr>
      <w:tblW w:type="dxa" w:w="4559"/>
      <w:jc w:val="left"/>
      <w:tblInd w:type="dxa" w:w="4361"/>
      <w:tblLayout w:type="fixed"/>
      <w:tblCellMar>
        <w:top w:type="dxa" w:w="0"/>
        <w:left w:type="dxa" w:w="108"/>
        <w:bottom w:type="dxa" w:w="0"/>
        <w:right w:type="dxa" w:w="108"/>
      </w:tblCellMar>
      <w:tblLook w:firstColumn="1" w:firstRow="1" w:lastColumn="0" w:lastRow="0" w:noHBand="0" w:noVBand="1" w:val="04a0"/>
    </w:tblPr>
    <w:tblGrid>
      <w:gridCol w:w="1516"/>
      <w:gridCol w:w="1571"/>
      <w:gridCol w:w="1472"/>
    </w:tblGrid>
    <w:tr>
      <w:trPr/>
      <w:tc>
        <w:tcPr>
          <w:tcW w:type="dxa" w:w="1516"/>
          <w:tcBorders>
            <w:top w:color="000000" w:space="0" w:sz="4" w:val="single"/>
            <w:left w:color="000000" w:space="0" w:sz="4" w:val="single"/>
            <w:bottom w:color="000000" w:space="0" w:sz="4" w:val="single"/>
            <w:right w:color="000000" w:space="0" w:sz="4" w:val="single"/>
          </w:tcBorders>
        </w:tcPr>
        <w:p>
          <w:pPr>
            <w:pStyle w:val="Normal"/>
            <w:rPr/>
          </w:pPr>
          <w:r>
            <w:rPr/>
            <w:t>Paraphes</w:t>
          </w:r>
        </w:p>
        <w:p>
          <w:pPr>
            <w:pStyle w:val="Normal"/>
            <w:rPr/>
          </w:pPr>
          <w:r>
            <w:rPr/>
          </w:r>
        </w:p>
      </w:tc>
      <w:tc>
        <w:tcPr>
          <w:tcW w:type="dxa" w:w="1571"/>
          <w:tcBorders>
            <w:top w:color="000000" w:space="0" w:sz="4" w:val="single"/>
            <w:left w:color="000000" w:space="0" w:sz="4" w:val="single"/>
            <w:bottom w:color="000000" w:space="0" w:sz="4" w:val="single"/>
            <w:right w:color="000000" w:space="0" w:sz="4" w:val="single"/>
          </w:tcBorders>
        </w:tcPr>
        <w:p>
          <w:pPr>
            <w:pStyle w:val="Normal"/>
            <w:rPr/>
          </w:pPr>
          <w:r>
            <w:rPr/>
          </w:r>
        </w:p>
      </w:tc>
      <w:tc>
        <w:tcPr>
          <w:tcW w:type="dxa" w:w="1472"/>
          <w:tcBorders>
            <w:top w:color="000000" w:space="0" w:sz="4" w:val="single"/>
            <w:left w:color="000000" w:space="0" w:sz="4" w:val="single"/>
            <w:bottom w:color="000000" w:space="0" w:sz="4" w:val="single"/>
            <w:right w:color="000000" w:space="0" w:sz="4" w:val="single"/>
          </w:tcBorders>
        </w:tcPr>
        <w:p>
          <w:pPr>
            <w:pStyle w:val="Normal"/>
            <w:rPr/>
          </w:pPr>
          <w:r>
            <w:rPr/>
          </w:r>
        </w:p>
      </w:tc>
    </w:tr>
  </w:tbl>
  <w:p>
    <w:pPr>
      <w:pStyle w:val="Footer"/>
      <w:rPr>
        <w:sz w:val="24"/>
      </w:rPr>
    </w:pPr>
    <w:r>
      <w:rPr>
        <w:sz w:val="24"/>
      </w:rPr>
    </w:r>
  </w:p>
  <w:p>
    <w:pPr>
      <w:pStyle w:val="Footer"/>
      <w:rPr>
        <w:sz w:val="24"/>
      </w:rPr>
    </w:pPr>
    <w:r>
      <w:rPr>
        <w:sz w:val="24"/>
      </w:rPr>
    </w:r>
  </w:p>
  <w:p>
    <w:pPr>
      <w:pStyle w:val="Footer"/>
      <w:rPr>
        <w:sz w:val="24"/>
      </w:rPr>
    </w:pPr>
    <w:r>
      <w:rPr>
        <w:sz w:val="24"/>
      </w:rPr>
    </w:r>
  </w:p>
  <w:p>
    <w:pPr>
      <w:pStyle w:val="Footer"/>
      <w:rPr/>
    </w:pPr>
    <w:r>
      <w:rPr/>
      <w:t xml:space="preserve">Page </w:t>
    </w:r>
    <w:r>
      <w:rPr>
        <w:b/>
      </w:rPr>
      <w:fldChar w:fldCharType="begin"/>
    </w:r>
    <w:r>
      <w:rPr>
        <w:b/>
      </w:rPr>
      <w:instrText xml:space="preserve"> PAGE </w:instrText>
    </w:r>
    <w:r>
      <w:rPr>
        <w:b/>
      </w:rPr>
      <w:fldChar w:fldCharType="separate"/>
    </w:r>
    <w:r>
      <w:rPr>
        <w:b/>
      </w:rPr>
      <w:t>15</w:t>
    </w:r>
    <w:r>
      <w:rPr>
        <w:b/>
      </w:rPr>
      <w:fldChar w:fldCharType="end"/>
    </w:r>
    <w:r>
      <w:rPr/>
      <w:t xml:space="preserve"> sur </w:t>
    </w:r>
    <w:r>
      <w:rPr>
        <w:b/>
      </w:rPr>
      <w:fldChar w:fldCharType="begin"/>
    </w:r>
    <w:r>
      <w:rPr>
        <w:b/>
      </w:rPr>
      <w:instrText xml:space="preserve"> NUMPAGES </w:instrText>
    </w:r>
    <w:r>
      <w:rPr>
        <w:b/>
      </w:rPr>
      <w:fldChar w:fldCharType="separate"/>
    </w:r>
    <w:r>
      <w:rPr>
        <w:b/>
      </w:rPr>
      <w:t>16</w:t>
    </w:r>
    <w:r>
      <w:rPr>
        <w:b/>
      </w:rPr>
      <w:fldChar w:fldCharType="end"/>
    </w:r>
  </w:p>
  <w:p>
    <w:pPr>
      <w:pStyle w:val="Footer"/>
      <w:jc w:val="center"/>
      <w:rPr>
        <w:b/>
        <w:bCs/>
        <w:i w:val="false"/>
        <w:i w:val="false"/>
        <w:iCs/>
      </w:rPr>
    </w:pPr>
    <w:r>
      <w:rPr>
        <w:b/>
        <w:bCs/>
        <w:i w:val="false"/>
        <w:iCs/>
      </w:rPr>
    </w: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1134" w:val="num"/>
        </w:tabs>
        <w:ind w:hanging="283" w:left="1417"/>
      </w:pPr>
      <w:rPr>
        <w:rFonts w:ascii="Times New Roman" w:cs="Times New Roman" w:hAnsi="Times New Roman"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2">
    <w:lvl w:ilvl="0">
      <w:start w:val="1"/>
      <w:numFmt w:val="bullet"/>
      <w:lvlText w:val=""/>
      <w:lvlJc w:val="left"/>
      <w:pPr>
        <w:tabs>
          <w:tab w:pos="1211" w:val="num"/>
        </w:tabs>
        <w:ind w:hanging="283" w:left="1134"/>
      </w:pPr>
      <w:rPr>
        <w:rFonts w:ascii="Wingdings" w:cs="Wingdings" w:hAnsi="Wingdings" w:hint="default"/>
      </w:rPr>
    </w:lvl>
    <w:lvl w:ilvl="1">
      <w:start w:val="1"/>
      <w:numFmt w:val="bullet"/>
      <w:lvlText w:val="o"/>
      <w:lvlJc w:val="left"/>
      <w:pPr>
        <w:tabs>
          <w:tab w:pos="2858" w:val="num"/>
        </w:tabs>
        <w:ind w:hanging="360" w:left="2858"/>
      </w:pPr>
      <w:rPr>
        <w:rFonts w:ascii="Courier New" w:cs="Courier New" w:hAnsi="Courier New" w:hint="default"/>
      </w:rPr>
    </w:lvl>
    <w:lvl w:ilvl="2">
      <w:start w:val="1"/>
      <w:numFmt w:val="bullet"/>
      <w:lvlText w:val=""/>
      <w:lvlJc w:val="left"/>
      <w:pPr>
        <w:tabs>
          <w:tab w:pos="3578" w:val="num"/>
        </w:tabs>
        <w:ind w:hanging="360" w:left="3578"/>
      </w:pPr>
      <w:rPr>
        <w:rFonts w:ascii="Wingdings" w:cs="Wingdings" w:hAnsi="Wingdings" w:hint="default"/>
      </w:rPr>
    </w:lvl>
    <w:lvl w:ilvl="3">
      <w:start w:val="1"/>
      <w:numFmt w:val="bullet"/>
      <w:lvlText w:val=""/>
      <w:lvlJc w:val="left"/>
      <w:pPr>
        <w:tabs>
          <w:tab w:pos="4298" w:val="num"/>
        </w:tabs>
        <w:ind w:hanging="360" w:left="4298"/>
      </w:pPr>
      <w:rPr>
        <w:rFonts w:ascii="Symbol" w:cs="Symbol" w:hAnsi="Symbol" w:hint="default"/>
      </w:rPr>
    </w:lvl>
    <w:lvl w:ilvl="4">
      <w:start w:val="1"/>
      <w:numFmt w:val="bullet"/>
      <w:lvlText w:val="o"/>
      <w:lvlJc w:val="left"/>
      <w:pPr>
        <w:tabs>
          <w:tab w:pos="5018" w:val="num"/>
        </w:tabs>
        <w:ind w:hanging="360" w:left="5018"/>
      </w:pPr>
      <w:rPr>
        <w:rFonts w:ascii="Courier New" w:cs="Courier New" w:hAnsi="Courier New" w:hint="default"/>
      </w:rPr>
    </w:lvl>
    <w:lvl w:ilvl="5">
      <w:start w:val="1"/>
      <w:numFmt w:val="bullet"/>
      <w:lvlText w:val=""/>
      <w:lvlJc w:val="left"/>
      <w:pPr>
        <w:tabs>
          <w:tab w:pos="5738" w:val="num"/>
        </w:tabs>
        <w:ind w:hanging="360" w:left="5738"/>
      </w:pPr>
      <w:rPr>
        <w:rFonts w:ascii="Wingdings" w:cs="Wingdings" w:hAnsi="Wingdings" w:hint="default"/>
      </w:rPr>
    </w:lvl>
    <w:lvl w:ilvl="6">
      <w:start w:val="1"/>
      <w:numFmt w:val="bullet"/>
      <w:lvlText w:val=""/>
      <w:lvlJc w:val="left"/>
      <w:pPr>
        <w:tabs>
          <w:tab w:pos="6458" w:val="num"/>
        </w:tabs>
        <w:ind w:hanging="360" w:left="6458"/>
      </w:pPr>
      <w:rPr>
        <w:rFonts w:ascii="Symbol" w:cs="Symbol" w:hAnsi="Symbol" w:hint="default"/>
      </w:rPr>
    </w:lvl>
    <w:lvl w:ilvl="7">
      <w:start w:val="1"/>
      <w:numFmt w:val="bullet"/>
      <w:lvlText w:val="o"/>
      <w:lvlJc w:val="left"/>
      <w:pPr>
        <w:tabs>
          <w:tab w:pos="7178" w:val="num"/>
        </w:tabs>
        <w:ind w:hanging="360" w:left="7178"/>
      </w:pPr>
      <w:rPr>
        <w:rFonts w:ascii="Courier New" w:cs="Courier New" w:hAnsi="Courier New" w:hint="default"/>
      </w:rPr>
    </w:lvl>
    <w:lvl w:ilvl="8">
      <w:start w:val="1"/>
      <w:numFmt w:val="bullet"/>
      <w:lvlText w:val=""/>
      <w:lvlJc w:val="left"/>
      <w:pPr>
        <w:tabs>
          <w:tab w:pos="7898" w:val="num"/>
        </w:tabs>
        <w:ind w:hanging="360" w:left="7898"/>
      </w:pPr>
      <w:rPr>
        <w:rFonts w:ascii="Wingdings" w:cs="Wingdings" w:hAnsi="Wingdings" w:hint="default"/>
      </w:rPr>
    </w:lvl>
  </w:abstractNum>
  <w:abstractNum w:abstractNumId="3">
    <w:lvl w:ilvl="0">
      <w:start w:val="1"/>
      <w:numFmt w:val="decimal"/>
      <w:lvlText w:val="%1."/>
      <w:lvlJc w:val="left"/>
      <w:pPr>
        <w:tabs>
          <w:tab w:pos="1247" w:val="num"/>
        </w:tabs>
        <w:ind w:hanging="396" w:left="1247"/>
      </w:pPr>
      <w:rPr/>
    </w:lvl>
    <w:lvl w:ilvl="1">
      <w:start w:val="1"/>
      <w:numFmt w:val="lowerLetter"/>
      <w:lvlText w:val="%2."/>
      <w:lvlJc w:val="left"/>
      <w:pPr>
        <w:tabs>
          <w:tab w:pos="1080" w:val="num"/>
        </w:tabs>
        <w:ind w:hanging="360" w:left="1080"/>
      </w:pPr>
      <w:rPr/>
    </w:lvl>
    <w:lvl w:ilvl="2">
      <w:start w:val="1"/>
      <w:numFmt w:val="lowerRoman"/>
      <w:lvlText w:val="%3."/>
      <w:lvlJc w:val="right"/>
      <w:pPr>
        <w:tabs>
          <w:tab w:pos="1800" w:val="num"/>
        </w:tabs>
        <w:ind w:hanging="180" w:left="1800"/>
      </w:pPr>
      <w:rPr/>
    </w:lvl>
    <w:lvl w:ilvl="3">
      <w:start w:val="1"/>
      <w:numFmt w:val="decimal"/>
      <w:lvlText w:val="%4."/>
      <w:lvlJc w:val="left"/>
      <w:pPr>
        <w:tabs>
          <w:tab w:pos="2520" w:val="num"/>
        </w:tabs>
        <w:ind w:hanging="360" w:left="2520"/>
      </w:pPr>
      <w:rPr/>
    </w:lvl>
    <w:lvl w:ilvl="4">
      <w:start w:val="1"/>
      <w:numFmt w:val="lowerLetter"/>
      <w:lvlText w:val="%5."/>
      <w:lvlJc w:val="left"/>
      <w:pPr>
        <w:tabs>
          <w:tab w:pos="3240" w:val="num"/>
        </w:tabs>
        <w:ind w:hanging="360" w:left="3240"/>
      </w:pPr>
      <w:rPr/>
    </w:lvl>
    <w:lvl w:ilvl="5">
      <w:start w:val="1"/>
      <w:numFmt w:val="lowerRoman"/>
      <w:lvlText w:val="%6."/>
      <w:lvlJc w:val="right"/>
      <w:pPr>
        <w:tabs>
          <w:tab w:pos="3960" w:val="num"/>
        </w:tabs>
        <w:ind w:hanging="180" w:left="3960"/>
      </w:pPr>
      <w:rPr/>
    </w:lvl>
    <w:lvl w:ilvl="6">
      <w:start w:val="1"/>
      <w:numFmt w:val="decimal"/>
      <w:lvlText w:val="%7."/>
      <w:lvlJc w:val="left"/>
      <w:pPr>
        <w:tabs>
          <w:tab w:pos="4680" w:val="num"/>
        </w:tabs>
        <w:ind w:hanging="360" w:left="4680"/>
      </w:pPr>
      <w:rPr/>
    </w:lvl>
    <w:lvl w:ilvl="7">
      <w:start w:val="1"/>
      <w:numFmt w:val="lowerLetter"/>
      <w:lvlText w:val="%8."/>
      <w:lvlJc w:val="left"/>
      <w:pPr>
        <w:tabs>
          <w:tab w:pos="5400" w:val="num"/>
        </w:tabs>
        <w:ind w:hanging="360" w:left="5400"/>
      </w:pPr>
      <w:rPr/>
    </w:lvl>
    <w:lvl w:ilvl="8">
      <w:start w:val="1"/>
      <w:numFmt w:val="lowerRoman"/>
      <w:lvlText w:val="%9."/>
      <w:lvlJc w:val="right"/>
      <w:pPr>
        <w:tabs>
          <w:tab w:pos="6120" w:val="num"/>
        </w:tabs>
        <w:ind w:hanging="180" w:left="6120"/>
      </w:pPr>
      <w:rPr/>
    </w:lvl>
  </w:abstractNum>
  <w:abstractNum w:abstractNumId="4">
    <w:lvl w:ilvl="0">
      <w:start w:val="1"/>
      <w:numFmt w:val="bullet"/>
      <w:lvlText w:val=""/>
      <w:lvlJc w:val="left"/>
      <w:pPr>
        <w:tabs>
          <w:tab w:pos="1211" w:val="num"/>
        </w:tabs>
        <w:ind w:hanging="284" w:left="1135"/>
      </w:pPr>
      <w:rPr>
        <w:rFonts w:ascii="Webdings" w:cs="Webdings" w:hAnsi="Webdings" w:hint="default"/>
        <w:sz w:val="20"/>
        <w:i w:val="false"/>
        <w:b w:val="false"/>
      </w:rPr>
    </w:lvl>
    <w:lvl w:ilvl="1">
      <w:start w:val="1"/>
      <w:numFmt w:val="bullet"/>
      <w:lvlText w:val=""/>
      <w:lvlJc w:val="left"/>
      <w:pPr>
        <w:tabs>
          <w:tab w:pos="1440" w:val="num"/>
        </w:tabs>
        <w:ind w:hanging="360" w:left="1440"/>
      </w:pPr>
      <w:rPr>
        <w:rFonts w:ascii="Symbol" w:cs="Symbol" w:hAnsi="Symbol" w:hint="default"/>
      </w:rPr>
    </w:lvl>
    <w:lvl w:ilvl="2">
      <w:start w:val="1"/>
      <w:numFmt w:val="bullet"/>
      <w:lvlText w:val=""/>
      <w:lvlJc w:val="left"/>
      <w:pPr>
        <w:tabs>
          <w:tab w:pos="2160" w:val="num"/>
        </w:tabs>
        <w:ind w:hanging="360" w:left="2160"/>
      </w:pPr>
      <w:rPr>
        <w:rFonts w:ascii="Wingdings" w:cs="Wingdings" w:hAnsi="Wingdings" w:hint="default"/>
      </w:rPr>
    </w:lvl>
    <w:lvl w:ilvl="3">
      <w:start w:val="1"/>
      <w:numFmt w:val="bullet"/>
      <w:lvlText w:val=""/>
      <w:lvlJc w:val="left"/>
      <w:pPr>
        <w:tabs>
          <w:tab w:pos="2880" w:val="num"/>
        </w:tabs>
        <w:ind w:hanging="360" w:left="2880"/>
      </w:pPr>
      <w:rPr>
        <w:rFonts w:ascii="Symbol" w:cs="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cs="Wingdings" w:hAnsi="Wingdings" w:hint="default"/>
      </w:rPr>
    </w:lvl>
    <w:lvl w:ilvl="6">
      <w:start w:val="1"/>
      <w:numFmt w:val="bullet"/>
      <w:lvlText w:val=""/>
      <w:lvlJc w:val="left"/>
      <w:pPr>
        <w:tabs>
          <w:tab w:pos="5040" w:val="num"/>
        </w:tabs>
        <w:ind w:hanging="360" w:left="5040"/>
      </w:pPr>
      <w:rPr>
        <w:rFonts w:ascii="Symbol" w:cs="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cs="Wingdings" w:hAnsi="Wingdings" w:hint="default"/>
      </w:rPr>
    </w:lvl>
  </w:abstractNum>
  <w:abstractNum w:abstractNumId="5">
    <w:lvl w:ilvl="0">
      <w:start w:val="1"/>
      <w:numFmt w:val="bullet"/>
      <w:lvlText w:val=""/>
      <w:lvlJc w:val="left"/>
      <w:pPr>
        <w:tabs>
          <w:tab w:pos="1211" w:val="num"/>
        </w:tabs>
        <w:ind w:hanging="283" w:left="1134"/>
      </w:pPr>
      <w:rPr>
        <w:rFonts w:ascii="Symbol" w:cs="Symbol" w:hAnsi="Symbol" w:hint="default"/>
      </w:rPr>
    </w:lvl>
    <w:lvl w:ilvl="1">
      <w:start w:val="1"/>
      <w:numFmt w:val="bullet"/>
      <w:lvlText w:val="o"/>
      <w:lvlJc w:val="left"/>
      <w:pPr>
        <w:tabs>
          <w:tab w:pos="1440" w:val="num"/>
        </w:tabs>
        <w:ind w:hanging="360" w:left="1440"/>
      </w:pPr>
      <w:rPr>
        <w:rFonts w:ascii="Courier New" w:cs="Courier New" w:hAnsi="Courier New" w:hint="default"/>
      </w:rPr>
    </w:lvl>
    <w:lvl w:ilvl="2">
      <w:start w:val="1"/>
      <w:numFmt w:val="bullet"/>
      <w:lvlText w:val=""/>
      <w:lvlJc w:val="left"/>
      <w:pPr>
        <w:tabs>
          <w:tab w:pos="2160" w:val="num"/>
        </w:tabs>
        <w:ind w:hanging="360" w:left="2160"/>
      </w:pPr>
      <w:rPr>
        <w:rFonts w:ascii="Wingdings" w:cs="Wingdings" w:hAnsi="Wingdings" w:hint="default"/>
      </w:rPr>
    </w:lvl>
    <w:lvl w:ilvl="3">
      <w:start w:val="1"/>
      <w:numFmt w:val="bullet"/>
      <w:lvlText w:val=""/>
      <w:lvlJc w:val="left"/>
      <w:pPr>
        <w:tabs>
          <w:tab w:pos="2880" w:val="num"/>
        </w:tabs>
        <w:ind w:hanging="360" w:left="2880"/>
      </w:pPr>
      <w:rPr>
        <w:rFonts w:ascii="Symbol" w:cs="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cs="Wingdings" w:hAnsi="Wingdings" w:hint="default"/>
      </w:rPr>
    </w:lvl>
    <w:lvl w:ilvl="6">
      <w:start w:val="1"/>
      <w:numFmt w:val="bullet"/>
      <w:lvlText w:val=""/>
      <w:lvlJc w:val="left"/>
      <w:pPr>
        <w:tabs>
          <w:tab w:pos="5040" w:val="num"/>
        </w:tabs>
        <w:ind w:hanging="360" w:left="5040"/>
      </w:pPr>
      <w:rPr>
        <w:rFonts w:ascii="Symbol" w:cs="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cs="Wingdings" w:hAnsi="Wingdings" w:hint="default"/>
      </w:rPr>
    </w:lvl>
  </w:abstractNum>
  <w:abstractNum w:abstractNumId="6">
    <w:lvl w:ilvl="0">
      <w:start w:val="1"/>
      <w:numFmt w:val="upperRoman"/>
      <w:suff w:val="space"/>
      <w:lvlText w:val="PARTIE %1"/>
      <w:lvlJc w:val="left"/>
      <w:pPr>
        <w:tabs>
          <w:tab w:pos="0" w:val="num"/>
        </w:tabs>
        <w:ind w:hanging="0" w:left="0"/>
      </w:pPr>
      <w:rPr/>
    </w:lvl>
    <w:lvl w:ilvl="1">
      <w:start w:val="1"/>
      <w:numFmt w:val="decimal"/>
      <w:suff w:val="space"/>
      <w:lvlText w:val="Chapitre %2"/>
      <w:lvlJc w:val="left"/>
      <w:pPr>
        <w:tabs>
          <w:tab w:pos="0" w:val="num"/>
        </w:tabs>
        <w:ind w:hanging="0" w:left="0"/>
      </w:pPr>
      <w:rPr/>
    </w:lvl>
    <w:lvl w:ilvl="2">
      <w:start w:val="1"/>
      <w:numFmt w:val="decimal"/>
      <w:lvlText w:val="%3."/>
      <w:lvlJc w:val="left"/>
      <w:pPr>
        <w:tabs>
          <w:tab w:pos="709" w:val="num"/>
        </w:tabs>
        <w:ind w:hanging="567" w:left="709"/>
      </w:pPr>
      <w:rPr/>
    </w:lvl>
    <w:lvl w:ilvl="3">
      <w:start w:val="1"/>
      <w:numFmt w:val="decimal"/>
      <w:lvlText w:val="%3.%4."/>
      <w:lvlJc w:val="left"/>
      <w:pPr>
        <w:tabs>
          <w:tab w:pos="1702" w:val="num"/>
        </w:tabs>
        <w:ind w:hanging="567" w:left="1702"/>
      </w:pPr>
      <w:rPr/>
    </w:lvl>
    <w:lvl w:ilvl="4">
      <w:start w:val="1"/>
      <w:numFmt w:val="decimal"/>
      <w:lvlText w:val="%3.%4.%5."/>
      <w:lvlJc w:val="left"/>
      <w:pPr>
        <w:tabs>
          <w:tab w:pos="992" w:val="num"/>
        </w:tabs>
        <w:ind w:hanging="850" w:left="992"/>
      </w:pPr>
      <w:rPr/>
    </w:lvl>
    <w:lvl w:ilvl="5">
      <w:start w:val="1"/>
      <w:numFmt w:val="decimal"/>
      <w:lvlText w:val="%3.%4.%5.%6."/>
      <w:lvlJc w:val="left"/>
      <w:pPr>
        <w:tabs>
          <w:tab w:pos="992" w:val="num"/>
        </w:tabs>
        <w:ind w:hanging="850" w:left="992"/>
      </w:pPr>
      <w:rPr/>
    </w:lvl>
    <w:lvl w:ilvl="6">
      <w:start w:val="1"/>
      <w:numFmt w:val="upperLetter"/>
      <w:lvlText w:val="%7 -"/>
      <w:lvlJc w:val="left"/>
      <w:pPr>
        <w:tabs>
          <w:tab w:pos="1211" w:val="num"/>
        </w:tabs>
        <w:ind w:hanging="141" w:left="992"/>
      </w:pPr>
      <w:rPr/>
    </w:lvl>
    <w:lvl w:ilvl="7">
      <w:start w:val="1"/>
      <w:numFmt w:val="lowerLetter"/>
      <w:lvlText w:val="%8)"/>
      <w:lvlJc w:val="left"/>
      <w:pPr>
        <w:tabs>
          <w:tab w:pos="1211" w:val="num"/>
        </w:tabs>
        <w:ind w:hanging="141" w:left="992"/>
      </w:pPr>
      <w:rPr/>
    </w:lvl>
    <w:lvl w:ilvl="8">
      <w:start w:val="1"/>
      <w:numFmt w:val="none"/>
      <w:suff w:val="nothing"/>
      <w:lvlText w:val=""/>
      <w:lvlJc w:val="right"/>
      <w:pPr>
        <w:tabs>
          <w:tab w:pos="1584" w:val="num"/>
        </w:tabs>
        <w:ind w:hanging="144" w:left="1584"/>
      </w:pPr>
      <w:rPr/>
    </w:lvl>
  </w:abstractNum>
  <w:abstractNum w:abstractNumId="7">
    <w:lvl w:ilvl="0">
      <w:start w:val="1"/>
      <w:numFmt w:val="decimal"/>
      <w:lvlText w:val="Article %1"/>
      <w:lvlJc w:val="left"/>
      <w:pPr>
        <w:tabs>
          <w:tab w:pos="1418" w:val="num"/>
        </w:tabs>
        <w:ind w:hanging="1418" w:left="1418"/>
      </w:pPr>
      <w:rPr/>
    </w:lvl>
    <w:lvl w:ilvl="1">
      <w:start w:val="1"/>
      <w:numFmt w:val="none"/>
      <w:suff w:val="nothing"/>
      <w:lvlText w:val=""/>
      <w:lvlJc w:val="left"/>
      <w:pPr>
        <w:tabs>
          <w:tab w:pos="0" w:val="num"/>
        </w:tabs>
        <w:ind w:hanging="0" w:left="0"/>
      </w:pPr>
      <w:rPr/>
    </w:lvl>
    <w:lvl w:ilvl="2">
      <w:start w:val="1"/>
      <w:numFmt w:val="none"/>
      <w:suff w:val="nothing"/>
      <w:lvlText w:val=""/>
      <w:lvlJc w:val="left"/>
      <w:pPr>
        <w:tabs>
          <w:tab w:pos="0" w:val="num"/>
        </w:tabs>
        <w:ind w:hanging="0" w:left="0"/>
      </w:pPr>
      <w:rPr/>
    </w:lvl>
    <w:lvl w:ilvl="3">
      <w:start w:val="1"/>
      <w:numFmt w:val="none"/>
      <w:suff w:val="nothing"/>
      <w:lvlText w:val=""/>
      <w:lvlJc w:val="left"/>
      <w:pPr>
        <w:tabs>
          <w:tab w:pos="0" w:val="num"/>
        </w:tabs>
        <w:ind w:hanging="0" w:left="0"/>
      </w:pPr>
      <w:rPr/>
    </w:lvl>
    <w:lvl w:ilvl="4">
      <w:start w:val="1"/>
      <w:numFmt w:val="none"/>
      <w:suff w:val="nothing"/>
      <w:lvlText w:val=""/>
      <w:lvlJc w:val="left"/>
      <w:pPr>
        <w:tabs>
          <w:tab w:pos="0" w:val="num"/>
        </w:tabs>
        <w:ind w:hanging="0" w:left="0"/>
      </w:pPr>
      <w:rPr/>
    </w:lvl>
    <w:lvl w:ilvl="5">
      <w:start w:val="1"/>
      <w:numFmt w:val="none"/>
      <w:suff w:val="nothing"/>
      <w:lvlText w:val=""/>
      <w:lvlJc w:val="left"/>
      <w:pPr>
        <w:tabs>
          <w:tab w:pos="0" w:val="num"/>
        </w:tabs>
        <w:ind w:hanging="0" w:left="0"/>
      </w:pPr>
      <w:rPr/>
    </w:lvl>
    <w:lvl w:ilvl="6">
      <w:start w:val="1"/>
      <w:numFmt w:val="none"/>
      <w:suff w:val="nothing"/>
      <w:lvlText w:val=""/>
      <w:lvlJc w:val="left"/>
      <w:pPr>
        <w:tabs>
          <w:tab w:pos="0" w:val="num"/>
        </w:tabs>
        <w:ind w:hanging="0" w:left="0"/>
      </w:pPr>
      <w:rPr/>
    </w:lvl>
    <w:lvl w:ilvl="7">
      <w:start w:val="1"/>
      <w:numFmt w:val="none"/>
      <w:suff w:val="nothing"/>
      <w:lvlText w:val=""/>
      <w:lvlJc w:val="left"/>
      <w:pPr>
        <w:tabs>
          <w:tab w:pos="0" w:val="num"/>
        </w:tabs>
        <w:ind w:hanging="0" w:left="0"/>
      </w:pPr>
      <w:rPr/>
    </w:lvl>
    <w:lvl w:ilvl="8">
      <w:start w:val="1"/>
      <w:numFmt w:val="none"/>
      <w:suff w:val="nothing"/>
      <w:lvlText w:val=""/>
      <w:lvlJc w:val="left"/>
      <w:pPr>
        <w:tabs>
          <w:tab w:pos="0" w:val="num"/>
        </w:tabs>
        <w:ind w:hanging="0" w:left="0"/>
      </w:pPr>
      <w:rPr/>
    </w:lvl>
  </w:abstractNum>
  <w:abstractNum w:abstractNumId="8">
    <w:lvl w:ilvl="0">
      <w:numFmt w:val="bullet"/>
      <w:lvlText w:val="-"/>
      <w:lvlJc w:val="left"/>
      <w:pPr>
        <w:tabs>
          <w:tab w:pos="288" w:val="num"/>
        </w:tabs>
        <w:ind w:hanging="288" w:left="936"/>
      </w:pPr>
      <w:rPr>
        <w:rFonts w:ascii="Symbol" w:cs="Symbol" w:hAnsi="Symbol" w:hint="default"/>
        <w:sz w:val="20"/>
        <w:spacing w:val="-1"/>
        <w:b/>
        <w:szCs w:val="20"/>
        <w:bCs/>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9">
    <w:lvl w:ilvl="0">
      <w:start w:val="1"/>
      <w:numFmt w:val="decimal"/>
      <w:lvlText w:val="ARTICLE %1 - "/>
      <w:lvlJc w:val="left"/>
      <w:pPr>
        <w:tabs>
          <w:tab w:pos="567" w:val="num"/>
        </w:tabs>
        <w:ind w:hanging="0" w:left="0"/>
      </w:pPr>
      <w:rPr>
        <w:caps/>
        <w:sz w:val="28"/>
        <w:i w:val="false"/>
        <w:u w:val="none"/>
        <w:b/>
        <w:rFonts w:ascii="Times New Roman" w:hAnsi="Times New Roman"/>
      </w:rPr>
    </w:lvl>
    <w:lvl w:ilvl="1">
      <w:start w:val="1"/>
      <w:numFmt w:val="decimal"/>
      <w:lvlText w:val="%1.%2 - "/>
      <w:lvlJc w:val="left"/>
      <w:pPr>
        <w:tabs>
          <w:tab w:pos="508" w:val="num"/>
        </w:tabs>
        <w:ind w:hanging="508" w:left="508"/>
      </w:pPr>
      <w:rPr>
        <w:smallCaps w:val="false"/>
        <w:caps w:val="false"/>
        <w:sz w:val="24"/>
        <w:i w:val="false"/>
        <w:b/>
        <w:rFonts w:ascii="Times New Roman" w:hAnsi="Times New Roman"/>
      </w:rPr>
    </w:lvl>
    <w:lvl w:ilvl="2">
      <w:start w:val="1"/>
      <w:numFmt w:val="decimal"/>
      <w:lvlText w:val="%1.%2.%3 - "/>
      <w:lvlJc w:val="left"/>
      <w:pPr>
        <w:tabs>
          <w:tab w:pos="1287" w:val="num"/>
        </w:tabs>
        <w:ind w:hanging="657" w:left="1224"/>
      </w:pPr>
      <w:rPr>
        <w:sz w:val="24"/>
        <w:i/>
        <w:b/>
        <w:rFonts w:ascii="Times New Roman" w:hAnsi="Times New Roman"/>
      </w:rPr>
    </w:lvl>
    <w:lvl w:ilvl="3">
      <w:start w:val="1"/>
      <w:numFmt w:val="decimal"/>
      <w:lvlText w:val="%1.%2.%3.%4 - "/>
      <w:lvlJc w:val="left"/>
      <w:pPr>
        <w:tabs>
          <w:tab w:pos="1728" w:val="num"/>
        </w:tabs>
        <w:ind w:hanging="877" w:left="1728"/>
      </w:pPr>
      <w:rPr>
        <w:sz w:val="24"/>
        <w:i w:val="false"/>
        <w:b w:val="false"/>
        <w:rFonts w:ascii="Times New Roman" w:hAnsi="Times New Roman"/>
      </w:rPr>
    </w:lvl>
    <w:lvl w:ilvl="4">
      <w:start w:val="1"/>
      <w:numFmt w:val="decimal"/>
      <w:lvlText w:val="%1.%2.%3.%4.%5."/>
      <w:lvlJc w:val="left"/>
      <w:pPr>
        <w:tabs>
          <w:tab w:pos="2232" w:val="num"/>
        </w:tabs>
        <w:ind w:hanging="1098" w:left="2232"/>
      </w:pPr>
      <w:rPr/>
    </w:lvl>
    <w:lvl w:ilvl="5">
      <w:start w:val="1"/>
      <w:numFmt w:val="decimal"/>
      <w:lvlText w:val="%1.%2.%3.%4.%5.%6."/>
      <w:lvlJc w:val="left"/>
      <w:pPr>
        <w:tabs>
          <w:tab w:pos="2880" w:val="num"/>
        </w:tabs>
        <w:ind w:hanging="936" w:left="2736"/>
      </w:pPr>
      <w:rPr/>
    </w:lvl>
    <w:lvl w:ilvl="6">
      <w:start w:val="1"/>
      <w:numFmt w:val="decimal"/>
      <w:lvlText w:val="%1.%2.%3.%4.%5.%6.%7."/>
      <w:lvlJc w:val="left"/>
      <w:pPr>
        <w:tabs>
          <w:tab w:pos="3600" w:val="num"/>
        </w:tabs>
        <w:ind w:hanging="1080" w:left="3240"/>
      </w:pPr>
      <w:rPr/>
    </w:lvl>
    <w:lvl w:ilvl="7">
      <w:start w:val="1"/>
      <w:numFmt w:val="decimal"/>
      <w:lvlText w:val="%1.%2.%3.%4.%5.%6.%7.%8."/>
      <w:lvlJc w:val="left"/>
      <w:pPr>
        <w:tabs>
          <w:tab w:pos="3960" w:val="num"/>
        </w:tabs>
        <w:ind w:hanging="1224" w:left="3744"/>
      </w:pPr>
      <w:rPr/>
    </w:lvl>
    <w:lvl w:ilvl="8">
      <w:start w:val="1"/>
      <w:numFmt w:val="decimal"/>
      <w:lvlText w:val="%1.%2.%3.%4.%5.%6.%7.%8.%9."/>
      <w:lvlJc w:val="left"/>
      <w:pPr>
        <w:tabs>
          <w:tab w:pos="4680" w:val="num"/>
        </w:tabs>
        <w:ind w:hanging="1440" w:left="4320"/>
      </w:pPr>
      <w:rPr/>
    </w:lvl>
  </w:abstractNum>
  <w:abstractNum w:abstractNumId="10">
    <w:lvl w:ilvl="0">
      <w:start w:val="1"/>
      <w:numFmt w:val="decimal"/>
      <w:lvlText w:val="ARTICLE %1 - "/>
      <w:lvlJc w:val="left"/>
      <w:pPr>
        <w:tabs>
          <w:tab w:pos="0" w:val="num"/>
        </w:tabs>
        <w:ind w:hanging="0" w:left="1275"/>
      </w:pPr>
      <w:rPr/>
    </w:lvl>
    <w:lvl w:ilvl="1">
      <w:start w:val="1"/>
      <w:numFmt w:val="decimal"/>
      <w:lvlText w:val="%1.%2 -"/>
      <w:lvlJc w:val="left"/>
      <w:pPr>
        <w:tabs>
          <w:tab w:pos="0" w:val="num"/>
        </w:tabs>
        <w:ind w:hanging="0" w:left="1560"/>
      </w:pPr>
      <w:rPr>
        <w:u w:val="none"/>
      </w:rPr>
    </w:lvl>
    <w:lvl w:ilvl="2">
      <w:start w:val="1"/>
      <w:numFmt w:val="decimal"/>
      <w:lvlText w:val="3.2.%3 "/>
      <w:lvlJc w:val="right"/>
      <w:pPr>
        <w:tabs>
          <w:tab w:pos="0" w:val="num"/>
        </w:tabs>
        <w:ind w:hanging="360" w:left="2496"/>
      </w:pPr>
      <w:rPr/>
    </w:lvl>
    <w:lvl w:ilvl="3">
      <w:start w:val="1"/>
      <w:numFmt w:val="decimal"/>
      <w:lvlText w:val="(%4)"/>
      <w:lvlJc w:val="left"/>
      <w:pPr>
        <w:tabs>
          <w:tab w:pos="0" w:val="num"/>
        </w:tabs>
        <w:ind w:hanging="360" w:left="2856"/>
      </w:pPr>
      <w:rPr/>
    </w:lvl>
    <w:lvl w:ilvl="4">
      <w:start w:val="1"/>
      <w:numFmt w:val="lowerLetter"/>
      <w:lvlText w:val="(%5)"/>
      <w:lvlJc w:val="left"/>
      <w:pPr>
        <w:tabs>
          <w:tab w:pos="0" w:val="num"/>
        </w:tabs>
        <w:ind w:hanging="360" w:left="3216"/>
      </w:pPr>
      <w:rPr/>
    </w:lvl>
    <w:lvl w:ilvl="5">
      <w:start w:val="1"/>
      <w:numFmt w:val="lowerRoman"/>
      <w:lvlText w:val="(%6)"/>
      <w:lvlJc w:val="left"/>
      <w:pPr>
        <w:tabs>
          <w:tab w:pos="0" w:val="num"/>
        </w:tabs>
        <w:ind w:hanging="360" w:left="3576"/>
      </w:pPr>
      <w:rPr/>
    </w:lvl>
    <w:lvl w:ilvl="6">
      <w:start w:val="1"/>
      <w:numFmt w:val="decimal"/>
      <w:lvlText w:val="%7."/>
      <w:lvlJc w:val="left"/>
      <w:pPr>
        <w:tabs>
          <w:tab w:pos="0" w:val="num"/>
        </w:tabs>
        <w:ind w:hanging="360" w:left="3936"/>
      </w:pPr>
      <w:rPr/>
    </w:lvl>
    <w:lvl w:ilvl="7">
      <w:start w:val="1"/>
      <w:numFmt w:val="lowerLetter"/>
      <w:lvlText w:val="%8."/>
      <w:lvlJc w:val="left"/>
      <w:pPr>
        <w:tabs>
          <w:tab w:pos="0" w:val="num"/>
        </w:tabs>
        <w:ind w:hanging="360" w:left="4296"/>
      </w:pPr>
      <w:rPr/>
    </w:lvl>
    <w:lvl w:ilvl="8">
      <w:start w:val="1"/>
      <w:numFmt w:val="lowerRoman"/>
      <w:lvlText w:val="%9."/>
      <w:lvlJc w:val="left"/>
      <w:pPr>
        <w:tabs>
          <w:tab w:pos="0" w:val="num"/>
        </w:tabs>
        <w:ind w:hanging="360" w:left="4656"/>
      </w:pPr>
      <w:rPr/>
    </w:lvl>
  </w:abstractNum>
  <w:abstractNum w:abstractNumId="11">
    <w:lvl w:ilvl="0">
      <w:start w:val="5"/>
      <w:numFmt w:val="decimal"/>
      <w:lvlText w:val="%1."/>
      <w:lvlJc w:val="left"/>
      <w:pPr>
        <w:tabs>
          <w:tab w:pos="0" w:val="num"/>
        </w:tabs>
        <w:ind w:hanging="840" w:left="840"/>
      </w:pPr>
      <w:rPr/>
    </w:lvl>
    <w:lvl w:ilvl="1">
      <w:start w:val="2"/>
      <w:numFmt w:val="decimal"/>
      <w:lvlText w:val="%1.%2."/>
      <w:lvlJc w:val="left"/>
      <w:pPr>
        <w:tabs>
          <w:tab w:pos="0" w:val="num"/>
        </w:tabs>
        <w:ind w:hanging="840" w:left="840"/>
      </w:pPr>
      <w:rPr/>
    </w:lvl>
    <w:lvl w:ilvl="2">
      <w:start w:val="10"/>
      <w:numFmt w:val="decimal"/>
      <w:lvlText w:val="%1.%2.%3."/>
      <w:lvlJc w:val="left"/>
      <w:pPr>
        <w:tabs>
          <w:tab w:pos="0" w:val="num"/>
        </w:tabs>
        <w:ind w:hanging="840" w:left="840"/>
      </w:pPr>
      <w:rPr/>
    </w:lvl>
    <w:lvl w:ilvl="3">
      <w:start w:val="1"/>
      <w:numFmt w:val="bullet"/>
      <w:lvlText w:val="o"/>
      <w:lvlJc w:val="left"/>
      <w:pPr>
        <w:tabs>
          <w:tab w:pos="0" w:val="num"/>
        </w:tabs>
        <w:ind w:hanging="840" w:left="840"/>
      </w:pPr>
      <w:rPr>
        <w:rFonts w:ascii="OpenSymbol" w:cs="OpenSymbol" w:hAnsi="OpenSymbol" w:hint="default"/>
      </w:rPr>
    </w:lvl>
    <w:lvl w:ilvl="4">
      <w:start w:val="1"/>
      <w:numFmt w:val="decimal"/>
      <w:lvlText w:val="%1.%2.%3.%4.%5."/>
      <w:lvlJc w:val="left"/>
      <w:pPr>
        <w:tabs>
          <w:tab w:pos="0" w:val="num"/>
        </w:tabs>
        <w:ind w:hanging="1080" w:left="1080"/>
      </w:pPr>
      <w:rPr/>
    </w:lvl>
    <w:lvl w:ilvl="5">
      <w:start w:val="1"/>
      <w:numFmt w:val="decimal"/>
      <w:lvlText w:val="%1.%2.%3.%4.%5.%6."/>
      <w:lvlJc w:val="left"/>
      <w:pPr>
        <w:tabs>
          <w:tab w:pos="0" w:val="num"/>
        </w:tabs>
        <w:ind w:hanging="1080" w:left="1080"/>
      </w:pPr>
      <w:rPr/>
    </w:lvl>
    <w:lvl w:ilvl="6">
      <w:start w:val="1"/>
      <w:numFmt w:val="decimal"/>
      <w:lvlText w:val="%1.%2.%3.%4.%5.%6.%7."/>
      <w:lvlJc w:val="left"/>
      <w:pPr>
        <w:tabs>
          <w:tab w:pos="0" w:val="num"/>
        </w:tabs>
        <w:ind w:hanging="1440" w:left="1440"/>
      </w:pPr>
      <w:rPr/>
    </w:lvl>
    <w:lvl w:ilvl="7">
      <w:start w:val="1"/>
      <w:numFmt w:val="decimal"/>
      <w:lvlText w:val="%1.%2.%3.%4.%5.%6.%7.%8."/>
      <w:lvlJc w:val="left"/>
      <w:pPr>
        <w:tabs>
          <w:tab w:pos="0" w:val="num"/>
        </w:tabs>
        <w:ind w:hanging="1440" w:left="1440"/>
      </w:pPr>
      <w:rPr/>
    </w:lvl>
    <w:lvl w:ilvl="8">
      <w:start w:val="1"/>
      <w:numFmt w:val="decimal"/>
      <w:lvlText w:val="%1.%2.%3.%4.%5.%6.%7.%8.%9."/>
      <w:lvlJc w:val="left"/>
      <w:pPr>
        <w:tabs>
          <w:tab w:pos="0" w:val="num"/>
        </w:tabs>
        <w:ind w:hanging="1800" w:left="1800"/>
      </w:pPr>
      <w:rPr/>
    </w:lvl>
  </w:abstractNum>
  <w:abstractNum w:abstractNumId="12">
    <w:lvl w:ilvl="0">
      <w:start w:val="2"/>
      <w:numFmt w:val="decimal"/>
      <w:lvlText w:val="%1."/>
      <w:lvlJc w:val="left"/>
      <w:pPr>
        <w:tabs>
          <w:tab w:pos="0" w:val="num"/>
        </w:tabs>
        <w:ind w:hanging="360" w:left="720"/>
      </w:pPr>
      <w:rPr/>
    </w:lvl>
    <w:lvl w:ilvl="1">
      <w:start w:val="1"/>
      <w:numFmt w:val="lowerLetter"/>
      <w:lvlText w:val="%2."/>
      <w:lvlJc w:val="left"/>
      <w:pPr>
        <w:tabs>
          <w:tab w:pos="0" w:val="num"/>
        </w:tabs>
        <w:ind w:hanging="360" w:left="1440"/>
      </w:pPr>
      <w:rPr/>
    </w:lvl>
    <w:lvl w:ilvl="2">
      <w:start w:val="2"/>
      <w:numFmt w:val="bullet"/>
      <w:lvlText w:val="-"/>
      <w:lvlJc w:val="left"/>
      <w:pPr>
        <w:tabs>
          <w:tab w:pos="0" w:val="num"/>
        </w:tabs>
        <w:ind w:hanging="360" w:left="2344"/>
      </w:pPr>
      <w:rPr>
        <w:rFonts w:ascii="Times New Roman" w:cs="Times New Roman" w:hAnsi="Times New Roman" w:hint="default"/>
      </w:rPr>
    </w:lvl>
    <w:lvl w:ilvl="3">
      <w:start w:val="1"/>
      <w:numFmt w:val="decimal"/>
      <w:lvlText w:val="%4."/>
      <w:lvlJc w:val="left"/>
      <w:pPr>
        <w:tabs>
          <w:tab w:pos="0" w:val="num"/>
        </w:tabs>
        <w:ind w:hanging="360" w:left="2880"/>
      </w:pPr>
      <w:rPr/>
    </w:lvl>
    <w:lvl w:ilvl="4">
      <w:start w:val="1"/>
      <w:numFmt w:val="lowerLetter"/>
      <w:lvlText w:val="%5."/>
      <w:lvlJc w:val="left"/>
      <w:pPr>
        <w:tabs>
          <w:tab w:pos="0" w:val="num"/>
        </w:tabs>
        <w:ind w:hanging="360" w:left="3600"/>
      </w:pPr>
      <w:rPr/>
    </w:lvl>
    <w:lvl w:ilvl="5">
      <w:start w:val="1"/>
      <w:numFmt w:val="lowerRoman"/>
      <w:lvlText w:val="%6."/>
      <w:lvlJc w:val="right"/>
      <w:pPr>
        <w:tabs>
          <w:tab w:pos="0" w:val="num"/>
        </w:tabs>
        <w:ind w:hanging="180" w:left="4320"/>
      </w:pPr>
      <w:rPr/>
    </w:lvl>
    <w:lvl w:ilvl="6">
      <w:start w:val="1"/>
      <w:numFmt w:val="decimal"/>
      <w:lvlText w:val="%7."/>
      <w:lvlJc w:val="left"/>
      <w:pPr>
        <w:tabs>
          <w:tab w:pos="0" w:val="num"/>
        </w:tabs>
        <w:ind w:hanging="360" w:left="5040"/>
      </w:pPr>
      <w:rPr/>
    </w:lvl>
    <w:lvl w:ilvl="7">
      <w:start w:val="1"/>
      <w:numFmt w:val="lowerLetter"/>
      <w:lvlText w:val="%8."/>
      <w:lvlJc w:val="left"/>
      <w:pPr>
        <w:tabs>
          <w:tab w:pos="0" w:val="num"/>
        </w:tabs>
        <w:ind w:hanging="360" w:left="5760"/>
      </w:pPr>
      <w:rPr/>
    </w:lvl>
    <w:lvl w:ilvl="8">
      <w:start w:val="1"/>
      <w:numFmt w:val="lowerRoman"/>
      <w:lvlText w:val="%9."/>
      <w:lvlJc w:val="right"/>
      <w:pPr>
        <w:tabs>
          <w:tab w:pos="0" w:val="num"/>
        </w:tabs>
        <w:ind w:hanging="180" w:left="6480"/>
      </w:pPr>
      <w:rPr/>
    </w:lvl>
  </w:abstractNum>
  <w:abstractNum w:abstractNumId="13">
    <w:lvl w:ilvl="0">
      <w:numFmt w:val="bullet"/>
      <w:lvlText w:val="-"/>
      <w:lvlJc w:val="left"/>
      <w:pPr>
        <w:tabs>
          <w:tab w:pos="0" w:val="num"/>
        </w:tabs>
        <w:ind w:hanging="360" w:left="720"/>
      </w:pPr>
      <w:rPr>
        <w:rFonts w:ascii="Times New Roman" w:cs="Times New Roman" w:hAnsi="Times New Roman"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4">
    <w:lvl w:ilvl="0">
      <w:start w:val="5"/>
      <w:numFmt w:val="decimal"/>
      <w:lvlText w:val="%1."/>
      <w:lvlJc w:val="left"/>
      <w:pPr>
        <w:tabs>
          <w:tab w:pos="0" w:val="num"/>
        </w:tabs>
        <w:ind w:hanging="720" w:left="720"/>
      </w:pPr>
      <w:rPr/>
    </w:lvl>
    <w:lvl w:ilvl="1">
      <w:start w:val="3"/>
      <w:numFmt w:val="decimal"/>
      <w:lvlText w:val="%1.%2."/>
      <w:lvlJc w:val="left"/>
      <w:pPr>
        <w:tabs>
          <w:tab w:pos="0" w:val="num"/>
        </w:tabs>
        <w:ind w:hanging="720" w:left="720"/>
      </w:pPr>
      <w:rPr/>
    </w:lvl>
    <w:lvl w:ilvl="2">
      <w:start w:val="2"/>
      <w:numFmt w:val="decimal"/>
      <w:lvlText w:val="%1.%2.%3."/>
      <w:lvlJc w:val="left"/>
      <w:pPr>
        <w:tabs>
          <w:tab w:pos="0" w:val="num"/>
        </w:tabs>
        <w:ind w:hanging="720" w:left="720"/>
      </w:pPr>
      <w:rPr/>
    </w:lvl>
    <w:lvl w:ilvl="3">
      <w:start w:val="1"/>
      <w:numFmt w:val="decimal"/>
      <w:lvlText w:val="%1.%2.%3.%4."/>
      <w:lvlJc w:val="left"/>
      <w:pPr>
        <w:tabs>
          <w:tab w:pos="0" w:val="num"/>
        </w:tabs>
        <w:ind w:hanging="720" w:left="720"/>
      </w:pPr>
      <w:rPr/>
    </w:lvl>
    <w:lvl w:ilvl="4">
      <w:start w:val="1"/>
      <w:numFmt w:val="decimal"/>
      <w:lvlText w:val="%1.%2.%3.%4.%5."/>
      <w:lvlJc w:val="left"/>
      <w:pPr>
        <w:tabs>
          <w:tab w:pos="0" w:val="num"/>
        </w:tabs>
        <w:ind w:hanging="1080" w:left="1080"/>
      </w:pPr>
      <w:rPr/>
    </w:lvl>
    <w:lvl w:ilvl="5">
      <w:start w:val="1"/>
      <w:numFmt w:val="decimal"/>
      <w:lvlText w:val="%1.%2.%3.%4.%5.%6."/>
      <w:lvlJc w:val="left"/>
      <w:pPr>
        <w:tabs>
          <w:tab w:pos="0" w:val="num"/>
        </w:tabs>
        <w:ind w:hanging="1080" w:left="1080"/>
      </w:pPr>
      <w:rPr/>
    </w:lvl>
    <w:lvl w:ilvl="6">
      <w:start w:val="1"/>
      <w:numFmt w:val="decimal"/>
      <w:lvlText w:val="%1.%2.%3.%4.%5.%6.%7."/>
      <w:lvlJc w:val="left"/>
      <w:pPr>
        <w:tabs>
          <w:tab w:pos="0" w:val="num"/>
        </w:tabs>
        <w:ind w:hanging="1440" w:left="1440"/>
      </w:pPr>
      <w:rPr/>
    </w:lvl>
    <w:lvl w:ilvl="7">
      <w:start w:val="1"/>
      <w:numFmt w:val="decimal"/>
      <w:lvlText w:val="%1.%2.%3.%4.%5.%6.%7.%8."/>
      <w:lvlJc w:val="left"/>
      <w:pPr>
        <w:tabs>
          <w:tab w:pos="0" w:val="num"/>
        </w:tabs>
        <w:ind w:hanging="1440" w:left="1440"/>
      </w:pPr>
      <w:rPr/>
    </w:lvl>
    <w:lvl w:ilvl="8">
      <w:start w:val="1"/>
      <w:numFmt w:val="decimal"/>
      <w:lvlText w:val="%1.%2.%3.%4.%5.%6.%7.%8.%9."/>
      <w:lvlJc w:val="left"/>
      <w:pPr>
        <w:tabs>
          <w:tab w:pos="0" w:val="num"/>
        </w:tabs>
        <w:ind w:hanging="1800" w:left="1800"/>
      </w:pPr>
      <w:rPr/>
    </w:lvl>
  </w:abstractNum>
  <w:abstractNum w:abstractNumId="15">
    <w:lvl w:ilvl="0">
      <w:numFmt w:val="bullet"/>
      <w:lvlText w:val="-"/>
      <w:lvlJc w:val="left"/>
      <w:pPr>
        <w:tabs>
          <w:tab w:pos="0" w:val="num"/>
        </w:tabs>
        <w:ind w:hanging="284" w:left="1099"/>
      </w:pPr>
      <w:rPr>
        <w:rFonts w:ascii="Times New Roman" w:cs="Times New Roman" w:hAnsi="Times New Roman" w:hint="default"/>
        <w:sz w:val="22"/>
        <w:szCs w:val="22"/>
        <w:w w:val="100"/>
      </w:rPr>
    </w:lvl>
    <w:lvl w:ilvl="1">
      <w:start w:val="1"/>
      <w:numFmt w:val="bullet"/>
      <w:lvlText w:val=""/>
      <w:lvlJc w:val="left"/>
      <w:pPr>
        <w:tabs>
          <w:tab w:pos="0" w:val="num"/>
        </w:tabs>
        <w:ind w:hanging="360" w:left="1536"/>
      </w:pPr>
      <w:rPr>
        <w:rFonts w:ascii="Wingdings" w:cs="Wingdings" w:hAnsi="Wingdings" w:hint="default"/>
        <w:sz w:val="22"/>
        <w:szCs w:val="22"/>
        <w:w w:val="100"/>
      </w:rPr>
    </w:lvl>
    <w:lvl w:ilvl="2">
      <w:start w:val="0"/>
      <w:numFmt w:val="bullet"/>
      <w:lvlText w:val=""/>
      <w:lvlJc w:val="left"/>
      <w:pPr>
        <w:tabs>
          <w:tab w:pos="0" w:val="num"/>
        </w:tabs>
        <w:ind w:hanging="360" w:left="2480"/>
      </w:pPr>
      <w:rPr>
        <w:rFonts w:ascii="Symbol" w:cs="Symbol" w:hAnsi="Symbol" w:hint="default"/>
      </w:rPr>
    </w:lvl>
    <w:lvl w:ilvl="3">
      <w:start w:val="0"/>
      <w:numFmt w:val="bullet"/>
      <w:lvlText w:val=""/>
      <w:lvlJc w:val="left"/>
      <w:pPr>
        <w:tabs>
          <w:tab w:pos="0" w:val="num"/>
        </w:tabs>
        <w:ind w:hanging="360" w:left="3421"/>
      </w:pPr>
      <w:rPr>
        <w:rFonts w:ascii="Symbol" w:cs="Symbol" w:hAnsi="Symbol" w:hint="default"/>
      </w:rPr>
    </w:lvl>
    <w:lvl w:ilvl="4">
      <w:start w:val="0"/>
      <w:numFmt w:val="bullet"/>
      <w:lvlText w:val=""/>
      <w:lvlJc w:val="left"/>
      <w:pPr>
        <w:tabs>
          <w:tab w:pos="0" w:val="num"/>
        </w:tabs>
        <w:ind w:hanging="360" w:left="4362"/>
      </w:pPr>
      <w:rPr>
        <w:rFonts w:ascii="Symbol" w:cs="Symbol" w:hAnsi="Symbol" w:hint="default"/>
      </w:rPr>
    </w:lvl>
    <w:lvl w:ilvl="5">
      <w:start w:val="0"/>
      <w:numFmt w:val="bullet"/>
      <w:lvlText w:val=""/>
      <w:lvlJc w:val="left"/>
      <w:pPr>
        <w:tabs>
          <w:tab w:pos="0" w:val="num"/>
        </w:tabs>
        <w:ind w:hanging="360" w:left="5302"/>
      </w:pPr>
      <w:rPr>
        <w:rFonts w:ascii="Symbol" w:cs="Symbol" w:hAnsi="Symbol" w:hint="default"/>
      </w:rPr>
    </w:lvl>
    <w:lvl w:ilvl="6">
      <w:start w:val="0"/>
      <w:numFmt w:val="bullet"/>
      <w:lvlText w:val=""/>
      <w:lvlJc w:val="left"/>
      <w:pPr>
        <w:tabs>
          <w:tab w:pos="0" w:val="num"/>
        </w:tabs>
        <w:ind w:hanging="360" w:left="6243"/>
      </w:pPr>
      <w:rPr>
        <w:rFonts w:ascii="Symbol" w:cs="Symbol" w:hAnsi="Symbol" w:hint="default"/>
      </w:rPr>
    </w:lvl>
    <w:lvl w:ilvl="7">
      <w:start w:val="0"/>
      <w:numFmt w:val="bullet"/>
      <w:lvlText w:val=""/>
      <w:lvlJc w:val="left"/>
      <w:pPr>
        <w:tabs>
          <w:tab w:pos="0" w:val="num"/>
        </w:tabs>
        <w:ind w:hanging="360" w:left="7184"/>
      </w:pPr>
      <w:rPr>
        <w:rFonts w:ascii="Symbol" w:cs="Symbol" w:hAnsi="Symbol" w:hint="default"/>
      </w:rPr>
    </w:lvl>
    <w:lvl w:ilvl="8">
      <w:start w:val="0"/>
      <w:numFmt w:val="bullet"/>
      <w:lvlText w:val=""/>
      <w:lvlJc w:val="left"/>
      <w:pPr>
        <w:tabs>
          <w:tab w:pos="0" w:val="num"/>
        </w:tabs>
        <w:ind w:hanging="360" w:left="8124"/>
      </w:pPr>
      <w:rPr>
        <w:rFonts w:ascii="Symbol" w:cs="Symbol" w:hAnsi="Symbol" w:hint="default"/>
      </w:rPr>
    </w:lvl>
  </w:abstractNum>
  <w:abstractNum w:abstractNumId="16">
    <w:lvl w:ilvl="0">
      <w:start w:val="1"/>
      <w:numFmt w:val="bullet"/>
      <w:lvlText w:val=""/>
      <w:lvlJc w:val="left"/>
      <w:pPr>
        <w:tabs>
          <w:tab w:pos="0" w:val="num"/>
        </w:tabs>
        <w:ind w:hanging="360" w:left="72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7">
    <w:lvl w:ilvl="0">
      <w:start w:val="1"/>
      <w:numFmt w:val="bullet"/>
      <w:lvlText w:val=""/>
      <w:lvlJc w:val="left"/>
      <w:pPr>
        <w:tabs>
          <w:tab w:pos="0" w:val="num"/>
        </w:tabs>
        <w:ind w:hanging="360" w:left="72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8">
    <w:lvl w:ilvl="0">
      <w:start w:val="18"/>
      <w:numFmt w:val="decimal"/>
      <w:lvlText w:val="%1"/>
      <w:lvlJc w:val="left"/>
      <w:pPr>
        <w:tabs>
          <w:tab w:pos="0" w:val="num"/>
        </w:tabs>
        <w:ind w:hanging="600" w:left="600"/>
      </w:pPr>
      <w:rPr/>
    </w:lvl>
    <w:lvl w:ilvl="1">
      <w:start w:val="6"/>
      <w:numFmt w:val="decimal"/>
      <w:lvlText w:val="%1.%2"/>
      <w:lvlJc w:val="left"/>
      <w:pPr>
        <w:tabs>
          <w:tab w:pos="0" w:val="num"/>
        </w:tabs>
        <w:ind w:hanging="600" w:left="1668"/>
      </w:pPr>
      <w:rPr/>
    </w:lvl>
    <w:lvl w:ilvl="2">
      <w:start w:val="1"/>
      <w:numFmt w:val="decimal"/>
      <w:lvlText w:val="%1.%2.%3"/>
      <w:lvlJc w:val="left"/>
      <w:pPr>
        <w:tabs>
          <w:tab w:pos="0" w:val="num"/>
        </w:tabs>
        <w:ind w:hanging="720" w:left="2856"/>
      </w:pPr>
      <w:rPr/>
    </w:lvl>
    <w:lvl w:ilvl="3">
      <w:start w:val="1"/>
      <w:numFmt w:val="decimal"/>
      <w:lvlText w:val="%1.%2.%3.%4"/>
      <w:lvlJc w:val="left"/>
      <w:pPr>
        <w:tabs>
          <w:tab w:pos="0" w:val="num"/>
        </w:tabs>
        <w:ind w:hanging="720" w:left="3924"/>
      </w:pPr>
      <w:rPr/>
    </w:lvl>
    <w:lvl w:ilvl="4">
      <w:start w:val="1"/>
      <w:numFmt w:val="decimal"/>
      <w:lvlText w:val="%1.%2.%3.%4.%5"/>
      <w:lvlJc w:val="left"/>
      <w:pPr>
        <w:tabs>
          <w:tab w:pos="0" w:val="num"/>
        </w:tabs>
        <w:ind w:hanging="1080" w:left="5352"/>
      </w:pPr>
      <w:rPr/>
    </w:lvl>
    <w:lvl w:ilvl="5">
      <w:start w:val="1"/>
      <w:numFmt w:val="decimal"/>
      <w:lvlText w:val="%1.%2.%3.%4.%5.%6"/>
      <w:lvlJc w:val="left"/>
      <w:pPr>
        <w:tabs>
          <w:tab w:pos="0" w:val="num"/>
        </w:tabs>
        <w:ind w:hanging="1080" w:left="6420"/>
      </w:pPr>
      <w:rPr/>
    </w:lvl>
    <w:lvl w:ilvl="6">
      <w:start w:val="1"/>
      <w:numFmt w:val="decimal"/>
      <w:lvlText w:val="%1.%2.%3.%4.%5.%6.%7"/>
      <w:lvlJc w:val="left"/>
      <w:pPr>
        <w:tabs>
          <w:tab w:pos="0" w:val="num"/>
        </w:tabs>
        <w:ind w:hanging="1440" w:left="7848"/>
      </w:pPr>
      <w:rPr/>
    </w:lvl>
    <w:lvl w:ilvl="7">
      <w:start w:val="1"/>
      <w:numFmt w:val="decimal"/>
      <w:lvlText w:val="%1.%2.%3.%4.%5.%6.%7.%8"/>
      <w:lvlJc w:val="left"/>
      <w:pPr>
        <w:tabs>
          <w:tab w:pos="0" w:val="num"/>
        </w:tabs>
        <w:ind w:hanging="1440" w:left="8916"/>
      </w:pPr>
      <w:rPr/>
    </w:lvl>
    <w:lvl w:ilvl="8">
      <w:start w:val="1"/>
      <w:numFmt w:val="decimal"/>
      <w:lvlText w:val="%1.%2.%3.%4.%5.%6.%7.%8.%9"/>
      <w:lvlJc w:val="left"/>
      <w:pPr>
        <w:tabs>
          <w:tab w:pos="0" w:val="num"/>
        </w:tabs>
        <w:ind w:hanging="1800" w:left="10344"/>
      </w:pPr>
      <w:rPr/>
    </w:lvl>
  </w:abstractNum>
  <w:abstractNum w:abstractNumId="19">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0">
    <w:lvl w:ilvl="0">
      <w:start w:val="1"/>
      <w:numFmt w:val="bullet"/>
      <w:lvlText w:val=""/>
      <w:lvlJc w:val="left"/>
      <w:pPr>
        <w:tabs>
          <w:tab w:pos="720" w:val="num"/>
        </w:tabs>
        <w:ind w:hanging="360" w:left="720"/>
      </w:pPr>
      <w:rPr>
        <w:rFonts w:ascii="Symbol" w:cs="Symbol"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Wingdings" w:hAnsi="Wingdings" w:hint="default"/>
        <w:sz w:val="20"/>
      </w:rPr>
    </w:lvl>
    <w:lvl w:ilvl="3">
      <w:start w:val="1"/>
      <w:numFmt w:val="bullet"/>
      <w:lvlText w:val=""/>
      <w:lvlJc w:val="left"/>
      <w:pPr>
        <w:tabs>
          <w:tab w:pos="2880" w:val="num"/>
        </w:tabs>
        <w:ind w:hanging="360" w:left="2880"/>
      </w:pPr>
      <w:rPr>
        <w:rFonts w:ascii="Wingdings" w:cs="Wingdings" w:hAnsi="Wingdings" w:hint="default"/>
        <w:sz w:val="20"/>
      </w:rPr>
    </w:lvl>
    <w:lvl w:ilvl="4">
      <w:start w:val="1"/>
      <w:numFmt w:val="bullet"/>
      <w:lvlText w:val=""/>
      <w:lvlJc w:val="left"/>
      <w:pPr>
        <w:tabs>
          <w:tab w:pos="3600" w:val="num"/>
        </w:tabs>
        <w:ind w:hanging="360" w:left="3600"/>
      </w:pPr>
      <w:rPr>
        <w:rFonts w:ascii="Wingdings" w:cs="Wingdings" w:hAnsi="Wingdings" w:hint="default"/>
        <w:sz w:val="20"/>
      </w:rPr>
    </w:lvl>
    <w:lvl w:ilvl="5">
      <w:start w:val="1"/>
      <w:numFmt w:val="bullet"/>
      <w:lvlText w:val=""/>
      <w:lvlJc w:val="left"/>
      <w:pPr>
        <w:tabs>
          <w:tab w:pos="4320" w:val="num"/>
        </w:tabs>
        <w:ind w:hanging="360" w:left="4320"/>
      </w:pPr>
      <w:rPr>
        <w:rFonts w:ascii="Wingdings" w:cs="Wingdings" w:hAnsi="Wingdings" w:hint="default"/>
        <w:sz w:val="20"/>
      </w:rPr>
    </w:lvl>
    <w:lvl w:ilvl="6">
      <w:start w:val="1"/>
      <w:numFmt w:val="bullet"/>
      <w:lvlText w:val=""/>
      <w:lvlJc w:val="left"/>
      <w:pPr>
        <w:tabs>
          <w:tab w:pos="5040" w:val="num"/>
        </w:tabs>
        <w:ind w:hanging="360" w:left="5040"/>
      </w:pPr>
      <w:rPr>
        <w:rFonts w:ascii="Wingdings" w:cs="Wingdings" w:hAnsi="Wingdings" w:hint="default"/>
        <w:sz w:val="20"/>
      </w:rPr>
    </w:lvl>
    <w:lvl w:ilvl="7">
      <w:start w:val="1"/>
      <w:numFmt w:val="bullet"/>
      <w:lvlText w:val=""/>
      <w:lvlJc w:val="left"/>
      <w:pPr>
        <w:tabs>
          <w:tab w:pos="5760" w:val="num"/>
        </w:tabs>
        <w:ind w:hanging="360" w:left="5760"/>
      </w:pPr>
      <w:rPr>
        <w:rFonts w:ascii="Wingdings" w:cs="Wingdings" w:hAnsi="Wingdings" w:hint="default"/>
        <w:sz w:val="20"/>
      </w:rPr>
    </w:lvl>
    <w:lvl w:ilvl="8">
      <w:start w:val="1"/>
      <w:numFmt w:val="bullet"/>
      <w:lvlText w:val=""/>
      <w:lvlJc w:val="left"/>
      <w:pPr>
        <w:tabs>
          <w:tab w:pos="6480" w:val="num"/>
        </w:tabs>
        <w:ind w:hanging="360" w:left="6480"/>
      </w:pPr>
      <w:rPr>
        <w:rFonts w:ascii="Wingdings" w:cs="Wingdings" w:hAnsi="Wingdings" w:hint="default"/>
        <w:sz w:val="20"/>
      </w:rPr>
    </w:lvl>
  </w:abstractNum>
  <w:abstractNum w:abstractNumId="21">
    <w:lvl w:ilvl="0">
      <w:start w:val="6"/>
      <w:numFmt w:val="decimal"/>
      <w:lvlText w:val="%1"/>
      <w:lvlJc w:val="left"/>
      <w:pPr>
        <w:tabs>
          <w:tab w:pos="0" w:val="num"/>
        </w:tabs>
        <w:ind w:hanging="480" w:left="480"/>
      </w:pPr>
      <w:rPr/>
    </w:lvl>
    <w:lvl w:ilvl="1">
      <w:start w:val="6"/>
      <w:numFmt w:val="decimal"/>
      <w:lvlText w:val="%1.%2"/>
      <w:lvlJc w:val="left"/>
      <w:pPr>
        <w:tabs>
          <w:tab w:pos="0" w:val="num"/>
        </w:tabs>
        <w:ind w:hanging="480" w:left="1548"/>
      </w:pPr>
      <w:rPr/>
    </w:lvl>
    <w:lvl w:ilvl="2">
      <w:start w:val="1"/>
      <w:numFmt w:val="decimal"/>
      <w:lvlText w:val="%1.%2.%3"/>
      <w:lvlJc w:val="left"/>
      <w:pPr>
        <w:tabs>
          <w:tab w:pos="0" w:val="num"/>
        </w:tabs>
        <w:ind w:hanging="720" w:left="2856"/>
      </w:pPr>
      <w:rPr/>
    </w:lvl>
    <w:lvl w:ilvl="3">
      <w:start w:val="1"/>
      <w:numFmt w:val="decimal"/>
      <w:lvlText w:val="%1.%2.%3.%4"/>
      <w:lvlJc w:val="left"/>
      <w:pPr>
        <w:tabs>
          <w:tab w:pos="0" w:val="num"/>
        </w:tabs>
        <w:ind w:hanging="720" w:left="3924"/>
      </w:pPr>
      <w:rPr/>
    </w:lvl>
    <w:lvl w:ilvl="4">
      <w:start w:val="1"/>
      <w:numFmt w:val="decimal"/>
      <w:lvlText w:val="%1.%2.%3.%4.%5"/>
      <w:lvlJc w:val="left"/>
      <w:pPr>
        <w:tabs>
          <w:tab w:pos="0" w:val="num"/>
        </w:tabs>
        <w:ind w:hanging="1080" w:left="5352"/>
      </w:pPr>
      <w:rPr/>
    </w:lvl>
    <w:lvl w:ilvl="5">
      <w:start w:val="1"/>
      <w:numFmt w:val="decimal"/>
      <w:lvlText w:val="%1.%2.%3.%4.%5.%6"/>
      <w:lvlJc w:val="left"/>
      <w:pPr>
        <w:tabs>
          <w:tab w:pos="0" w:val="num"/>
        </w:tabs>
        <w:ind w:hanging="1080" w:left="6420"/>
      </w:pPr>
      <w:rPr/>
    </w:lvl>
    <w:lvl w:ilvl="6">
      <w:start w:val="1"/>
      <w:numFmt w:val="decimal"/>
      <w:lvlText w:val="%1.%2.%3.%4.%5.%6.%7"/>
      <w:lvlJc w:val="left"/>
      <w:pPr>
        <w:tabs>
          <w:tab w:pos="0" w:val="num"/>
        </w:tabs>
        <w:ind w:hanging="1440" w:left="7848"/>
      </w:pPr>
      <w:rPr/>
    </w:lvl>
    <w:lvl w:ilvl="7">
      <w:start w:val="1"/>
      <w:numFmt w:val="decimal"/>
      <w:lvlText w:val="%1.%2.%3.%4.%5.%6.%7.%8"/>
      <w:lvlJc w:val="left"/>
      <w:pPr>
        <w:tabs>
          <w:tab w:pos="0" w:val="num"/>
        </w:tabs>
        <w:ind w:hanging="1440" w:left="8916"/>
      </w:pPr>
      <w:rPr/>
    </w:lvl>
    <w:lvl w:ilvl="8">
      <w:start w:val="1"/>
      <w:numFmt w:val="decimal"/>
      <w:lvlText w:val="%1.%2.%3.%4.%5.%6.%7.%8.%9"/>
      <w:lvlJc w:val="left"/>
      <w:pPr>
        <w:tabs>
          <w:tab w:pos="0" w:val="num"/>
        </w:tabs>
        <w:ind w:hanging="1800" w:left="10344"/>
      </w:pPr>
      <w:rPr/>
    </w:lvl>
  </w:abstractNum>
  <w:abstractNum w:abstractNumId="22">
    <w:lvl w:ilvl="0">
      <w:start w:val="6"/>
      <w:numFmt w:val="bullet"/>
      <w:lvlText w:val="-"/>
      <w:lvlJc w:val="left"/>
      <w:pPr>
        <w:tabs>
          <w:tab w:pos="0" w:val="num"/>
        </w:tabs>
        <w:ind w:hanging="360" w:left="720"/>
      </w:pPr>
      <w:rPr>
        <w:rFonts w:ascii="Times New Roman" w:cs="Times New Roman" w:hAnsi="Times New Roman"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3">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bidi="" w:eastAsia="" w:val="fr-FR"/>
  <w:docVars>
    <w:docVar w:name="dgnword-docGUID" w:val="{2B5B6451-71AD-43DD-8FD2-2F49F2FB1E00}"/>
    <w:docVar w:name="dgnword-eventsink" w:val="570958296"/>
  </w:docVar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pPr>
        <w:suppressAutoHyphens w:val="true"/>
      </w:pPr>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lsdException w:name="heading 4" w:qFormat="1" w:uiPriority="9"/>
    <w:lsdException w:name="heading 5" w:qFormat="1" w:uiPriority="9"/>
    <w:lsdException w:name="heading 6" w:qFormat="1"/>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annotation reference" w:uiPriority="99"/>
    <w:lsdException w:name="Title" w:qFormat="1"/>
    <w:lsdException w:name="Subtitle" w:qFormat="1"/>
    <w:lsdException w:name="Hyperlink" w:uiPriority="99"/>
    <w:lsdException w:name="FollowedHyperlink" w:uiPriority="99"/>
    <w:lsdException w:name="Strong" w:qFormat="1" w:uiPriority="22"/>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e562b"/>
    <w:pPr>
      <w:widowControl/>
      <w:bidi w:val="0"/>
      <w:spacing w:after="0" w:before="0"/>
      <w:jc w:val="both"/>
    </w:pPr>
    <w:rPr>
      <w:rFonts w:ascii="Times New Roman" w:cs="Times New Roman" w:eastAsia="Times New Roman" w:hAnsi="Times New Roman"/>
      <w:color w:val="auto"/>
      <w:kern w:val="0"/>
      <w:sz w:val="24"/>
      <w:szCs w:val="24"/>
      <w:lang w:bidi="ar-SA" w:eastAsia="fr-FR" w:val="fr-FR"/>
    </w:rPr>
  </w:style>
  <w:style w:styleId="Heading1" w:type="paragraph">
    <w:name w:val="Heading 1"/>
    <w:basedOn w:val="Normal"/>
    <w:next w:val="Normal"/>
    <w:link w:val="Titre1Car"/>
    <w:uiPriority w:val="9"/>
    <w:qFormat/>
    <w:rsid w:val="00840588"/>
    <w:pPr>
      <w:keepNext w:val="true"/>
      <w:pBdr>
        <w:bottom w:color="000000" w:space="1" w:sz="12" w:val="single"/>
      </w:pBdr>
      <w:spacing w:after="60" w:before="0"/>
      <w:outlineLvl w:val="0"/>
    </w:pPr>
    <w:rPr>
      <w:rFonts w:ascii="Times New Roman Gras" w:hAnsi="Times New Roman Gras"/>
      <w:b/>
      <w:caps/>
    </w:rPr>
  </w:style>
  <w:style w:styleId="Heading2" w:type="paragraph">
    <w:name w:val="Heading 2"/>
    <w:basedOn w:val="Heading1"/>
    <w:next w:val="Normal"/>
    <w:link w:val="Titre2Car"/>
    <w:uiPriority w:val="9"/>
    <w:qFormat/>
    <w:rsid w:val="00bd64be"/>
    <w:pPr>
      <w:pBdr>
        <w:bottom w:val="nil"/>
      </w:pBdr>
      <w:spacing w:after="0" w:before="0"/>
      <w:outlineLvl w:val="1"/>
    </w:pPr>
    <w:rPr>
      <w:smallCaps/>
      <w:u w:val="single"/>
    </w:rPr>
  </w:style>
  <w:style w:styleId="Heading3" w:type="paragraph">
    <w:name w:val="Heading 3"/>
    <w:basedOn w:val="Heading2"/>
    <w:next w:val="Normal"/>
    <w:link w:val="Titre3Car"/>
    <w:qFormat/>
    <w:rsid w:val="00bd64be"/>
    <w:pPr>
      <w:numPr>
        <w:ilvl w:val="0"/>
        <w:numId w:val="0"/>
      </w:numPr>
      <w:outlineLvl w:val="2"/>
    </w:pPr>
    <w:rPr>
      <w:sz w:val="22"/>
      <w:szCs w:val="22"/>
      <w:u w:val="none"/>
    </w:rPr>
  </w:style>
  <w:style w:styleId="Heading4" w:type="paragraph">
    <w:name w:val="Heading 4"/>
    <w:basedOn w:val="Normal"/>
    <w:next w:val="Normal"/>
    <w:link w:val="Titre4Car"/>
    <w:uiPriority w:val="9"/>
    <w:qFormat/>
    <w:rsid w:val="00a02adf"/>
    <w:pPr>
      <w:numPr>
        <w:ilvl w:val="3"/>
        <w:numId w:val="14"/>
      </w:numPr>
      <w:outlineLvl w:val="3"/>
    </w:pPr>
    <w:rPr>
      <w:b/>
      <w:i/>
      <w:color w:val="0070C0"/>
    </w:rPr>
  </w:style>
  <w:style w:styleId="Heading5" w:type="paragraph">
    <w:name w:val="Heading 5"/>
    <w:basedOn w:val="Puce1"/>
    <w:next w:val="Normal"/>
    <w:link w:val="Titre5Car"/>
    <w:uiPriority w:val="9"/>
    <w:qFormat/>
    <w:rsid w:val="003718e2"/>
    <w:pPr>
      <w:ind w:left="1418"/>
      <w:outlineLvl w:val="4"/>
    </w:pPr>
    <w:rPr/>
  </w:style>
  <w:style w:styleId="Heading6" w:type="paragraph">
    <w:name w:val="Heading 6"/>
    <w:basedOn w:val="Normal"/>
    <w:next w:val="Normal"/>
    <w:link w:val="Titre6Car"/>
    <w:qFormat/>
    <w:rsid w:val="00da64dc"/>
    <w:pPr>
      <w:numPr>
        <w:ilvl w:val="2"/>
        <w:numId w:val="11"/>
      </w:numPr>
      <w:tabs>
        <w:tab w:pos="708" w:val="clear"/>
        <w:tab w:leader="none" w:pos="2268" w:val="left"/>
      </w:tabs>
      <w:spacing w:after="360" w:before="480" w:line="240" w:lineRule="atLeast"/>
      <w:outlineLvl w:val="5"/>
    </w:pPr>
    <w:rPr>
      <w:rFonts w:ascii="Arial" w:hAnsi="Arial"/>
      <w:i/>
      <w:sz w:val="22"/>
    </w:rPr>
  </w:style>
  <w:style w:styleId="Heading7" w:type="paragraph">
    <w:name w:val="Heading 7"/>
    <w:basedOn w:val="Normal"/>
    <w:next w:val="Normal"/>
    <w:link w:val="Titre7Car"/>
    <w:uiPriority w:val="9"/>
    <w:qFormat/>
    <w:rsid w:val="008d79f9"/>
    <w:pPr>
      <w:spacing w:after="60" w:before="0"/>
      <w:outlineLvl w:val="6"/>
    </w:pPr>
    <w:rPr>
      <w:rFonts w:ascii="Arial" w:hAnsi="Arial"/>
      <w:sz w:val="20"/>
    </w:rPr>
  </w:style>
  <w:style w:styleId="Heading8" w:type="paragraph">
    <w:name w:val="Heading 8"/>
    <w:basedOn w:val="Normal"/>
    <w:next w:val="Normal"/>
    <w:link w:val="Titre8Car"/>
    <w:uiPriority w:val="9"/>
    <w:qFormat/>
    <w:rsid w:val="008d79f9"/>
    <w:pPr>
      <w:spacing w:after="60" w:before="0"/>
      <w:outlineLvl w:val="7"/>
    </w:pPr>
    <w:rPr>
      <w:rFonts w:ascii="Arial" w:hAnsi="Arial"/>
      <w:i/>
      <w:sz w:val="20"/>
    </w:rPr>
  </w:style>
  <w:style w:styleId="Heading9" w:type="paragraph">
    <w:name w:val="Heading 9"/>
    <w:basedOn w:val="Normal"/>
    <w:next w:val="Normal"/>
    <w:link w:val="Titre9Car"/>
    <w:uiPriority w:val="9"/>
    <w:qFormat/>
    <w:rsid w:val="008d79f9"/>
    <w:pPr>
      <w:spacing w:after="60" w:before="0"/>
      <w:outlineLvl w:val="8"/>
    </w:pPr>
    <w:rPr>
      <w:rFonts w:ascii="Arial" w:hAnsi="Arial"/>
      <w:i/>
      <w:sz w:val="18"/>
    </w:rPr>
  </w:style>
  <w:style w:default="1" w:styleId="DefaultParagraphFont" w:type="character">
    <w:name w:val="Default Paragraph Font"/>
    <w:uiPriority w:val="1"/>
    <w:semiHidden/>
    <w:unhideWhenUsed/>
    <w:qFormat/>
    <w:rPr/>
  </w:style>
  <w:style w:styleId="PageNumber" w:type="character">
    <w:name w:val="Page Number"/>
    <w:rsid w:val="008d79f9"/>
    <w:rPr>
      <w:rFonts w:ascii="Times" w:hAnsi="Times"/>
    </w:rPr>
  </w:style>
  <w:style w:styleId="EndnoteReference" w:type="character">
    <w:name w:val="Endnote Reference"/>
    <w:rPr>
      <w:vertAlign w:val="superscript"/>
    </w:rPr>
  </w:style>
  <w:style w:styleId="EndnoteCharacters" w:type="character">
    <w:name w:val="Endnote Characters"/>
    <w:semiHidden/>
    <w:qFormat/>
    <w:rsid w:val="008d79f9"/>
    <w:rPr>
      <w:vertAlign w:val="superscript"/>
    </w:rPr>
  </w:style>
  <w:style w:styleId="FootnoteReference" w:type="character">
    <w:name w:val="Footnote Reference"/>
    <w:rPr>
      <w:vertAlign w:val="superscript"/>
    </w:rPr>
  </w:style>
  <w:style w:styleId="FootnoteCharacters" w:type="character">
    <w:name w:val="Footnote Characters"/>
    <w:semiHidden/>
    <w:qFormat/>
    <w:rsid w:val="008d79f9"/>
    <w:rPr>
      <w:vertAlign w:val="superscript"/>
    </w:rPr>
  </w:style>
  <w:style w:customStyle="1" w:styleId="N" w:type="character">
    <w:name w:val="§ N°"/>
    <w:qFormat/>
    <w:rsid w:val="008d79f9"/>
    <w:rPr>
      <w:rFonts w:ascii="Times New Roman" w:hAnsi="Times New Roman"/>
      <w:sz w:val="28"/>
    </w:rPr>
  </w:style>
  <w:style w:styleId="InternetLink" w:type="character">
    <w:name w:val="Internet Link"/>
    <w:uiPriority w:val="99"/>
    <w:qFormat/>
    <w:rsid w:val="008d79f9"/>
    <w:rPr>
      <w:color w:val="0000FF"/>
      <w:u w:val="single"/>
    </w:rPr>
  </w:style>
  <w:style w:styleId="HTMLVariable" w:type="character">
    <w:name w:val="HTML Variable"/>
    <w:qFormat/>
    <w:rsid w:val="008d79f9"/>
    <w:rPr>
      <w:i/>
      <w:iCs/>
    </w:rPr>
  </w:style>
  <w:style w:styleId="LineNumbering" w:type="character">
    <w:name w:val="Line Numbering"/>
    <w:basedOn w:val="DefaultParagraphFont"/>
    <w:qFormat/>
    <w:rsid w:val="008d79f9"/>
    <w:rPr/>
  </w:style>
  <w:style w:customStyle="1" w:styleId="Titre1Car" w:type="character">
    <w:name w:val="Titre 1 Car"/>
    <w:uiPriority w:val="9"/>
    <w:qFormat/>
    <w:rsid w:val="00840588"/>
    <w:rPr>
      <w:rFonts w:ascii="Times New Roman Gras" w:hAnsi="Times New Roman Gras"/>
      <w:b/>
      <w:caps/>
      <w:sz w:val="24"/>
      <w:szCs w:val="24"/>
    </w:rPr>
  </w:style>
  <w:style w:styleId="annotationreference" w:type="character">
    <w:name w:val="annotation reference"/>
    <w:uiPriority w:val="99"/>
    <w:qFormat/>
    <w:rsid w:val="00080d4f"/>
    <w:rPr>
      <w:sz w:val="16"/>
      <w:szCs w:val="16"/>
    </w:rPr>
  </w:style>
  <w:style w:customStyle="1" w:styleId="texteel" w:type="character">
    <w:name w:val="texteel"/>
    <w:basedOn w:val="DefaultParagraphFont"/>
    <w:qFormat/>
    <w:rsid w:val="00b00230"/>
    <w:rPr/>
  </w:style>
  <w:style w:customStyle="1" w:styleId="PieddepageCar" w:type="character">
    <w:name w:val="Pied de page Car"/>
    <w:uiPriority w:val="99"/>
    <w:qFormat/>
    <w:rsid w:val="00604430"/>
    <w:rPr>
      <w:rFonts w:ascii="Arial" w:hAnsi="Arial"/>
      <w:i/>
      <w:sz w:val="16"/>
    </w:rPr>
  </w:style>
  <w:style w:customStyle="1" w:styleId="CommentaireCar" w:type="character">
    <w:name w:val="Commentaire Car"/>
    <w:qFormat/>
    <w:rsid w:val="0076151b"/>
    <w:rPr/>
  </w:style>
  <w:style w:customStyle="1" w:styleId="Titre2Car" w:type="character">
    <w:name w:val="Titre 2 Car"/>
    <w:uiPriority w:val="9"/>
    <w:qFormat/>
    <w:rsid w:val="00bd64be"/>
    <w:rPr>
      <w:rFonts w:ascii="Times New Roman Gras" w:hAnsi="Times New Roman Gras"/>
      <w:b/>
      <w:smallCaps/>
      <w:sz w:val="24"/>
      <w:szCs w:val="24"/>
      <w:u w:val="single"/>
    </w:rPr>
  </w:style>
  <w:style w:customStyle="1" w:styleId="SignatureCar" w:type="character">
    <w:name w:val="Signature Car"/>
    <w:link w:val="Signature"/>
    <w:qFormat/>
    <w:rsid w:val="006551c7"/>
    <w:rPr>
      <w:sz w:val="24"/>
    </w:rPr>
  </w:style>
  <w:style w:customStyle="1" w:styleId="CorpsdetexteCar" w:type="character">
    <w:name w:val="Corps de texte Car"/>
    <w:qFormat/>
    <w:rsid w:val="00066cf5"/>
    <w:rPr>
      <w:rFonts w:ascii="Arial" w:hAnsi="Arial"/>
      <w:i/>
      <w:sz w:val="24"/>
    </w:rPr>
  </w:style>
  <w:style w:customStyle="1" w:styleId="RetraitcorpsdetexteCar" w:type="character">
    <w:name w:val="Retrait corps de texte Car"/>
    <w:link w:val="BodyTextIndented"/>
    <w:qFormat/>
    <w:rsid w:val="00066cf5"/>
    <w:rPr>
      <w:rFonts w:ascii="Arial" w:hAnsi="Arial"/>
      <w:color w:val="000000"/>
      <w:sz w:val="24"/>
    </w:rPr>
  </w:style>
  <w:style w:customStyle="1" w:styleId="Corpsdetexte2Car" w:type="character">
    <w:name w:val="Corps de texte 2 Car"/>
    <w:link w:val="BodyText2"/>
    <w:qFormat/>
    <w:rsid w:val="00066cf5"/>
    <w:rPr>
      <w:rFonts w:ascii="Arial" w:hAnsi="Arial"/>
      <w:color w:val="000000"/>
      <w:sz w:val="24"/>
    </w:rPr>
  </w:style>
  <w:style w:customStyle="1" w:styleId="Corpsdetexte3Car" w:type="character">
    <w:name w:val="Corps de texte 3 Car"/>
    <w:link w:val="BodyText3"/>
    <w:qFormat/>
    <w:rsid w:val="00066cf5"/>
    <w:rPr>
      <w:rFonts w:ascii="Arial" w:hAnsi="Arial"/>
      <w:b/>
      <w:color w:val="000000"/>
      <w:sz w:val="24"/>
    </w:rPr>
  </w:style>
  <w:style w:customStyle="1" w:styleId="Retraitcorpsdetexte2Car" w:type="character">
    <w:name w:val="Retrait corps de texte 2 Car"/>
    <w:link w:val="BodyTextIndent2"/>
    <w:qFormat/>
    <w:rsid w:val="00066cf5"/>
    <w:rPr>
      <w:rFonts w:ascii="Arial" w:hAnsi="Arial"/>
      <w:color w:val="000000"/>
      <w:sz w:val="24"/>
    </w:rPr>
  </w:style>
  <w:style w:customStyle="1" w:styleId="Titre4Car" w:type="character">
    <w:name w:val="Titre 4 Car"/>
    <w:uiPriority w:val="9"/>
    <w:qFormat/>
    <w:rsid w:val="00a02adf"/>
    <w:rPr>
      <w:b/>
      <w:i/>
      <w:color w:val="0070C0"/>
      <w:sz w:val="24"/>
      <w:szCs w:val="24"/>
    </w:rPr>
  </w:style>
  <w:style w:customStyle="1" w:styleId="textegras" w:type="character">
    <w:name w:val="textegras"/>
    <w:qFormat/>
    <w:rsid w:val="002b1004"/>
    <w:rPr/>
  </w:style>
  <w:style w:customStyle="1" w:styleId="tiart2" w:type="character">
    <w:name w:val="tiart2"/>
    <w:qFormat/>
    <w:rsid w:val="002b1004"/>
    <w:rPr/>
  </w:style>
  <w:style w:styleId="Strong" w:type="character">
    <w:name w:val="Strong"/>
    <w:uiPriority w:val="22"/>
    <w:qFormat/>
    <w:rsid w:val="00bd2b3c"/>
    <w:rPr>
      <w:b/>
      <w:bCs/>
    </w:rPr>
  </w:style>
  <w:style w:customStyle="1" w:styleId="hl1" w:type="character">
    <w:name w:val="hl1"/>
    <w:qFormat/>
    <w:rsid w:val="00bd2b3c"/>
    <w:rPr>
      <w:b/>
      <w:bCs/>
      <w:color w:val="FFFFFF"/>
      <w:shd w:fill="898FA6" w:val="clear"/>
    </w:rPr>
  </w:style>
  <w:style w:customStyle="1" w:styleId="Titre3Car" w:type="character">
    <w:name w:val="Titre 3 Car"/>
    <w:qFormat/>
    <w:rsid w:val="00bd64be"/>
    <w:rPr>
      <w:rFonts w:ascii="Times New Roman Gras" w:hAnsi="Times New Roman Gras"/>
      <w:b/>
      <w:smallCaps/>
      <w:sz w:val="22"/>
      <w:szCs w:val="22"/>
    </w:rPr>
  </w:style>
  <w:style w:customStyle="1" w:styleId="Titre5Car" w:type="character">
    <w:name w:val="Titre 5 Car"/>
    <w:uiPriority w:val="9"/>
    <w:qFormat/>
    <w:rsid w:val="003718e2"/>
    <w:rPr>
      <w:rFonts w:ascii="Arial" w:hAnsi="Arial"/>
      <w:sz w:val="22"/>
      <w:szCs w:val="24"/>
    </w:rPr>
  </w:style>
  <w:style w:customStyle="1" w:styleId="TitreCar" w:type="character">
    <w:name w:val="Titre Car"/>
    <w:qFormat/>
    <w:rsid w:val="00dd51fc"/>
    <w:rPr>
      <w:b/>
      <w:sz w:val="36"/>
      <w:szCs w:val="36"/>
      <w:shd w:fill="D9D9D9" w:val="clear"/>
    </w:rPr>
  </w:style>
  <w:style w:customStyle="1" w:styleId="Titre6Car" w:type="character">
    <w:name w:val="Titre 6 Car"/>
    <w:qFormat/>
    <w:rsid w:val="00a5467b"/>
    <w:rPr>
      <w:rFonts w:ascii="Arial" w:hAnsi="Arial"/>
      <w:i/>
      <w:sz w:val="22"/>
      <w:szCs w:val="24"/>
    </w:rPr>
  </w:style>
  <w:style w:customStyle="1" w:styleId="Titre7Car" w:type="character">
    <w:name w:val="Titre 7 Car"/>
    <w:uiPriority w:val="9"/>
    <w:qFormat/>
    <w:rsid w:val="00a5467b"/>
    <w:rPr>
      <w:rFonts w:ascii="Arial" w:hAnsi="Arial"/>
      <w:szCs w:val="24"/>
    </w:rPr>
  </w:style>
  <w:style w:customStyle="1" w:styleId="Titre8Car" w:type="character">
    <w:name w:val="Titre 8 Car"/>
    <w:uiPriority w:val="9"/>
    <w:qFormat/>
    <w:rsid w:val="00a5467b"/>
    <w:rPr>
      <w:rFonts w:ascii="Arial" w:hAnsi="Arial"/>
      <w:i/>
      <w:szCs w:val="24"/>
    </w:rPr>
  </w:style>
  <w:style w:customStyle="1" w:styleId="Titre9Car" w:type="character">
    <w:name w:val="Titre 9 Car"/>
    <w:uiPriority w:val="9"/>
    <w:qFormat/>
    <w:rsid w:val="00a5467b"/>
    <w:rPr>
      <w:rFonts w:ascii="Arial" w:hAnsi="Arial"/>
      <w:i/>
      <w:sz w:val="18"/>
      <w:szCs w:val="24"/>
    </w:rPr>
  </w:style>
  <w:style w:customStyle="1" w:styleId="En-tteCar" w:type="character">
    <w:name w:val="En-tête Car"/>
    <w:uiPriority w:val="99"/>
    <w:qFormat/>
    <w:rsid w:val="00a5467b"/>
    <w:rPr>
      <w:rFonts w:ascii="Arial" w:hAnsi="Arial"/>
      <w:i/>
      <w:sz w:val="16"/>
      <w:szCs w:val="24"/>
    </w:rPr>
  </w:style>
  <w:style w:customStyle="1" w:styleId="NotedebasdepageCar" w:type="character">
    <w:name w:val="Note de bas de page Car"/>
    <w:semiHidden/>
    <w:qFormat/>
    <w:rsid w:val="00a5467b"/>
    <w:rPr>
      <w:i/>
      <w:szCs w:val="24"/>
    </w:rPr>
  </w:style>
  <w:style w:customStyle="1" w:styleId="TextedebullesCar" w:type="character">
    <w:name w:val="Texte de bulles Car"/>
    <w:link w:val="BalloonText"/>
    <w:semiHidden/>
    <w:qFormat/>
    <w:rsid w:val="00a5467b"/>
    <w:rPr>
      <w:rFonts w:ascii="Tahoma" w:cs="Tahoma" w:hAnsi="Tahoma"/>
      <w:sz w:val="16"/>
      <w:szCs w:val="16"/>
    </w:rPr>
  </w:style>
  <w:style w:customStyle="1" w:styleId="ObjetducommentaireCar" w:type="character">
    <w:name w:val="Objet du commentaire Car"/>
    <w:link w:val="annotationsubject"/>
    <w:semiHidden/>
    <w:qFormat/>
    <w:rsid w:val="00a5467b"/>
    <w:rPr>
      <w:b/>
      <w:bCs/>
      <w:szCs w:val="24"/>
    </w:rPr>
  </w:style>
  <w:style w:styleId="FollowedHyperlink" w:type="character">
    <w:name w:val="FollowedHyperlink"/>
    <w:uiPriority w:val="99"/>
    <w:unhideWhenUsed/>
    <w:rsid w:val="00a5467b"/>
    <w:rPr>
      <w:color w:val="800080"/>
      <w:u w:val="single"/>
    </w:rPr>
  </w:style>
  <w:style w:customStyle="1" w:styleId="hl3" w:type="character">
    <w:name w:val="hl3"/>
    <w:qFormat/>
    <w:rsid w:val="00e77053"/>
    <w:rPr>
      <w:b/>
      <w:bCs/>
      <w:color w:val="FFFFFF"/>
      <w:shd w:fill="898FA6" w:val="clear"/>
    </w:rPr>
  </w:style>
  <w:style w:customStyle="1" w:styleId="textedp022" w:type="character">
    <w:name w:val="textedp022"/>
    <w:qFormat/>
    <w:rsid w:val="00e77053"/>
    <w:rPr>
      <w:color w:val="ED171F"/>
    </w:rPr>
  </w:style>
  <w:style w:customStyle="1" w:styleId="tiartf4" w:type="character">
    <w:name w:val="tiartf4"/>
    <w:qFormat/>
    <w:rsid w:val="00e77053"/>
    <w:rPr>
      <w:b/>
      <w:bCs/>
      <w:sz w:val="20"/>
      <w:szCs w:val="20"/>
    </w:rPr>
  </w:style>
  <w:style w:customStyle="1" w:styleId="Sous-titreCar" w:type="character">
    <w:name w:val="Sous-titre Car"/>
    <w:qFormat/>
    <w:rsid w:val="00a81222"/>
    <w:rPr>
      <w:rFonts w:ascii="Calibri Light" w:cs="Times New Roman" w:eastAsia="Times New Roman" w:hAnsi="Calibri Light"/>
      <w:sz w:val="24"/>
      <w:szCs w:val="24"/>
    </w:rPr>
  </w:style>
  <w:style w:customStyle="1" w:styleId="txt" w:type="character">
    <w:name w:val="txt"/>
    <w:qFormat/>
    <w:rsid w:val="005a74d1"/>
    <w:rPr/>
  </w:style>
  <w:style w:styleId="UnresolvedMention" w:type="character">
    <w:name w:val="Unresolved Mention"/>
    <w:uiPriority w:val="99"/>
    <w:semiHidden/>
    <w:unhideWhenUsed/>
    <w:qFormat/>
    <w:rsid w:val="008b0266"/>
    <w:rPr>
      <w:color w:val="605E5C"/>
      <w:shd w:fill="E1DFDD" w:val="clear"/>
    </w:rPr>
  </w:style>
  <w:style w:customStyle="1" w:styleId="txtbold" w:type="character">
    <w:name w:val="txtbold"/>
    <w:basedOn w:val="DefaultParagraphFont"/>
    <w:qFormat/>
    <w:rsid w:val="009969d3"/>
    <w:rPr/>
  </w:style>
  <w:style w:customStyle="1" w:styleId="net" w:type="character">
    <w:name w:val="net"/>
    <w:basedOn w:val="DefaultParagraphFont"/>
    <w:qFormat/>
    <w:rsid w:val="00fa6e16"/>
    <w:rPr/>
  </w:style>
  <w:style w:customStyle="1" w:styleId="Style1Car" w:type="character">
    <w:name w:val="Style1 Car"/>
    <w:basedOn w:val="Titre2Car"/>
    <w:link w:val="Style11"/>
    <w:qFormat/>
    <w:rsid w:val="000411c0"/>
    <w:rPr>
      <w:rFonts w:ascii="Times New Roman Gras" w:hAnsi="Times New Roman Gras"/>
      <w:b/>
      <w:smallCaps/>
      <w:sz w:val="24"/>
      <w:szCs w:val="24"/>
      <w:u w:val="single"/>
    </w:rPr>
  </w:style>
  <w:style w:styleId="Hyperlink" w:type="character">
    <w:name w:val="Hyperlink"/>
    <w:rPr>
      <w:color w:val="000080"/>
      <w:u w:val="single"/>
    </w:rPr>
  </w:style>
  <w:style w:styleId="Sautdindex" w:type="character">
    <w:name w:val="Saut d'index"/>
    <w:qFormat/>
    <w:rPr/>
  </w:style>
  <w:style w:styleId="Titre" w:type="paragraph">
    <w:name w:val="Titre"/>
    <w:basedOn w:val="Normal"/>
    <w:next w:val="Normal"/>
    <w:link w:val="TitreCar"/>
    <w:qFormat/>
    <w:rsid w:val="00dd51fc"/>
    <w:pPr>
      <w:pBdr>
        <w:top w:color="000000" w:space="0" w:sz="4" w:val="single"/>
        <w:left w:color="000000" w:space="4" w:sz="4" w:val="single"/>
        <w:bottom w:color="000000" w:space="17" w:sz="4" w:val="single"/>
        <w:right w:color="000000" w:space="4" w:sz="4" w:val="single"/>
      </w:pBdr>
      <w:shd w:color="auto" w:fill="D9D9D9" w:val="clear"/>
      <w:ind w:hanging="1077" w:left="1077"/>
      <w:jc w:val="center"/>
    </w:pPr>
    <w:rPr>
      <w:b/>
      <w:sz w:val="36"/>
      <w:szCs w:val="36"/>
    </w:rPr>
  </w:style>
  <w:style w:styleId="BodyText" w:type="paragraph">
    <w:name w:val="Body Text"/>
    <w:basedOn w:val="Normal"/>
    <w:link w:val="CorpsdetexteCar"/>
    <w:unhideWhenUsed/>
    <w:rsid w:val="00066cf5"/>
    <w:pPr>
      <w:spacing w:line="280" w:lineRule="exact"/>
    </w:pPr>
    <w:rPr>
      <w:rFonts w:ascii="Arial" w:hAnsi="Arial"/>
      <w:i/>
    </w:rPr>
  </w:style>
  <w:style w:styleId="List" w:type="paragraph">
    <w:name w:val="List"/>
    <w:basedOn w:val="Normal"/>
    <w:rsid w:val="008d79f9"/>
    <w:pPr>
      <w:numPr>
        <w:ilvl w:val="0"/>
        <w:numId w:val="1"/>
      </w:numPr>
      <w:tabs>
        <w:tab w:pos="708" w:val="clear"/>
        <w:tab w:leader="none" w:pos="1418" w:val="right"/>
        <w:tab w:leader="none" w:pos="8505" w:val="right"/>
      </w:tabs>
      <w:spacing w:after="0" w:before="120"/>
    </w:pPr>
    <w:rPr/>
  </w:style>
  <w:style w:styleId="Caption" w:type="paragraph">
    <w:name w:val="Caption"/>
    <w:basedOn w:val="Normal"/>
    <w:next w:val="Normal"/>
    <w:qFormat/>
    <w:rsid w:val="008d79f9"/>
    <w:pPr>
      <w:spacing w:after="240" w:before="120"/>
      <w:jc w:val="center"/>
    </w:pPr>
    <w:rPr>
      <w:rFonts w:ascii="Arial" w:hAnsi="Arial"/>
      <w:b/>
      <w:sz w:val="22"/>
    </w:rPr>
  </w:style>
  <w:style w:styleId="Index" w:type="paragraph">
    <w:name w:val="Index"/>
    <w:basedOn w:val="Normal"/>
    <w:qFormat/>
    <w:pPr>
      <w:suppressLineNumbers/>
    </w:pPr>
    <w:rPr>
      <w:rFonts w:ascii="Marianne" w:cs="Lucida Sans" w:hAnsi="Marianne"/>
    </w:rPr>
  </w:style>
  <w:style w:styleId="HeaderandFooter" w:type="paragraph">
    <w:name w:val="Header and Footer"/>
    <w:basedOn w:val="Normal"/>
    <w:qFormat/>
    <w:pPr/>
    <w:rPr/>
  </w:style>
  <w:style w:styleId="Footer" w:type="paragraph">
    <w:name w:val="Footer"/>
    <w:basedOn w:val="Normal"/>
    <w:link w:val="PieddepageCar"/>
    <w:uiPriority w:val="99"/>
    <w:rsid w:val="008d79f9"/>
    <w:pPr>
      <w:tabs>
        <w:tab w:pos="708" w:val="clear"/>
        <w:tab w:leader="none" w:pos="4536" w:val="center"/>
        <w:tab w:leader="none" w:pos="9072" w:val="right"/>
      </w:tabs>
    </w:pPr>
    <w:rPr>
      <w:rFonts w:ascii="Arial" w:hAnsi="Arial"/>
      <w:i/>
      <w:sz w:val="16"/>
    </w:rPr>
  </w:style>
  <w:style w:styleId="Header" w:type="paragraph">
    <w:name w:val="Header"/>
    <w:basedOn w:val="Normal"/>
    <w:link w:val="En-tteCar"/>
    <w:uiPriority w:val="99"/>
    <w:rsid w:val="008d79f9"/>
    <w:pPr>
      <w:tabs>
        <w:tab w:pos="708" w:val="clear"/>
        <w:tab w:leader="none" w:pos="4536" w:val="center"/>
        <w:tab w:leader="none" w:pos="9866" w:val="right"/>
      </w:tabs>
    </w:pPr>
    <w:rPr>
      <w:rFonts w:ascii="Arial" w:hAnsi="Arial"/>
      <w:i/>
      <w:sz w:val="16"/>
    </w:rPr>
  </w:style>
  <w:style w:customStyle="1" w:styleId="entsl" w:type="paragraph">
    <w:name w:val="entsl"/>
    <w:qFormat/>
    <w:rsid w:val="008d79f9"/>
    <w:pPr>
      <w:widowControl/>
      <w:bidi w:val="0"/>
      <w:spacing w:after="0" w:before="2000" w:line="240" w:lineRule="atLeast"/>
      <w:ind w:right="-567"/>
      <w:jc w:val="right"/>
    </w:pPr>
    <w:rPr>
      <w:rFonts w:ascii="Arial" w:cs="Arial" w:eastAsia="Times New Roman" w:hAnsi="Arial"/>
      <w:b/>
      <w:bCs/>
      <w:color w:val="95806E"/>
      <w:kern w:val="0"/>
      <w:sz w:val="22"/>
      <w:szCs w:val="22"/>
      <w:lang w:bidi="ar-SA" w:eastAsia="fr-FR" w:val="fr-FR"/>
    </w:rPr>
  </w:style>
  <w:style w:customStyle="1" w:styleId="TITREGENERAL" w:type="paragraph">
    <w:name w:val="TITRE GENERAL"/>
    <w:next w:val="Normal"/>
    <w:qFormat/>
    <w:rsid w:val="008d79f9"/>
    <w:pPr>
      <w:keepNext w:val="true"/>
      <w:pageBreakBefore/>
      <w:widowControl/>
      <w:tabs>
        <w:tab w:pos="708" w:val="clear"/>
        <w:tab w:leader="none" w:pos="3024" w:val="left"/>
      </w:tabs>
      <w:bidi w:val="0"/>
      <w:spacing w:after="1680" w:before="1680"/>
      <w:jc w:val="center"/>
    </w:pPr>
    <w:rPr>
      <w:rFonts w:ascii="Helvetica" w:cs="Times New Roman" w:eastAsia="Times New Roman" w:hAnsi="Helvetica"/>
      <w:b/>
      <w:caps/>
      <w:color w:val="auto"/>
      <w:kern w:val="0"/>
      <w:sz w:val="40"/>
      <w:szCs w:val="20"/>
      <w:lang w:bidi="ar-SA" w:eastAsia="fr-FR" w:val="fr-FR"/>
    </w:rPr>
  </w:style>
  <w:style w:customStyle="1" w:styleId="pa" w:type="paragraph">
    <w:name w:val="pa"/>
    <w:basedOn w:val="Normal"/>
    <w:qFormat/>
    <w:rsid w:val="008d79f9"/>
    <w:pPr>
      <w:tabs>
        <w:tab w:pos="708" w:val="clear"/>
        <w:tab w:leader="none" w:pos="9866" w:val="right"/>
      </w:tabs>
      <w:jc w:val="right"/>
    </w:pPr>
    <w:rPr/>
  </w:style>
  <w:style w:customStyle="1" w:styleId="lp" w:type="paragraph">
    <w:name w:val="lp"/>
    <w:basedOn w:val="li"/>
    <w:qFormat/>
    <w:rsid w:val="008d79f9"/>
    <w:pPr/>
    <w:rPr>
      <w:spacing w:val="120"/>
    </w:rPr>
  </w:style>
  <w:style w:customStyle="1" w:styleId="li" w:type="paragraph">
    <w:name w:val="li"/>
    <w:next w:val="Normal"/>
    <w:qFormat/>
    <w:rsid w:val="008d79f9"/>
    <w:pPr>
      <w:keepNext w:val="true"/>
      <w:widowControl/>
      <w:pBdr>
        <w:bottom w:color="000000" w:space="5" w:sz="6" w:val="single"/>
      </w:pBdr>
      <w:suppressAutoHyphens w:val="true"/>
      <w:bidi w:val="0"/>
      <w:spacing w:after="480" w:before="1100"/>
      <w:jc w:val="left"/>
    </w:pPr>
    <w:rPr>
      <w:rFonts w:ascii="Helvetica" w:cs="Times New Roman" w:eastAsia="Times New Roman" w:hAnsi="Helvetica"/>
      <w:b/>
      <w:color w:val="auto"/>
      <w:kern w:val="0"/>
      <w:sz w:val="28"/>
      <w:szCs w:val="20"/>
      <w:lang w:bidi="ar-SA" w:eastAsia="fr-FR" w:val="fr-FR"/>
    </w:rPr>
  </w:style>
  <w:style w:customStyle="1" w:styleId="PMPARAGRAPHEALAMARGE" w:type="paragraph">
    <w:name w:val="PM PARAGRAPHE A LA MARGE"/>
    <w:qFormat/>
    <w:rsid w:val="008d79f9"/>
    <w:pPr>
      <w:keepLines/>
      <w:widowControl/>
      <w:tabs>
        <w:tab w:pos="708" w:val="clear"/>
        <w:tab w:leader="none" w:pos="851" w:val="left"/>
      </w:tabs>
      <w:bidi w:val="0"/>
      <w:spacing w:after="120" w:before="120" w:line="288" w:lineRule="exact"/>
      <w:jc w:val="both"/>
    </w:pPr>
    <w:rPr>
      <w:rFonts w:ascii="Times" w:cs="Times New Roman" w:eastAsia="Times New Roman" w:hAnsi="Times"/>
      <w:color w:val="auto"/>
      <w:kern w:val="0"/>
      <w:sz w:val="24"/>
      <w:szCs w:val="20"/>
      <w:lang w:bidi="ar-SA" w:eastAsia="fr-FR" w:val="fr-FR"/>
    </w:rPr>
  </w:style>
  <w:style w:customStyle="1" w:styleId="PCPARAGRAPHECENTRE" w:type="paragraph">
    <w:name w:val="PC PARAGRAPHE CENTRE"/>
    <w:qFormat/>
    <w:rsid w:val="008d79f9"/>
    <w:pPr>
      <w:keepNext w:val="true"/>
      <w:widowControl/>
      <w:tabs>
        <w:tab w:pos="708" w:val="clear"/>
        <w:tab w:leader="none" w:pos="3024" w:val="left"/>
      </w:tabs>
      <w:bidi w:val="0"/>
      <w:spacing w:after="480" w:before="480" w:line="480" w:lineRule="exact"/>
      <w:jc w:val="center"/>
    </w:pPr>
    <w:rPr>
      <w:rFonts w:ascii="Helvetica" w:cs="Times New Roman" w:eastAsia="Times New Roman" w:hAnsi="Helvetica"/>
      <w:b/>
      <w:caps/>
      <w:color w:val="auto"/>
      <w:kern w:val="0"/>
      <w:sz w:val="28"/>
      <w:szCs w:val="20"/>
      <w:lang w:bidi="ar-SA" w:eastAsia="fr-FR" w:val="fr-FR"/>
    </w:rPr>
  </w:style>
  <w:style w:customStyle="1" w:styleId="td1" w:type="paragraph">
    <w:name w:val="td1"/>
    <w:basedOn w:val="Normal"/>
    <w:next w:val="Normal"/>
    <w:qFormat/>
    <w:rsid w:val="008d79f9"/>
    <w:pPr>
      <w:keepNext w:val="true"/>
      <w:pageBreakBefore/>
      <w:numPr>
        <w:ilvl w:val="0"/>
        <w:numId w:val="6"/>
      </w:numPr>
      <w:spacing w:after="1440" w:before="5200" w:line="800" w:lineRule="atLeast"/>
      <w:jc w:val="center"/>
      <w:outlineLvl w:val="0"/>
    </w:pPr>
    <w:rPr>
      <w:rFonts w:ascii="Arial" w:hAnsi="Arial"/>
      <w:b/>
      <w:caps/>
      <w:sz w:val="52"/>
    </w:rPr>
  </w:style>
  <w:style w:customStyle="1" w:styleId="STSOUSTITRE" w:type="paragraph">
    <w:name w:val="ST SOUS TITRE"/>
    <w:basedOn w:val="Normal"/>
    <w:qFormat/>
    <w:rsid w:val="008d79f9"/>
    <w:pPr>
      <w:keepNext w:val="true"/>
      <w:tabs>
        <w:tab w:pos="708" w:val="clear"/>
        <w:tab w:leader="none" w:pos="3969" w:val="left"/>
      </w:tabs>
      <w:spacing w:after="480" w:before="1920" w:line="240" w:lineRule="atLeast"/>
      <w:ind w:hanging="1701" w:left="3969"/>
      <w:jc w:val="left"/>
    </w:pPr>
    <w:rPr>
      <w:rFonts w:ascii="Arial" w:cs="Arial" w:hAnsi="Arial"/>
      <w:b/>
      <w:bCs/>
      <w:color w:val="95806E"/>
      <w:sz w:val="22"/>
      <w:szCs w:val="22"/>
    </w:rPr>
  </w:style>
  <w:style w:customStyle="1" w:styleId="ental" w:type="paragraph">
    <w:name w:val="ental"/>
    <w:qFormat/>
    <w:rsid w:val="008d79f9"/>
    <w:pPr>
      <w:widowControl/>
      <w:pBdr>
        <w:bottom w:color="000000" w:space="2" w:sz="6" w:val="single"/>
      </w:pBdr>
      <w:bidi w:val="0"/>
      <w:spacing w:after="0" w:before="0" w:line="240" w:lineRule="exact"/>
      <w:jc w:val="right"/>
    </w:pPr>
    <w:rPr>
      <w:rFonts w:ascii="Arial" w:cs="Times New Roman" w:eastAsia="Times New Roman" w:hAnsi="Arial"/>
      <w:color w:val="auto"/>
      <w:kern w:val="0"/>
      <w:sz w:val="16"/>
      <w:szCs w:val="20"/>
      <w:lang w:bidi="ar-SA" w:eastAsia="fr-FR" w:val="fr-FR"/>
    </w:rPr>
  </w:style>
  <w:style w:customStyle="1" w:styleId="R1PREMIERRETRAITGAUCHE" w:type="paragraph">
    <w:name w:val="R1 PREMIER RETRAIT GAUCHE"/>
    <w:qFormat/>
    <w:rsid w:val="008d79f9"/>
    <w:pPr>
      <w:keepLines/>
      <w:widowControl/>
      <w:tabs>
        <w:tab w:pos="708" w:val="clear"/>
        <w:tab w:leader="none" w:pos="1134" w:val="left"/>
      </w:tabs>
      <w:bidi w:val="0"/>
      <w:spacing w:after="0" w:before="0" w:line="240" w:lineRule="exact"/>
      <w:ind w:left="851"/>
      <w:jc w:val="both"/>
    </w:pPr>
    <w:rPr>
      <w:rFonts w:ascii="Times" w:cs="Times New Roman" w:eastAsia="Times New Roman" w:hAnsi="Times"/>
      <w:color w:val="auto"/>
      <w:kern w:val="0"/>
      <w:sz w:val="20"/>
      <w:szCs w:val="20"/>
      <w:lang w:bidi="ar-SA" w:eastAsia="fr-FR" w:val="fr-FR"/>
    </w:rPr>
  </w:style>
  <w:style w:customStyle="1" w:styleId="PXPARAGRSANSRETOUR" w:type="paragraph">
    <w:name w:val="PX PARAGR. SANS RETOUR"/>
    <w:qFormat/>
    <w:rsid w:val="008d79f9"/>
    <w:pPr>
      <w:keepLines/>
      <w:widowControl/>
      <w:bidi w:val="0"/>
      <w:spacing w:after="0" w:before="0"/>
      <w:ind w:left="851"/>
      <w:jc w:val="both"/>
    </w:pPr>
    <w:rPr>
      <w:rFonts w:ascii="Times" w:cs="Times New Roman" w:eastAsia="Times New Roman" w:hAnsi="Times"/>
      <w:color w:val="auto"/>
      <w:kern w:val="0"/>
      <w:sz w:val="24"/>
      <w:szCs w:val="20"/>
      <w:lang w:bidi="ar-SA" w:eastAsia="fr-FR" w:val="fr-FR"/>
    </w:rPr>
  </w:style>
  <w:style w:customStyle="1" w:styleId="R3RETRAIT1CITATION" w:type="paragraph">
    <w:name w:val="R3 RETRAIT 1 CITATION"/>
    <w:qFormat/>
    <w:rsid w:val="008d79f9"/>
    <w:pPr>
      <w:keepLines/>
      <w:widowControl/>
      <w:tabs>
        <w:tab w:pos="708" w:val="clear"/>
        <w:tab w:leader="none" w:pos="1056" w:val="left"/>
        <w:tab w:leader="none" w:pos="1128" w:val="left"/>
      </w:tabs>
      <w:bidi w:val="0"/>
      <w:spacing w:after="120" w:before="120" w:line="288" w:lineRule="exact"/>
      <w:ind w:hanging="397" w:left="1134" w:right="1134"/>
      <w:jc w:val="both"/>
    </w:pPr>
    <w:rPr>
      <w:rFonts w:ascii="Times" w:cs="Times New Roman" w:eastAsia="Times New Roman" w:hAnsi="Times"/>
      <w:i/>
      <w:color w:val="auto"/>
      <w:kern w:val="0"/>
      <w:sz w:val="24"/>
      <w:szCs w:val="20"/>
      <w:lang w:bidi="ar-SA" w:eastAsia="fr-FR" w:val="fr-FR"/>
    </w:rPr>
  </w:style>
  <w:style w:customStyle="1" w:styleId="R4RETRAIT2CITATION" w:type="paragraph">
    <w:name w:val="R4 RETRAIT 2 CITATION"/>
    <w:qFormat/>
    <w:rsid w:val="008d79f9"/>
    <w:pPr>
      <w:keepLines/>
      <w:widowControl/>
      <w:tabs>
        <w:tab w:pos="708" w:val="clear"/>
        <w:tab w:leader="none" w:pos="1512" w:val="left"/>
      </w:tabs>
      <w:bidi w:val="0"/>
      <w:spacing w:after="120" w:before="120" w:line="288" w:lineRule="exact"/>
      <w:ind w:hanging="539" w:left="1701" w:right="1134"/>
      <w:jc w:val="both"/>
    </w:pPr>
    <w:rPr>
      <w:rFonts w:ascii="Times" w:cs="Times New Roman" w:eastAsia="Times New Roman" w:hAnsi="Times"/>
      <w:i/>
      <w:color w:val="auto"/>
      <w:kern w:val="0"/>
      <w:sz w:val="24"/>
      <w:szCs w:val="20"/>
      <w:lang w:bidi="ar-SA" w:eastAsia="fr-FR" w:val="fr-FR"/>
    </w:rPr>
  </w:style>
  <w:style w:customStyle="1" w:styleId="R2DEUXIEMERETRAIT" w:type="paragraph">
    <w:name w:val="R2 DEUXIEME RETRAIT"/>
    <w:qFormat/>
    <w:rsid w:val="008d79f9"/>
    <w:pPr>
      <w:keepLines/>
      <w:widowControl/>
      <w:tabs>
        <w:tab w:pos="708" w:val="clear"/>
        <w:tab w:leader="none" w:pos="1296" w:val="left"/>
        <w:tab w:leader="none" w:pos="1422" w:val="left"/>
      </w:tabs>
      <w:bidi w:val="0"/>
      <w:spacing w:after="120" w:before="72" w:line="288" w:lineRule="exact"/>
      <w:ind w:hanging="159" w:left="1293"/>
      <w:jc w:val="both"/>
    </w:pPr>
    <w:rPr>
      <w:rFonts w:ascii="Times" w:cs="Times New Roman" w:eastAsia="Times New Roman" w:hAnsi="Times"/>
      <w:color w:val="auto"/>
      <w:kern w:val="0"/>
      <w:sz w:val="24"/>
      <w:szCs w:val="20"/>
      <w:lang w:bidi="ar-SA" w:eastAsia="fr-FR" w:val="fr-FR"/>
    </w:rPr>
  </w:style>
  <w:style w:customStyle="1" w:styleId="RRRETRAITSANSESPACE" w:type="paragraph">
    <w:name w:val="RR RETRAIT SANS ESPACE"/>
    <w:qFormat/>
    <w:rsid w:val="008d79f9"/>
    <w:pPr>
      <w:keepLines/>
      <w:widowControl/>
      <w:tabs>
        <w:tab w:pos="708" w:val="clear"/>
        <w:tab w:leader="none" w:pos="1134" w:val="left"/>
      </w:tabs>
      <w:bidi w:val="0"/>
      <w:spacing w:after="0" w:before="0" w:line="288" w:lineRule="exact"/>
      <w:ind w:hanging="284" w:left="1134"/>
      <w:jc w:val="both"/>
    </w:pPr>
    <w:rPr>
      <w:rFonts w:ascii="Times" w:cs="Times New Roman" w:eastAsia="Times New Roman" w:hAnsi="Times"/>
      <w:color w:val="auto"/>
      <w:kern w:val="0"/>
      <w:sz w:val="24"/>
      <w:szCs w:val="20"/>
      <w:lang w:bidi="ar-SA" w:eastAsia="fr-FR" w:val="fr-FR"/>
    </w:rPr>
  </w:style>
  <w:style w:customStyle="1" w:styleId="R5RETRAITAVECN" w:type="paragraph">
    <w:name w:val="R5 RETRAIT AVEC N°"/>
    <w:qFormat/>
    <w:rsid w:val="008d79f9"/>
    <w:pPr>
      <w:keepNext w:val="true"/>
      <w:keepLines/>
      <w:widowControl/>
      <w:tabs>
        <w:tab w:pos="708" w:val="clear"/>
        <w:tab w:leader="none" w:pos="432" w:val="left"/>
        <w:tab w:leader="none" w:pos="851" w:val="left"/>
      </w:tabs>
      <w:bidi w:val="0"/>
      <w:spacing w:after="240" w:before="120" w:line="288" w:lineRule="exact"/>
      <w:ind w:hanging="851" w:left="851"/>
      <w:jc w:val="both"/>
    </w:pPr>
    <w:rPr>
      <w:rFonts w:ascii="Times New Roman" w:cs="Times New Roman" w:eastAsia="Times New Roman" w:hAnsi="Times New Roman"/>
      <w:color w:val="auto"/>
      <w:kern w:val="0"/>
      <w:sz w:val="26"/>
      <w:szCs w:val="20"/>
      <w:lang w:bidi="ar-SA" w:eastAsia="fr-FR" w:val="fr-FR"/>
    </w:rPr>
  </w:style>
  <w:style w:customStyle="1" w:styleId="PO" w:type="paragraph">
    <w:name w:val="PO"/>
    <w:basedOn w:val="Normal"/>
    <w:qFormat/>
    <w:rsid w:val="008d79f9"/>
    <w:pPr>
      <w:tabs>
        <w:tab w:pos="708" w:val="clear"/>
        <w:tab w:leader="none" w:pos="426" w:val="left"/>
        <w:tab w:leader="none" w:pos="851" w:val="left"/>
      </w:tabs>
      <w:spacing w:after="240" w:before="0"/>
      <w:ind w:hanging="851"/>
    </w:pPr>
    <w:rPr/>
  </w:style>
  <w:style w:customStyle="1" w:styleId="P11erCOTEACOTE" w:type="paragraph">
    <w:name w:val="P1 1er COTE A COTE"/>
    <w:qFormat/>
    <w:rsid w:val="008d79f9"/>
    <w:pPr>
      <w:keepLines/>
      <w:widowControl/>
      <w:tabs>
        <w:tab w:pos="708" w:val="clear"/>
        <w:tab w:leader="none" w:pos="1008" w:val="left"/>
        <w:tab w:leader="dot" w:pos="6912" w:val="left"/>
      </w:tabs>
      <w:bidi w:val="0"/>
      <w:spacing w:after="120" w:before="120" w:line="240" w:lineRule="exact"/>
      <w:ind w:hanging="157" w:left="1008" w:right="2835"/>
      <w:jc w:val="both"/>
    </w:pPr>
    <w:rPr>
      <w:rFonts w:ascii="Times" w:cs="Times New Roman" w:eastAsia="Times New Roman" w:hAnsi="Times"/>
      <w:color w:val="auto"/>
      <w:kern w:val="0"/>
      <w:sz w:val="20"/>
      <w:szCs w:val="20"/>
      <w:lang w:bidi="ar-SA" w:eastAsia="fr-FR" w:val="fr-FR"/>
    </w:rPr>
  </w:style>
  <w:style w:customStyle="1" w:styleId="P22meCOTEACOTE" w:type="paragraph">
    <w:name w:val="P2 2ème COTE A COTE"/>
    <w:qFormat/>
    <w:rsid w:val="008d79f9"/>
    <w:pPr>
      <w:keepLines/>
      <w:widowControl/>
      <w:tabs>
        <w:tab w:pos="708" w:val="clear"/>
        <w:tab w:leader="none" w:pos="8640" w:val="decimal"/>
      </w:tabs>
      <w:bidi w:val="0"/>
      <w:spacing w:after="120" w:before="120" w:line="240" w:lineRule="exact"/>
      <w:ind w:left="6804"/>
      <w:jc w:val="both"/>
    </w:pPr>
    <w:rPr>
      <w:rFonts w:ascii="Times" w:cs="Times New Roman" w:eastAsia="Times New Roman" w:hAnsi="Times"/>
      <w:color w:val="auto"/>
      <w:kern w:val="0"/>
      <w:sz w:val="20"/>
      <w:szCs w:val="20"/>
      <w:lang w:bidi="ar-SA" w:eastAsia="fr-FR" w:val="fr-FR"/>
    </w:rPr>
  </w:style>
  <w:style w:customStyle="1" w:styleId="P4COTEACOTEPSIGNATURE" w:type="paragraph">
    <w:name w:val="P4 COTE A COTE P/SIGNATURE"/>
    <w:qFormat/>
    <w:rsid w:val="008d79f9"/>
    <w:pPr>
      <w:keepLines/>
      <w:widowControl/>
      <w:pBdr>
        <w:top w:color="000000" w:space="0" w:sz="6" w:val="single"/>
        <w:left w:color="000000" w:space="0" w:sz="6" w:val="single"/>
        <w:bottom w:color="000000" w:space="0" w:sz="6" w:val="single"/>
        <w:right w:color="000000" w:space="0" w:sz="6" w:val="single"/>
      </w:pBdr>
      <w:tabs>
        <w:tab w:pos="708" w:val="clear"/>
        <w:tab w:leader="underscore" w:pos="9648" w:val="left"/>
      </w:tabs>
      <w:bidi w:val="0"/>
      <w:spacing w:after="0" w:before="0" w:line="240" w:lineRule="exact"/>
      <w:ind w:left="5387"/>
      <w:jc w:val="left"/>
    </w:pPr>
    <w:rPr>
      <w:rFonts w:ascii="Times" w:cs="Times New Roman" w:eastAsia="Times New Roman" w:hAnsi="Times"/>
      <w:color w:val="auto"/>
      <w:kern w:val="0"/>
      <w:sz w:val="20"/>
      <w:szCs w:val="20"/>
      <w:lang w:bidi="ar-SA" w:eastAsia="fr-FR" w:val="fr-FR"/>
    </w:rPr>
  </w:style>
  <w:style w:customStyle="1" w:styleId="P3COTEACOTEPSIGNATURE" w:type="paragraph">
    <w:name w:val="P3 COTE A COTE P/SIGNATURE"/>
    <w:qFormat/>
    <w:rsid w:val="008d79f9"/>
    <w:pPr>
      <w:keepLines/>
      <w:widowControl/>
      <w:pBdr>
        <w:top w:color="000000" w:space="0" w:sz="6" w:val="single"/>
        <w:left w:color="000000" w:space="0" w:sz="6" w:val="single"/>
        <w:bottom w:color="000000" w:space="0" w:sz="6" w:val="single"/>
        <w:right w:color="000000" w:space="0" w:sz="6" w:val="single"/>
      </w:pBdr>
      <w:tabs>
        <w:tab w:pos="708" w:val="clear"/>
        <w:tab w:leader="underscore" w:pos="4896" w:val="left"/>
      </w:tabs>
      <w:bidi w:val="0"/>
      <w:spacing w:after="0" w:before="0" w:line="240" w:lineRule="exact"/>
      <w:ind w:left="851" w:right="4820"/>
      <w:jc w:val="left"/>
    </w:pPr>
    <w:rPr>
      <w:rFonts w:ascii="Times" w:cs="Times New Roman" w:eastAsia="Times New Roman" w:hAnsi="Times"/>
      <w:color w:val="auto"/>
      <w:kern w:val="0"/>
      <w:sz w:val="20"/>
      <w:szCs w:val="20"/>
      <w:lang w:bidi="ar-SA" w:eastAsia="fr-FR" w:val="fr-FR"/>
    </w:rPr>
  </w:style>
  <w:style w:customStyle="1" w:styleId="L2LIGNEHELVETICA12" w:type="paragraph">
    <w:name w:val="L2 LIGNE HELVETICA 12"/>
    <w:qFormat/>
    <w:rsid w:val="008d79f9"/>
    <w:pPr>
      <w:keepNext w:val="true"/>
      <w:keepLines/>
      <w:widowControl/>
      <w:pBdr>
        <w:bottom w:color="000000" w:space="0" w:sz="6" w:val="single"/>
      </w:pBdr>
      <w:bidi w:val="0"/>
      <w:spacing w:after="480" w:before="960"/>
      <w:ind w:left="851"/>
      <w:jc w:val="left"/>
    </w:pPr>
    <w:rPr>
      <w:rFonts w:ascii="Helvetica" w:cs="Times New Roman" w:eastAsia="Times New Roman" w:hAnsi="Helvetica"/>
      <w:color w:val="auto"/>
      <w:kern w:val="0"/>
      <w:sz w:val="24"/>
      <w:szCs w:val="20"/>
      <w:lang w:bidi="ar-SA" w:eastAsia="fr-FR" w:val="fr-FR"/>
    </w:rPr>
  </w:style>
  <w:style w:customStyle="1" w:styleId="PTTITREACTESDIVER" w:type="paragraph">
    <w:name w:val="PT TITRE ACTES DIVER"/>
    <w:qFormat/>
    <w:rsid w:val="008d79f9"/>
    <w:pPr>
      <w:keepNext w:val="true"/>
      <w:widowControl/>
      <w:pBdr>
        <w:top w:color="000000" w:space="0" w:sz="6" w:val="single"/>
        <w:bottom w:color="000000" w:space="0" w:sz="6" w:val="single"/>
      </w:pBdr>
      <w:bidi w:val="0"/>
      <w:spacing w:after="1200" w:before="720"/>
      <w:ind w:left="851"/>
      <w:jc w:val="center"/>
    </w:pPr>
    <w:rPr>
      <w:rFonts w:ascii="Times" w:cs="Times New Roman" w:eastAsia="Times New Roman" w:hAnsi="Times"/>
      <w:color w:val="auto"/>
      <w:kern w:val="0"/>
      <w:sz w:val="32"/>
      <w:szCs w:val="20"/>
      <w:lang w:bidi="ar-SA" w:eastAsia="fr-FR" w:val="fr-FR"/>
    </w:rPr>
  </w:style>
  <w:style w:customStyle="1" w:styleId="PIPARAGRAPHEITALIQUE" w:type="paragraph">
    <w:name w:val="PI PARAGRAPHE ITALIQUE"/>
    <w:qFormat/>
    <w:rsid w:val="008d79f9"/>
    <w:pPr>
      <w:keepLines/>
      <w:widowControl/>
      <w:tabs>
        <w:tab w:pos="708" w:val="clear"/>
        <w:tab w:leader="none" w:pos="1134" w:val="left"/>
      </w:tabs>
      <w:bidi w:val="0"/>
      <w:spacing w:after="120" w:before="120" w:line="288" w:lineRule="exact"/>
      <w:ind w:hanging="283" w:left="1134"/>
      <w:jc w:val="both"/>
    </w:pPr>
    <w:rPr>
      <w:rFonts w:ascii="Times" w:cs="Times New Roman" w:eastAsia="Times New Roman" w:hAnsi="Times"/>
      <w:color w:val="auto"/>
      <w:kern w:val="0"/>
      <w:sz w:val="24"/>
      <w:szCs w:val="20"/>
      <w:lang w:bidi="ar-SA" w:eastAsia="fr-FR" w:val="fr-FR"/>
    </w:rPr>
  </w:style>
  <w:style w:customStyle="1" w:styleId="PAPARAGRAVOCAT" w:type="paragraph">
    <w:name w:val="PA PARAGR. AVOCAT"/>
    <w:qFormat/>
    <w:rsid w:val="008d79f9"/>
    <w:pPr>
      <w:keepLines/>
      <w:widowControl/>
      <w:bidi w:val="0"/>
      <w:spacing w:after="0" w:before="120" w:line="360" w:lineRule="exact"/>
      <w:ind w:left="851"/>
      <w:jc w:val="right"/>
    </w:pPr>
    <w:rPr>
      <w:rFonts w:ascii="Times" w:cs="Times New Roman" w:eastAsia="Times New Roman" w:hAnsi="Times"/>
      <w:color w:val="auto"/>
      <w:kern w:val="0"/>
      <w:sz w:val="20"/>
      <w:szCs w:val="20"/>
      <w:lang w:bidi="ar-SA" w:eastAsia="fr-FR" w:val="fr-FR"/>
    </w:rPr>
  </w:style>
  <w:style w:customStyle="1" w:styleId="PIPARAGRITALIQUE" w:type="paragraph">
    <w:name w:val="PI PARAGR. ITALIQUE"/>
    <w:qFormat/>
    <w:rsid w:val="008d79f9"/>
    <w:pPr>
      <w:widowControl/>
      <w:bidi w:val="0"/>
      <w:spacing w:after="120" w:before="120" w:line="240" w:lineRule="exact"/>
      <w:ind w:left="851"/>
      <w:jc w:val="both"/>
    </w:pPr>
    <w:rPr>
      <w:rFonts w:ascii="Times" w:cs="Times New Roman" w:eastAsia="Times New Roman" w:hAnsi="Times"/>
      <w:i/>
      <w:color w:val="auto"/>
      <w:kern w:val="0"/>
      <w:sz w:val="26"/>
      <w:szCs w:val="20"/>
      <w:lang w:bidi="ar-SA" w:eastAsia="fr-FR" w:val="fr-FR"/>
    </w:rPr>
  </w:style>
  <w:style w:customStyle="1" w:styleId="RETRAIT1NORMAL" w:type="paragraph">
    <w:name w:val="RETRAIT 1 NORMAL"/>
    <w:qFormat/>
    <w:rsid w:val="008d79f9"/>
    <w:pPr>
      <w:keepLines/>
      <w:widowControl/>
      <w:tabs>
        <w:tab w:pos="708" w:val="clear"/>
        <w:tab w:leader="none" w:pos="1134" w:val="left"/>
      </w:tabs>
      <w:bidi w:val="0"/>
      <w:spacing w:after="120" w:before="48" w:line="288" w:lineRule="exact"/>
      <w:ind w:hanging="284" w:left="1134"/>
      <w:jc w:val="both"/>
    </w:pPr>
    <w:rPr>
      <w:rFonts w:ascii="Times New Roman" w:cs="Times New Roman" w:eastAsia="Times New Roman" w:hAnsi="Times New Roman"/>
      <w:color w:val="auto"/>
      <w:kern w:val="0"/>
      <w:sz w:val="26"/>
      <w:szCs w:val="20"/>
      <w:lang w:bidi="ar-SA" w:eastAsia="fr-FR" w:val="fr-FR"/>
    </w:rPr>
  </w:style>
  <w:style w:customStyle="1" w:styleId="RETRAITAVECN" w:type="paragraph">
    <w:name w:val="RETRAIT AVEC N°"/>
    <w:qFormat/>
    <w:rsid w:val="008d79f9"/>
    <w:pPr>
      <w:keepNext w:val="true"/>
      <w:keepLines/>
      <w:widowControl/>
      <w:numPr>
        <w:ilvl w:val="0"/>
        <w:numId w:val="3"/>
      </w:numPr>
      <w:bidi w:val="0"/>
      <w:spacing w:after="0" w:before="240"/>
      <w:ind w:hanging="397" w:left="1248"/>
      <w:jc w:val="both"/>
    </w:pPr>
    <w:rPr>
      <w:rFonts w:ascii="Times New Roman" w:cs="Times New Roman" w:eastAsia="Times New Roman" w:hAnsi="Times New Roman"/>
      <w:color w:val="auto"/>
      <w:kern w:val="0"/>
      <w:sz w:val="24"/>
      <w:szCs w:val="20"/>
      <w:lang w:bidi="ar-SA" w:eastAsia="fr-FR" w:val="fr-FR"/>
    </w:rPr>
  </w:style>
  <w:style w:customStyle="1" w:styleId="RETRAIT2NORMAL" w:type="paragraph">
    <w:name w:val="RETRAIT 2 NORMAL"/>
    <w:qFormat/>
    <w:rsid w:val="008d79f9"/>
    <w:pPr>
      <w:keepLines/>
      <w:widowControl/>
      <w:tabs>
        <w:tab w:pos="708" w:val="clear"/>
        <w:tab w:leader="none" w:pos="1296" w:val="left"/>
        <w:tab w:leader="none" w:pos="1422" w:val="left"/>
      </w:tabs>
      <w:bidi w:val="0"/>
      <w:spacing w:after="120" w:before="72" w:line="288" w:lineRule="exact"/>
      <w:ind w:hanging="159" w:left="1293"/>
      <w:jc w:val="both"/>
    </w:pPr>
    <w:rPr>
      <w:rFonts w:ascii="Times New Roman" w:cs="Times New Roman" w:eastAsia="Times New Roman" w:hAnsi="Times New Roman"/>
      <w:color w:val="auto"/>
      <w:kern w:val="0"/>
      <w:sz w:val="26"/>
      <w:szCs w:val="20"/>
      <w:lang w:bidi="ar-SA" w:eastAsia="fr-FR" w:val="fr-FR"/>
    </w:rPr>
  </w:style>
  <w:style w:customStyle="1" w:styleId="PMPARAGRALAMARGE" w:type="paragraph">
    <w:name w:val="PM PARAGR. A LA MARGE"/>
    <w:qFormat/>
    <w:rsid w:val="008d79f9"/>
    <w:pPr>
      <w:keepLines/>
      <w:widowControl/>
      <w:tabs>
        <w:tab w:pos="708" w:val="clear"/>
        <w:tab w:leader="none" w:pos="851" w:val="left"/>
      </w:tabs>
      <w:bidi w:val="0"/>
      <w:spacing w:after="120" w:before="120" w:line="288" w:lineRule="exact"/>
      <w:jc w:val="both"/>
    </w:pPr>
    <w:rPr>
      <w:rFonts w:ascii="Times" w:cs="Times New Roman" w:eastAsia="Times New Roman" w:hAnsi="Times"/>
      <w:color w:val="auto"/>
      <w:kern w:val="0"/>
      <w:sz w:val="24"/>
      <w:szCs w:val="20"/>
      <w:lang w:bidi="ar-SA" w:eastAsia="fr-FR" w:val="fr-FR"/>
    </w:rPr>
  </w:style>
  <w:style w:customStyle="1" w:styleId="TITREACTESDIVERS" w:type="paragraph">
    <w:name w:val="TITRE ACTES DIVERS"/>
    <w:qFormat/>
    <w:rsid w:val="008d79f9"/>
    <w:pPr>
      <w:keepNext w:val="true"/>
      <w:widowControl/>
      <w:pBdr>
        <w:top w:color="000000" w:space="0" w:sz="6" w:val="single"/>
        <w:bottom w:color="000000" w:space="0" w:sz="6" w:val="single"/>
      </w:pBdr>
      <w:bidi w:val="0"/>
      <w:spacing w:after="1200" w:before="720"/>
      <w:ind w:left="851"/>
      <w:jc w:val="center"/>
    </w:pPr>
    <w:rPr>
      <w:rFonts w:ascii="Times" w:cs="Times New Roman" w:eastAsia="Times New Roman" w:hAnsi="Times"/>
      <w:color w:val="auto"/>
      <w:kern w:val="0"/>
      <w:sz w:val="32"/>
      <w:szCs w:val="20"/>
      <w:lang w:bidi="ar-SA" w:eastAsia="fr-FR" w:val="fr-FR"/>
    </w:rPr>
  </w:style>
  <w:style w:customStyle="1" w:styleId="RETRAIT1CITATION" w:type="paragraph">
    <w:name w:val="RETRAIT 1 CITATION"/>
    <w:qFormat/>
    <w:rsid w:val="008d79f9"/>
    <w:pPr>
      <w:keepLines/>
      <w:widowControl/>
      <w:tabs>
        <w:tab w:pos="708" w:val="clear"/>
        <w:tab w:leader="none" w:pos="1056" w:val="left"/>
        <w:tab w:leader="none" w:pos="1128" w:val="left"/>
      </w:tabs>
      <w:bidi w:val="0"/>
      <w:spacing w:after="120" w:before="120" w:line="288" w:lineRule="exact"/>
      <w:ind w:hanging="397" w:left="1134" w:right="1134"/>
      <w:jc w:val="both"/>
    </w:pPr>
    <w:rPr>
      <w:rFonts w:ascii="Times" w:cs="Times New Roman" w:eastAsia="Times New Roman" w:hAnsi="Times"/>
      <w:i/>
      <w:color w:val="auto"/>
      <w:kern w:val="0"/>
      <w:sz w:val="24"/>
      <w:szCs w:val="20"/>
      <w:lang w:bidi="ar-SA" w:eastAsia="fr-FR" w:val="fr-FR"/>
    </w:rPr>
  </w:style>
  <w:style w:customStyle="1" w:styleId="RETRAIT2CITATION" w:type="paragraph">
    <w:name w:val="RETRAIT 2 CITATION"/>
    <w:qFormat/>
    <w:rsid w:val="008d79f9"/>
    <w:pPr>
      <w:keepLines/>
      <w:widowControl/>
      <w:tabs>
        <w:tab w:pos="708" w:val="clear"/>
        <w:tab w:leader="none" w:pos="1512" w:val="left"/>
      </w:tabs>
      <w:bidi w:val="0"/>
      <w:spacing w:after="120" w:before="120" w:line="288" w:lineRule="exact"/>
      <w:ind w:hanging="539" w:left="1701" w:right="1134"/>
      <w:jc w:val="both"/>
    </w:pPr>
    <w:rPr>
      <w:rFonts w:ascii="Times" w:cs="Times New Roman" w:eastAsia="Times New Roman" w:hAnsi="Times"/>
      <w:i/>
      <w:color w:val="auto"/>
      <w:kern w:val="0"/>
      <w:sz w:val="24"/>
      <w:szCs w:val="20"/>
      <w:lang w:bidi="ar-SA" w:eastAsia="fr-FR" w:val="fr-FR"/>
    </w:rPr>
  </w:style>
  <w:style w:customStyle="1" w:styleId="RETRAIT1SANSESPACE" w:type="paragraph">
    <w:name w:val="RETRAIT 1 SANS ESPACE"/>
    <w:qFormat/>
    <w:rsid w:val="008d79f9"/>
    <w:pPr>
      <w:keepLines/>
      <w:widowControl/>
      <w:tabs>
        <w:tab w:pos="708" w:val="clear"/>
        <w:tab w:leader="none" w:pos="1134" w:val="left"/>
      </w:tabs>
      <w:bidi w:val="0"/>
      <w:spacing w:after="0" w:before="0" w:line="288" w:lineRule="exact"/>
      <w:ind w:hanging="284" w:left="1134"/>
      <w:jc w:val="both"/>
    </w:pPr>
    <w:rPr>
      <w:rFonts w:ascii="Times New Roman" w:cs="Times New Roman" w:eastAsia="Times New Roman" w:hAnsi="Times New Roman"/>
      <w:color w:val="auto"/>
      <w:kern w:val="0"/>
      <w:sz w:val="26"/>
      <w:szCs w:val="20"/>
      <w:lang w:bidi="ar-SA" w:eastAsia="fr-FR" w:val="fr-FR"/>
    </w:rPr>
  </w:style>
  <w:style w:customStyle="1" w:styleId="SOUSTITRE" w:type="paragraph">
    <w:name w:val="SOUS TITRE"/>
    <w:basedOn w:val="Normal"/>
    <w:next w:val="STSOUSTITRE"/>
    <w:qFormat/>
    <w:rsid w:val="008d79f9"/>
    <w:pPr>
      <w:spacing w:after="0" w:before="1800"/>
      <w:ind w:left="1701" w:right="-567"/>
      <w:jc w:val="center"/>
    </w:pPr>
    <w:rPr>
      <w:rFonts w:ascii="Century Gothic" w:cs="Century Gothic" w:hAnsi="Century Gothic"/>
      <w:smallCaps/>
      <w:color w:val="95806E"/>
      <w:sz w:val="52"/>
      <w:szCs w:val="52"/>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style>
  <w:style w:styleId="ListBullet2" w:type="paragraph">
    <w:name w:val="List Bullet 2"/>
    <w:basedOn w:val="Normal"/>
    <w:rsid w:val="008d79f9"/>
    <w:pPr>
      <w:numPr>
        <w:ilvl w:val="0"/>
        <w:numId w:val="2"/>
      </w:numPr>
      <w:tabs>
        <w:tab w:pos="708" w:val="clear"/>
        <w:tab w:leader="none" w:pos="1134" w:val="left"/>
      </w:tabs>
    </w:pPr>
    <w:rPr>
      <w:rFonts w:ascii="Times" w:hAnsi="Times"/>
    </w:rPr>
  </w:style>
  <w:style w:styleId="ListBullet" w:type="paragraph">
    <w:name w:val="List Bullet"/>
    <w:basedOn w:val="Normal"/>
    <w:rsid w:val="008d79f9"/>
    <w:pPr>
      <w:numPr>
        <w:ilvl w:val="0"/>
        <w:numId w:val="5"/>
      </w:numPr>
      <w:tabs>
        <w:tab w:pos="708" w:val="clear"/>
        <w:tab w:leader="none" w:pos="1134" w:val="left"/>
      </w:tabs>
    </w:pPr>
    <w:rPr/>
  </w:style>
  <w:style w:customStyle="1" w:styleId="P4COTEACOTEPOURSIGNATURE" w:type="paragraph">
    <w:name w:val="P4 COTE A COTE POUR SIGNATURE"/>
    <w:qFormat/>
    <w:rsid w:val="008d79f9"/>
    <w:pPr>
      <w:keepLines/>
      <w:widowControl/>
      <w:pBdr>
        <w:top w:color="000000" w:space="0" w:sz="6" w:val="single"/>
        <w:left w:color="000000" w:space="0" w:sz="6" w:val="single"/>
        <w:bottom w:color="000000" w:space="0" w:sz="6" w:val="single"/>
        <w:right w:color="000000" w:space="0" w:sz="6" w:val="single"/>
      </w:pBdr>
      <w:tabs>
        <w:tab w:pos="708" w:val="clear"/>
        <w:tab w:leader="underscore" w:pos="9648" w:val="left"/>
      </w:tabs>
      <w:bidi w:val="0"/>
      <w:spacing w:after="0" w:before="0" w:line="240" w:lineRule="exact"/>
      <w:ind w:left="5387"/>
      <w:jc w:val="left"/>
    </w:pPr>
    <w:rPr>
      <w:rFonts w:ascii="Times" w:cs="Times New Roman" w:eastAsia="Times New Roman" w:hAnsi="Times"/>
      <w:color w:val="auto"/>
      <w:kern w:val="0"/>
      <w:sz w:val="20"/>
      <w:szCs w:val="20"/>
      <w:lang w:bidi="ar-SA" w:eastAsia="fr-FR" w:val="fr-FR"/>
    </w:rPr>
  </w:style>
  <w:style w:customStyle="1" w:styleId="ITALIQUE" w:type="paragraph">
    <w:name w:val="ITALIQUE"/>
    <w:basedOn w:val="Normal"/>
    <w:qFormat/>
    <w:rsid w:val="008d79f9"/>
    <w:pPr>
      <w:spacing w:after="120" w:before="120" w:line="288" w:lineRule="exact"/>
      <w:ind w:hanging="283" w:left="1134"/>
    </w:pPr>
    <w:rPr>
      <w:i/>
    </w:rPr>
  </w:style>
  <w:style w:styleId="FootnoteText" w:type="paragraph">
    <w:name w:val="Footnote Text"/>
    <w:basedOn w:val="Normal"/>
    <w:link w:val="NotedebasdepageCar"/>
    <w:semiHidden/>
    <w:rsid w:val="008d79f9"/>
    <w:pPr>
      <w:spacing w:after="0" w:before="120" w:line="240" w:lineRule="atLeast"/>
      <w:ind w:hanging="142" w:left="993"/>
    </w:pPr>
    <w:rPr>
      <w:i/>
      <w:sz w:val="20"/>
    </w:rPr>
  </w:style>
  <w:style w:customStyle="1" w:styleId="Paragraphe24" w:type="paragraph">
    <w:name w:val="Paragraphe 24"/>
    <w:qFormat/>
    <w:rsid w:val="008d79f9"/>
    <w:pPr>
      <w:keepLines/>
      <w:widowControl/>
      <w:pBdr>
        <w:top w:color="000000" w:space="0" w:sz="6" w:val="single"/>
        <w:left w:color="000000" w:space="0" w:sz="6" w:val="single"/>
        <w:bottom w:color="000000" w:space="0" w:sz="6" w:val="single"/>
        <w:right w:color="000000" w:space="0" w:sz="6" w:val="single"/>
      </w:pBdr>
      <w:tabs>
        <w:tab w:pos="708" w:val="clear"/>
        <w:tab w:leader="underscore" w:pos="4896" w:val="left"/>
      </w:tabs>
      <w:bidi w:val="0"/>
      <w:spacing w:after="0" w:before="0" w:line="240" w:lineRule="exact"/>
      <w:ind w:left="851" w:right="4820"/>
      <w:jc w:val="left"/>
    </w:pPr>
    <w:rPr>
      <w:rFonts w:ascii="Times" w:cs="Times New Roman" w:eastAsia="Times New Roman" w:hAnsi="Times"/>
      <w:color w:val="auto"/>
      <w:kern w:val="0"/>
      <w:sz w:val="20"/>
      <w:szCs w:val="20"/>
      <w:lang w:bidi="ar-SA" w:eastAsia="fr-FR" w:val="fr-FR"/>
    </w:rPr>
  </w:style>
  <w:style w:customStyle="1" w:styleId="PARAGRAPHEALAMARGE" w:type="paragraph">
    <w:name w:val="PARAGRAPHE A LA MARGE"/>
    <w:qFormat/>
    <w:rsid w:val="008d79f9"/>
    <w:pPr>
      <w:keepLines/>
      <w:widowControl/>
      <w:tabs>
        <w:tab w:pos="708" w:val="clear"/>
        <w:tab w:leader="none" w:pos="851" w:val="left"/>
      </w:tabs>
      <w:bidi w:val="0"/>
      <w:spacing w:after="120" w:before="120" w:line="288" w:lineRule="exact"/>
      <w:jc w:val="both"/>
    </w:pPr>
    <w:rPr>
      <w:rFonts w:ascii="Times" w:cs="Times New Roman" w:eastAsia="Times New Roman" w:hAnsi="Times"/>
      <w:color w:val="auto"/>
      <w:kern w:val="0"/>
      <w:sz w:val="24"/>
      <w:szCs w:val="20"/>
      <w:lang w:bidi="ar-SA" w:eastAsia="fr-FR" w:val="fr-FR"/>
    </w:rPr>
  </w:style>
  <w:style w:customStyle="1" w:styleId="PARAGRAPHETITREACTESDIVER" w:type="paragraph">
    <w:name w:val="PARAGRAPHE TITRE ACTES DIVER"/>
    <w:qFormat/>
    <w:rsid w:val="008d79f9"/>
    <w:pPr>
      <w:keepNext w:val="true"/>
      <w:widowControl/>
      <w:pBdr>
        <w:top w:color="000000" w:space="0" w:sz="6" w:val="single"/>
        <w:bottom w:color="000000" w:space="0" w:sz="6" w:val="single"/>
      </w:pBdr>
      <w:bidi w:val="0"/>
      <w:spacing w:after="1200" w:before="720"/>
      <w:ind w:left="851"/>
      <w:jc w:val="center"/>
    </w:pPr>
    <w:rPr>
      <w:rFonts w:ascii="Times" w:cs="Times New Roman" w:eastAsia="Times New Roman" w:hAnsi="Times"/>
      <w:color w:val="auto"/>
      <w:kern w:val="0"/>
      <w:sz w:val="32"/>
      <w:szCs w:val="20"/>
      <w:lang w:bidi="ar-SA" w:eastAsia="fr-FR" w:val="fr-FR"/>
    </w:rPr>
  </w:style>
  <w:style w:customStyle="1" w:styleId="PREMIERRETRAITGAUCHE" w:type="paragraph">
    <w:name w:val="PREMIER RETRAIT GAUCHE"/>
    <w:qFormat/>
    <w:rsid w:val="008d79f9"/>
    <w:pPr>
      <w:keepLines/>
      <w:widowControl/>
      <w:tabs>
        <w:tab w:pos="708" w:val="clear"/>
        <w:tab w:leader="none" w:pos="1134" w:val="left"/>
      </w:tabs>
      <w:bidi w:val="0"/>
      <w:spacing w:after="120" w:before="48" w:line="288" w:lineRule="exact"/>
      <w:ind w:hanging="284" w:left="1134"/>
      <w:jc w:val="both"/>
    </w:pPr>
    <w:rPr>
      <w:rFonts w:ascii="Times New Roman" w:cs="Times New Roman" w:eastAsia="Times New Roman" w:hAnsi="Times New Roman"/>
      <w:color w:val="auto"/>
      <w:kern w:val="0"/>
      <w:sz w:val="26"/>
      <w:szCs w:val="20"/>
      <w:lang w:bidi="ar-SA" w:eastAsia="fr-FR" w:val="fr-FR"/>
    </w:rPr>
  </w:style>
  <w:style w:customStyle="1" w:styleId="STR" w:type="paragraph">
    <w:name w:val="STR"/>
    <w:basedOn w:val="Normal"/>
    <w:qFormat/>
    <w:rsid w:val="008d79f9"/>
    <w:pPr>
      <w:pBdr>
        <w:top w:color="000000" w:space="5" w:sz="6" w:val="single"/>
        <w:bottom w:color="000000" w:space="5" w:sz="6" w:val="single"/>
      </w:pBdr>
      <w:spacing w:after="0" w:before="120" w:line="240" w:lineRule="exact"/>
    </w:pPr>
    <w:rPr>
      <w:rFonts w:ascii="Times" w:hAnsi="Times"/>
      <w:b/>
    </w:rPr>
  </w:style>
  <w:style w:customStyle="1" w:styleId="titremarge" w:type="paragraph">
    <w:name w:val="titremarge"/>
    <w:basedOn w:val="Normal"/>
    <w:qFormat/>
    <w:rsid w:val="008d79f9"/>
    <w:pPr>
      <w:keepNext w:val="true"/>
      <w:tabs>
        <w:tab w:pos="708" w:val="clear"/>
        <w:tab w:leader="none" w:pos="648" w:val="left"/>
      </w:tabs>
      <w:spacing w:after="240" w:before="0" w:line="288" w:lineRule="exact"/>
    </w:pPr>
    <w:rPr>
      <w:rFonts w:ascii="Times" w:hAnsi="Times"/>
      <w:b/>
    </w:rPr>
  </w:style>
  <w:style w:styleId="TOC1" w:type="paragraph">
    <w:name w:val="TOC 1"/>
    <w:basedOn w:val="Normal"/>
    <w:next w:val="Normal"/>
    <w:uiPriority w:val="39"/>
    <w:rsid w:val="008d79f9"/>
    <w:pPr>
      <w:spacing w:after="0" w:before="360"/>
      <w:jc w:val="left"/>
    </w:pPr>
    <w:rPr>
      <w:rFonts w:ascii="Cambria" w:hAnsi="Cambria"/>
      <w:b/>
      <w:bCs/>
      <w:caps/>
    </w:rPr>
  </w:style>
  <w:style w:styleId="TOC2" w:type="paragraph">
    <w:name w:val="TOC 2"/>
    <w:basedOn w:val="Normal"/>
    <w:next w:val="Normal"/>
    <w:uiPriority w:val="39"/>
    <w:rsid w:val="008d79f9"/>
    <w:pPr>
      <w:jc w:val="left"/>
    </w:pPr>
    <w:rPr>
      <w:rFonts w:ascii="Calibri" w:hAnsi="Calibri"/>
      <w:b/>
      <w:bCs/>
      <w:sz w:val="20"/>
    </w:rPr>
  </w:style>
  <w:style w:styleId="TOC3" w:type="paragraph">
    <w:name w:val="TOC 3"/>
    <w:basedOn w:val="Normal"/>
    <w:next w:val="Normal"/>
    <w:uiPriority w:val="39"/>
    <w:rsid w:val="008d79f9"/>
    <w:pPr>
      <w:ind w:left="240"/>
      <w:jc w:val="left"/>
    </w:pPr>
    <w:rPr>
      <w:rFonts w:ascii="Calibri" w:hAnsi="Calibri"/>
      <w:sz w:val="20"/>
    </w:rPr>
  </w:style>
  <w:style w:styleId="TOC4" w:type="paragraph">
    <w:name w:val="TOC 4"/>
    <w:basedOn w:val="Normal"/>
    <w:next w:val="Normal"/>
    <w:uiPriority w:val="39"/>
    <w:rsid w:val="008d79f9"/>
    <w:pPr>
      <w:ind w:left="480"/>
      <w:jc w:val="left"/>
    </w:pPr>
    <w:rPr>
      <w:rFonts w:ascii="Calibri" w:hAnsi="Calibri"/>
      <w:sz w:val="20"/>
    </w:rPr>
  </w:style>
  <w:style w:customStyle="1" w:styleId="TROISIEMERETRAIT" w:type="paragraph">
    <w:name w:val="TROISIEME RETRAIT"/>
    <w:basedOn w:val="Normal"/>
    <w:qFormat/>
    <w:rsid w:val="008d79f9"/>
    <w:pPr>
      <w:tabs>
        <w:tab w:pos="708" w:val="clear"/>
        <w:tab w:leader="none" w:pos="1134" w:val="left"/>
        <w:tab w:leader="none" w:pos="1701" w:val="left"/>
      </w:tabs>
      <w:spacing w:line="288" w:lineRule="exact"/>
      <w:ind w:hanging="1418" w:left="2268"/>
    </w:pPr>
    <w:rPr>
      <w:rFonts w:ascii="Times" w:hAnsi="Times"/>
    </w:rPr>
  </w:style>
  <w:style w:customStyle="1" w:styleId="PD" w:type="paragraph">
    <w:name w:val="PD"/>
    <w:basedOn w:val="Normal"/>
    <w:qFormat/>
    <w:rsid w:val="008d79f9"/>
    <w:pPr>
      <w:spacing w:after="0" w:before="1134"/>
    </w:pPr>
    <w:rPr/>
  </w:style>
  <w:style w:customStyle="1" w:styleId="pi" w:type="paragraph">
    <w:name w:val="pi"/>
    <w:basedOn w:val="Normal"/>
    <w:qFormat/>
    <w:rsid w:val="008d79f9"/>
    <w:pPr>
      <w:ind w:hanging="141" w:left="1701" w:right="1361"/>
    </w:pPr>
    <w:rPr>
      <w:i/>
    </w:rPr>
  </w:style>
  <w:style w:customStyle="1" w:styleId="pl" w:type="paragraph">
    <w:name w:val="pl"/>
    <w:basedOn w:val="Normal"/>
    <w:qFormat/>
    <w:rsid w:val="008d79f9"/>
    <w:pPr>
      <w:keepNext w:val="true"/>
    </w:pPr>
    <w:rPr>
      <w:rFonts w:ascii="Times" w:hAnsi="Times"/>
    </w:rPr>
  </w:style>
  <w:style w:customStyle="1" w:styleId="str1" w:type="paragraph">
    <w:name w:val="str1"/>
    <w:qFormat/>
    <w:rsid w:val="008d79f9"/>
    <w:pPr>
      <w:widowControl/>
      <w:pBdr>
        <w:top w:color="000000" w:space="5" w:sz="6" w:val="single"/>
        <w:bottom w:color="000000" w:space="5" w:sz="6" w:val="single"/>
      </w:pBdr>
      <w:bidi w:val="0"/>
      <w:spacing w:after="120" w:before="1600"/>
      <w:ind w:left="851"/>
      <w:jc w:val="both"/>
    </w:pPr>
    <w:rPr>
      <w:rFonts w:ascii="Times New Roman" w:cs="Times New Roman" w:eastAsia="Times New Roman" w:hAnsi="Times New Roman"/>
      <w:b/>
      <w:color w:val="auto"/>
      <w:spacing w:val="300"/>
      <w:kern w:val="0"/>
      <w:sz w:val="26"/>
      <w:szCs w:val="20"/>
      <w:lang w:bidi="ar-SA" w:eastAsia="fr-FR" w:val="fr-FR"/>
    </w:rPr>
  </w:style>
  <w:style w:customStyle="1" w:styleId="ld" w:type="paragraph">
    <w:name w:val="ld"/>
    <w:basedOn w:val="List"/>
    <w:qFormat/>
    <w:rsid w:val="008d79f9"/>
    <w:pPr>
      <w:spacing w:after="0" w:before="40"/>
    </w:pPr>
    <w:rPr/>
  </w:style>
  <w:style w:customStyle="1" w:styleId="Textefinal" w:type="paragraph">
    <w:name w:val="Texte final"/>
    <w:basedOn w:val="Normal"/>
    <w:qFormat/>
    <w:rsid w:val="008d79f9"/>
    <w:pPr>
      <w:ind w:left="-1134"/>
    </w:pPr>
    <w:rPr/>
  </w:style>
  <w:style w:customStyle="1" w:styleId="parmin" w:type="paragraph">
    <w:name w:val="par_min"/>
    <w:basedOn w:val="Normal"/>
    <w:qFormat/>
    <w:rsid w:val="008d79f9"/>
    <w:pPr>
      <w:spacing w:line="11" w:lineRule="exact"/>
    </w:pPr>
    <w:rPr/>
  </w:style>
  <w:style w:customStyle="1" w:styleId="ide" w:type="paragraph">
    <w:name w:val="idée"/>
    <w:basedOn w:val="Normal"/>
    <w:next w:val="idesuite"/>
    <w:qFormat/>
    <w:rsid w:val="008d79f9"/>
    <w:pPr>
      <w:numPr>
        <w:ilvl w:val="0"/>
        <w:numId w:val="4"/>
      </w:numPr>
      <w:tabs>
        <w:tab w:pos="708" w:val="clear"/>
        <w:tab w:leader="none" w:pos="1134" w:val="left"/>
      </w:tabs>
      <w:overflowPunct w:val="true"/>
      <w:spacing w:after="0" w:before="480"/>
      <w:textAlignment w:val="baseline"/>
    </w:pPr>
    <w:rPr/>
  </w:style>
  <w:style w:customStyle="1" w:styleId="idesuite" w:type="paragraph">
    <w:name w:val="idéesuite"/>
    <w:basedOn w:val="ListBullet"/>
    <w:qFormat/>
    <w:rsid w:val="008d79f9"/>
    <w:pPr>
      <w:numPr>
        <w:ilvl w:val="0"/>
        <w:numId w:val="0"/>
      </w:numPr>
      <w:ind w:left="1134"/>
    </w:pPr>
    <w:rPr/>
  </w:style>
  <w:style w:customStyle="1" w:styleId="P1" w:type="paragraph">
    <w:name w:val="P1"/>
    <w:basedOn w:val="pi"/>
    <w:qFormat/>
    <w:rsid w:val="008d79f9"/>
    <w:pPr>
      <w:ind w:hanging="283" w:left="1843"/>
    </w:pPr>
    <w:rPr/>
  </w:style>
  <w:style w:customStyle="1" w:styleId="TD" w:type="paragraph">
    <w:name w:val="TD"/>
    <w:basedOn w:val="Normal"/>
    <w:next w:val="Normal"/>
    <w:qFormat/>
    <w:rsid w:val="008d79f9"/>
    <w:pPr>
      <w:keepNext w:val="true"/>
      <w:widowControl w:val="false"/>
      <w:pBdr>
        <w:top w:color="000080" w:shadow="1" w:space="1" w:sz="18" w:val="single"/>
        <w:left w:color="000080" w:shadow="1" w:space="4" w:sz="18" w:val="single"/>
        <w:bottom w:color="000080" w:shadow="1" w:space="1" w:sz="18" w:val="single"/>
        <w:right w:color="000080" w:shadow="1" w:space="4" w:sz="18" w:val="single"/>
      </w:pBdr>
      <w:tabs>
        <w:tab w:pos="708" w:val="clear"/>
        <w:tab w:leader="none" w:pos="3024" w:val="left"/>
      </w:tabs>
      <w:ind w:left="1134" w:right="1134"/>
      <w:jc w:val="center"/>
    </w:pPr>
    <w:rPr>
      <w:rFonts w:ascii="Arial" w:cs="Arial" w:hAnsi="Arial"/>
      <w:b/>
      <w:bCs/>
      <w:smallCaps/>
      <w:color w:val="000080"/>
      <w:sz w:val="40"/>
      <w:szCs w:val="40"/>
      <w:lang w:val="en-US"/>
      <w14:shadow w14:algn="tl" w14:blurRad="50800" w14:dir="2700000" w14:dist="38100" w14:kx="0" w14:ky="0" w14:sx="100000" w14:sy="100000">
        <w14:srgbClr w14:val="000000">
          <w14:alpha w14:val="60000"/>
        </w14:srgbClr>
      </w14:shadow>
    </w:rPr>
  </w:style>
  <w:style w:customStyle="1" w:styleId="lnconc" w:type="paragraph">
    <w:name w:val="lnconc"/>
    <w:basedOn w:val="Normal"/>
    <w:qFormat/>
    <w:rsid w:val="008d79f9"/>
    <w:pPr>
      <w:tabs>
        <w:tab w:pos="708" w:val="clear"/>
        <w:tab w:leader="none" w:pos="426" w:val="left"/>
        <w:tab w:leader="none" w:pos="851" w:val="left"/>
      </w:tabs>
      <w:ind w:hanging="851"/>
    </w:pPr>
    <w:rPr/>
  </w:style>
  <w:style w:customStyle="1" w:styleId="td2" w:type="paragraph">
    <w:name w:val="td2"/>
    <w:basedOn w:val="Normal"/>
    <w:next w:val="Normal"/>
    <w:qFormat/>
    <w:rsid w:val="008d79f9"/>
    <w:pPr>
      <w:pageBreakBefore/>
      <w:numPr>
        <w:ilvl w:val="1"/>
        <w:numId w:val="6"/>
      </w:numPr>
      <w:spacing w:after="1440" w:before="1440" w:line="600" w:lineRule="atLeast"/>
      <w:jc w:val="center"/>
      <w:outlineLvl w:val="1"/>
    </w:pPr>
    <w:rPr>
      <w:rFonts w:ascii="Arial" w:hAnsi="Arial"/>
      <w:b/>
      <w:caps/>
      <w:sz w:val="32"/>
    </w:rPr>
  </w:style>
  <w:style w:customStyle="1" w:styleId="references" w:type="paragraph">
    <w:name w:val="references"/>
    <w:basedOn w:val="Normal"/>
    <w:autoRedefine/>
    <w:qFormat/>
    <w:rsid w:val="008d79f9"/>
    <w:pPr>
      <w:pBdr>
        <w:top w:color="000000" w:space="10" w:sz="6" w:val="double"/>
        <w:left w:color="000000" w:space="10" w:sz="6" w:val="double"/>
        <w:bottom w:color="000000" w:space="10" w:sz="6" w:val="double"/>
        <w:right w:color="000000" w:space="10" w:sz="6" w:val="double"/>
      </w:pBdr>
      <w:shd w:color="auto" w:fill="auto" w:val="pct10"/>
      <w:spacing w:after="120" w:before="120" w:line="240" w:lineRule="exact"/>
      <w:jc w:val="left"/>
    </w:pPr>
    <w:rPr/>
  </w:style>
  <w:style w:styleId="Signature" w:type="paragraph">
    <w:name w:val="Signature"/>
    <w:basedOn w:val="Normal"/>
    <w:link w:val="SignatureCar"/>
    <w:rsid w:val="008d79f9"/>
    <w:pPr>
      <w:ind w:left="5103"/>
      <w:jc w:val="left"/>
    </w:pPr>
    <w:rPr/>
  </w:style>
  <w:style w:customStyle="1" w:styleId="article" w:type="paragraph">
    <w:name w:val="article"/>
    <w:basedOn w:val="Normal"/>
    <w:next w:val="Normal"/>
    <w:qFormat/>
    <w:rsid w:val="008d79f9"/>
    <w:pPr>
      <w:widowControl w:val="false"/>
      <w:numPr>
        <w:ilvl w:val="0"/>
        <w:numId w:val="7"/>
      </w:numPr>
      <w:spacing w:after="120" w:before="720"/>
    </w:pPr>
    <w:rPr>
      <w:b/>
      <w:bCs/>
      <w:sz w:val="28"/>
      <w:szCs w:val="28"/>
    </w:rPr>
  </w:style>
  <w:style w:styleId="Index1" w:type="paragraph">
    <w:name w:val="Index 1"/>
    <w:basedOn w:val="Normal"/>
    <w:next w:val="Normal"/>
    <w:semiHidden/>
    <w:rsid w:val="008d79f9"/>
    <w:pPr>
      <w:ind w:hanging="240" w:left="240"/>
    </w:pPr>
    <w:rPr/>
  </w:style>
  <w:style w:styleId="Index2" w:type="paragraph">
    <w:name w:val="Index 2"/>
    <w:basedOn w:val="Normal"/>
    <w:next w:val="Normal"/>
    <w:semiHidden/>
    <w:rsid w:val="008d79f9"/>
    <w:pPr>
      <w:ind w:hanging="240" w:left="480"/>
    </w:pPr>
    <w:rPr/>
  </w:style>
  <w:style w:styleId="Index3" w:type="paragraph">
    <w:name w:val="Index 3"/>
    <w:basedOn w:val="Normal"/>
    <w:next w:val="Normal"/>
    <w:semiHidden/>
    <w:rsid w:val="008d79f9"/>
    <w:pPr>
      <w:ind w:hanging="240" w:left="720"/>
    </w:pPr>
    <w:rPr/>
  </w:style>
  <w:style w:styleId="index4" w:type="paragraph">
    <w:name w:val="index 4"/>
    <w:basedOn w:val="Normal"/>
    <w:next w:val="Normal"/>
    <w:semiHidden/>
    <w:qFormat/>
    <w:rsid w:val="008d79f9"/>
    <w:pPr>
      <w:ind w:hanging="240" w:left="960"/>
    </w:pPr>
    <w:rPr/>
  </w:style>
  <w:style w:styleId="TOC5" w:type="paragraph">
    <w:name w:val="TOC 5"/>
    <w:basedOn w:val="Normal"/>
    <w:next w:val="Normal"/>
    <w:uiPriority w:val="39"/>
    <w:rsid w:val="008d79f9"/>
    <w:pPr>
      <w:ind w:left="720"/>
      <w:jc w:val="left"/>
    </w:pPr>
    <w:rPr>
      <w:rFonts w:ascii="Calibri" w:hAnsi="Calibri"/>
      <w:sz w:val="20"/>
    </w:rPr>
  </w:style>
  <w:style w:styleId="TOC6" w:type="paragraph">
    <w:name w:val="TOC 6"/>
    <w:basedOn w:val="Normal"/>
    <w:next w:val="Normal"/>
    <w:uiPriority w:val="39"/>
    <w:rsid w:val="008d79f9"/>
    <w:pPr>
      <w:ind w:left="960"/>
      <w:jc w:val="left"/>
    </w:pPr>
    <w:rPr>
      <w:rFonts w:ascii="Calibri" w:hAnsi="Calibri"/>
      <w:sz w:val="20"/>
    </w:rPr>
  </w:style>
  <w:style w:styleId="TOC7" w:type="paragraph">
    <w:name w:val="TOC 7"/>
    <w:basedOn w:val="Normal"/>
    <w:next w:val="Normal"/>
    <w:uiPriority w:val="39"/>
    <w:rsid w:val="008d79f9"/>
    <w:pPr>
      <w:ind w:left="1200"/>
      <w:jc w:val="left"/>
    </w:pPr>
    <w:rPr>
      <w:rFonts w:ascii="Calibri" w:hAnsi="Calibri"/>
      <w:sz w:val="20"/>
    </w:rPr>
  </w:style>
  <w:style w:styleId="TOC8" w:type="paragraph">
    <w:name w:val="TOC 8"/>
    <w:basedOn w:val="Normal"/>
    <w:next w:val="Normal"/>
    <w:uiPriority w:val="39"/>
    <w:rsid w:val="008d79f9"/>
    <w:pPr>
      <w:ind w:left="1440"/>
      <w:jc w:val="left"/>
    </w:pPr>
    <w:rPr>
      <w:rFonts w:ascii="Calibri" w:hAnsi="Calibri"/>
      <w:sz w:val="20"/>
    </w:rPr>
  </w:style>
  <w:style w:styleId="TOC9" w:type="paragraph">
    <w:name w:val="TOC 9"/>
    <w:basedOn w:val="Normal"/>
    <w:next w:val="Normal"/>
    <w:uiPriority w:val="39"/>
    <w:rsid w:val="008d79f9"/>
    <w:pPr>
      <w:ind w:left="1680"/>
      <w:jc w:val="left"/>
    </w:pPr>
    <w:rPr>
      <w:rFonts w:ascii="Calibri" w:hAnsi="Calibri"/>
      <w:sz w:val="20"/>
    </w:rPr>
  </w:style>
  <w:style w:customStyle="1" w:styleId="tm1" w:type="paragraph">
    <w:name w:val="tm1"/>
    <w:basedOn w:val="TOC1"/>
    <w:qFormat/>
    <w:rsid w:val="008d79f9"/>
    <w:pPr>
      <w:tabs>
        <w:tab w:pos="708" w:val="clear"/>
        <w:tab w:leader="none" w:pos="2431" w:val="left"/>
      </w:tabs>
    </w:pPr>
    <w:rPr/>
  </w:style>
  <w:style w:customStyle="1" w:styleId="TITREDUDOCUMENT" w:type="paragraph">
    <w:name w:val="TITRE DU DOCUMENT"/>
    <w:basedOn w:val="Normal"/>
    <w:next w:val="SOUSTITRE"/>
    <w:qFormat/>
    <w:rsid w:val="008d79f9"/>
    <w:pPr>
      <w:spacing w:after="0" w:before="3120"/>
      <w:ind w:left="1701" w:right="-567"/>
      <w:jc w:val="center"/>
    </w:pPr>
    <w:rPr>
      <w:rFonts w:ascii="Century Gothic" w:cs="Century Gothic" w:hAnsi="Century Gothic"/>
      <w:b/>
      <w:bCs/>
      <w:smallCaps/>
      <w:color w:val="95806E"/>
      <w:spacing w:val="30"/>
      <w:sz w:val="52"/>
      <w:szCs w:val="52"/>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style>
  <w:style w:customStyle="1" w:styleId="lititreprincipal" w:type="paragraph">
    <w:name w:val="li.titre principal"/>
    <w:qFormat/>
    <w:rsid w:val="008d79f9"/>
    <w:pPr>
      <w:keepNext w:val="true"/>
      <w:widowControl/>
      <w:pBdr>
        <w:bottom w:color="000000" w:space="5" w:sz="6" w:val="single"/>
      </w:pBdr>
      <w:suppressAutoHyphens w:val="true"/>
      <w:overflowPunct w:val="true"/>
      <w:bidi w:val="0"/>
      <w:spacing w:after="480" w:before="1100"/>
      <w:jc w:val="left"/>
      <w:textAlignment w:val="baseline"/>
    </w:pPr>
    <w:rPr>
      <w:rFonts w:ascii="Helvetica" w:cs="Times New Roman" w:eastAsia="Times New Roman" w:hAnsi="Helvetica"/>
      <w:b/>
      <w:color w:val="auto"/>
      <w:kern w:val="0"/>
      <w:sz w:val="28"/>
      <w:szCs w:val="20"/>
      <w:lang w:bidi="ar-SA" w:eastAsia="fr-FR" w:val="fr-FR"/>
    </w:rPr>
  </w:style>
  <w:style w:customStyle="1" w:styleId="Normalps1" w:type="paragraph">
    <w:name w:val="Normal.ps1"/>
    <w:qFormat/>
    <w:rsid w:val="008d79f9"/>
    <w:pPr>
      <w:keepLines/>
      <w:widowControl/>
      <w:overflowPunct w:val="true"/>
      <w:bidi w:val="0"/>
      <w:spacing w:after="0" w:before="240"/>
      <w:ind w:left="851"/>
      <w:jc w:val="both"/>
      <w:textAlignment w:val="baseline"/>
    </w:pPr>
    <w:rPr>
      <w:rFonts w:ascii="Times New Roman" w:cs="Times New Roman" w:eastAsia="Times New Roman" w:hAnsi="Times New Roman"/>
      <w:color w:val="auto"/>
      <w:kern w:val="0"/>
      <w:sz w:val="24"/>
      <w:szCs w:val="20"/>
      <w:lang w:bidi="ar-SA" w:eastAsia="fr-FR" w:val="fr-FR"/>
    </w:rPr>
  </w:style>
  <w:style w:customStyle="1" w:styleId="PAParagrapheavocat" w:type="paragraph">
    <w:name w:val="PA.Paragraphe avocat"/>
    <w:basedOn w:val="Normalps1"/>
    <w:qFormat/>
    <w:rsid w:val="008d79f9"/>
    <w:pPr>
      <w:tabs>
        <w:tab w:pos="708" w:val="clear"/>
        <w:tab w:leader="none" w:pos="9866" w:val="right"/>
      </w:tabs>
      <w:spacing w:line="200" w:lineRule="exact"/>
      <w:jc w:val="right"/>
    </w:pPr>
    <w:rPr>
      <w:sz w:val="22"/>
    </w:rPr>
  </w:style>
  <w:style w:styleId="BalloonText" w:type="paragraph">
    <w:name w:val="Balloon Text"/>
    <w:basedOn w:val="Normal"/>
    <w:link w:val="TextedebullesCar"/>
    <w:semiHidden/>
    <w:qFormat/>
    <w:rsid w:val="006539fa"/>
    <w:pPr/>
    <w:rPr>
      <w:rFonts w:ascii="Tahoma" w:cs="Tahoma" w:hAnsi="Tahoma"/>
      <w:sz w:val="16"/>
      <w:szCs w:val="16"/>
    </w:rPr>
  </w:style>
  <w:style w:styleId="AnnotationText" w:type="paragraph">
    <w:name w:val="Annotation Text"/>
    <w:basedOn w:val="Normal"/>
    <w:link w:val="CommentaireCar"/>
    <w:rsid w:val="00080d4f"/>
    <w:pPr/>
    <w:rPr>
      <w:sz w:val="20"/>
    </w:rPr>
  </w:style>
  <w:style w:styleId="annotationsubject" w:type="paragraph">
    <w:name w:val="annotation subject"/>
    <w:basedOn w:val="AnnotationText"/>
    <w:next w:val="AnnotationText"/>
    <w:link w:val="ObjetducommentaireCar"/>
    <w:semiHidden/>
    <w:qFormat/>
    <w:rsid w:val="00080d4f"/>
    <w:pPr/>
    <w:rPr>
      <w:b/>
      <w:bCs/>
    </w:rPr>
  </w:style>
  <w:style w:customStyle="1" w:styleId="Puce1" w:type="paragraph">
    <w:name w:val="Puce 1"/>
    <w:basedOn w:val="Normal"/>
    <w:qFormat/>
    <w:rsid w:val="001467f9"/>
    <w:pPr>
      <w:numPr>
        <w:ilvl w:val="0"/>
        <w:numId w:val="8"/>
      </w:numPr>
    </w:pPr>
    <w:rPr>
      <w:rFonts w:ascii="Arial" w:hAnsi="Arial"/>
      <w:sz w:val="22"/>
    </w:rPr>
  </w:style>
  <w:style w:customStyle="1" w:styleId="corpsdetexte" w:type="paragraph">
    <w:name w:val="corps de texte"/>
    <w:qFormat/>
    <w:rsid w:val="0062397a"/>
    <w:pPr>
      <w:widowControl/>
      <w:bidi w:val="0"/>
      <w:spacing w:after="280" w:before="0"/>
      <w:jc w:val="left"/>
    </w:pPr>
    <w:rPr>
      <w:rFonts w:ascii="Times New Roman" w:cs="Arial Narrow" w:eastAsia="Times New Roman" w:hAnsi="Times New Roman"/>
      <w:color w:val="auto"/>
      <w:kern w:val="0"/>
      <w:sz w:val="22"/>
      <w:szCs w:val="22"/>
      <w:lang w:bidi="or-IN" w:eastAsia="fr-FR" w:val="fr-FR"/>
    </w:rPr>
  </w:style>
  <w:style w:customStyle="1" w:styleId="1-" w:type="paragraph">
    <w:name w:val="1 -"/>
    <w:basedOn w:val="Normal"/>
    <w:qFormat/>
    <w:rsid w:val="008e11df"/>
    <w:pPr>
      <w:numPr>
        <w:ilvl w:val="0"/>
        <w:numId w:val="9"/>
      </w:numPr>
    </w:pPr>
    <w:rPr/>
  </w:style>
  <w:style w:customStyle="1" w:styleId="11-" w:type="paragraph">
    <w:name w:val="1.1 -"/>
    <w:basedOn w:val="Normal"/>
    <w:qFormat/>
    <w:rsid w:val="008e11df"/>
    <w:pPr>
      <w:numPr>
        <w:ilvl w:val="1"/>
        <w:numId w:val="9"/>
      </w:numPr>
    </w:pPr>
    <w:rPr/>
  </w:style>
  <w:style w:styleId="ListParagraph" w:type="paragraph">
    <w:name w:val="List Paragraph"/>
    <w:basedOn w:val="Normal"/>
    <w:uiPriority w:val="34"/>
    <w:qFormat/>
    <w:rsid w:val="00c965ed"/>
    <w:pPr>
      <w:ind w:left="708"/>
    </w:pPr>
    <w:rPr/>
  </w:style>
  <w:style w:customStyle="1" w:styleId="Corpsdetexte31" w:type="paragraph">
    <w:name w:val="Corps de texte 31"/>
    <w:basedOn w:val="Normal"/>
    <w:uiPriority w:val="99"/>
    <w:qFormat/>
    <w:rsid w:val="00ab5abd"/>
    <w:pPr>
      <w:widowControl w:val="false"/>
      <w:shd w:color="auto" w:fill="FFFFFF" w:val="clear"/>
      <w:tabs>
        <w:tab w:pos="708" w:val="clear"/>
        <w:tab w:leader="none" w:pos="453" w:val="left"/>
        <w:tab w:leader="none" w:pos="3968" w:val="left"/>
      </w:tabs>
      <w:suppressAutoHyphens w:val="true"/>
      <w:overflowPunct w:val="true"/>
    </w:pPr>
    <w:rPr/>
  </w:style>
  <w:style w:styleId="BodyTextIndented" w:type="paragraph">
    <w:name w:val="Body Text, Indented"/>
    <w:basedOn w:val="Normal"/>
    <w:link w:val="RetraitcorpsdetexteCar"/>
    <w:unhideWhenUsed/>
    <w:qFormat/>
    <w:rsid w:val="00066cf5"/>
    <w:pPr>
      <w:tabs>
        <w:tab w:pos="708" w:val="clear"/>
        <w:tab w:leader="none" w:pos="3544" w:val="left"/>
      </w:tabs>
      <w:spacing w:line="280" w:lineRule="exact"/>
      <w:ind w:left="360"/>
    </w:pPr>
    <w:rPr>
      <w:rFonts w:ascii="Arial" w:hAnsi="Arial"/>
      <w:color w:val="000000"/>
    </w:rPr>
  </w:style>
  <w:style w:styleId="BodyText2" w:type="paragraph">
    <w:name w:val="Body Text 2"/>
    <w:basedOn w:val="Normal"/>
    <w:link w:val="Corpsdetexte2Car"/>
    <w:unhideWhenUsed/>
    <w:qFormat/>
    <w:rsid w:val="00066cf5"/>
    <w:pPr>
      <w:tabs>
        <w:tab w:pos="708" w:val="clear"/>
        <w:tab w:leader="none" w:pos="360" w:val="left"/>
      </w:tabs>
      <w:spacing w:line="280" w:lineRule="exact"/>
    </w:pPr>
    <w:rPr>
      <w:rFonts w:ascii="Arial" w:hAnsi="Arial"/>
      <w:color w:val="000000"/>
    </w:rPr>
  </w:style>
  <w:style w:styleId="BodyText3" w:type="paragraph">
    <w:name w:val="Body Text 3"/>
    <w:basedOn w:val="Normal"/>
    <w:link w:val="Corpsdetexte3Car"/>
    <w:unhideWhenUsed/>
    <w:qFormat/>
    <w:rsid w:val="00066cf5"/>
    <w:pPr>
      <w:spacing w:line="280" w:lineRule="exact"/>
    </w:pPr>
    <w:rPr>
      <w:rFonts w:ascii="Arial" w:hAnsi="Arial"/>
      <w:b/>
      <w:color w:val="000000"/>
    </w:rPr>
  </w:style>
  <w:style w:styleId="BodyTextIndent2" w:type="paragraph">
    <w:name w:val="Body Text Indent 2"/>
    <w:basedOn w:val="Normal"/>
    <w:link w:val="Retraitcorpsdetexte2Car"/>
    <w:unhideWhenUsed/>
    <w:qFormat/>
    <w:rsid w:val="00066cf5"/>
    <w:pPr>
      <w:spacing w:line="280" w:lineRule="exact"/>
      <w:ind w:left="357"/>
    </w:pPr>
    <w:rPr>
      <w:rFonts w:ascii="Arial" w:hAnsi="Arial"/>
      <w:color w:val="000000"/>
    </w:rPr>
  </w:style>
  <w:style w:customStyle="1" w:styleId="tiart" w:type="paragraph">
    <w:name w:val="tiart"/>
    <w:basedOn w:val="Normal"/>
    <w:qFormat/>
    <w:rsid w:val="002b1004"/>
    <w:pPr>
      <w:spacing w:afterAutospacing="1" w:beforeAutospacing="1"/>
      <w:jc w:val="left"/>
    </w:pPr>
    <w:rPr/>
  </w:style>
  <w:style w:styleId="Title" w:type="paragraph">
    <w:name w:val="Title"/>
    <w:basedOn w:val="Normal"/>
    <w:next w:val="Normal"/>
    <w:link w:val="TitreCar"/>
    <w:qFormat/>
    <w:rsid w:val="00dd51fc"/>
    <w:pPr>
      <w:pBdr>
        <w:top w:color="000000" w:space="0" w:sz="4" w:val="single"/>
        <w:left w:color="000000" w:space="4" w:sz="4" w:val="single"/>
        <w:bottom w:color="000000" w:space="17" w:sz="4" w:val="single"/>
        <w:right w:color="000000" w:space="4" w:sz="4" w:val="single"/>
      </w:pBdr>
      <w:shd w:color="auto" w:fill="D9D9D9" w:val="clear"/>
      <w:ind w:hanging="1077" w:left="1077"/>
      <w:jc w:val="center"/>
    </w:pPr>
    <w:rPr>
      <w:b/>
      <w:sz w:val="36"/>
      <w:szCs w:val="36"/>
    </w:rPr>
  </w:style>
  <w:style w:styleId="NormalWeb" w:type="paragraph">
    <w:name w:val="Normal (Web)"/>
    <w:basedOn w:val="Normal"/>
    <w:uiPriority w:val="99"/>
    <w:unhideWhenUsed/>
    <w:qFormat/>
    <w:rsid w:val="00730d1f"/>
    <w:pPr>
      <w:spacing w:afterAutospacing="1" w:beforeAutospacing="1"/>
      <w:jc w:val="left"/>
    </w:pPr>
    <w:rPr/>
  </w:style>
  <w:style w:customStyle="1" w:styleId="Default" w:type="paragraph">
    <w:name w:val="Default"/>
    <w:qFormat/>
    <w:rsid w:val="00913a9d"/>
    <w:pPr>
      <w:widowControl/>
      <w:bidi w:val="0"/>
      <w:spacing w:after="0" w:before="0"/>
      <w:jc w:val="left"/>
    </w:pPr>
    <w:rPr>
      <w:rFonts w:ascii="Calibri" w:cs="Calibri" w:eastAsia="Calibri" w:hAnsi="Calibri"/>
      <w:color w:val="000000"/>
      <w:kern w:val="0"/>
      <w:sz w:val="24"/>
      <w:szCs w:val="24"/>
      <w:lang w:bidi="ar-SA" w:eastAsia="en-US" w:val="fr-FR"/>
    </w:rPr>
  </w:style>
  <w:style w:customStyle="1" w:styleId="OmniPage10" w:type="paragraph">
    <w:name w:val="OmniPage #10"/>
    <w:basedOn w:val="Normal"/>
    <w:qFormat/>
    <w:rsid w:val="008a0410"/>
    <w:pPr>
      <w:jc w:val="left"/>
    </w:pPr>
    <w:rPr>
      <w:sz w:val="20"/>
      <w:szCs w:val="20"/>
      <w:lang w:val="en-US"/>
    </w:rPr>
  </w:style>
  <w:style w:styleId="Subtitle" w:type="paragraph">
    <w:name w:val="Subtitle"/>
    <w:basedOn w:val="Normal"/>
    <w:next w:val="Normal"/>
    <w:link w:val="Sous-titreCar"/>
    <w:qFormat/>
    <w:rsid w:val="00a81222"/>
    <w:pPr>
      <w:spacing w:after="60" w:before="0"/>
      <w:jc w:val="center"/>
      <w:outlineLvl w:val="1"/>
    </w:pPr>
    <w:rPr>
      <w:rFonts w:ascii="Calibri Light" w:hAnsi="Calibri Light"/>
    </w:rPr>
  </w:style>
  <w:style w:styleId="Revision" w:type="paragraph">
    <w:name w:val="Revision"/>
    <w:uiPriority w:val="99"/>
    <w:semiHidden/>
    <w:qFormat/>
    <w:rsid w:val="00d9552a"/>
    <w:pPr>
      <w:widowControl/>
      <w:bidi w:val="0"/>
      <w:spacing w:after="0" w:before="0"/>
      <w:jc w:val="left"/>
    </w:pPr>
    <w:rPr>
      <w:rFonts w:ascii="Times New Roman" w:cs="Times New Roman" w:eastAsia="Times New Roman" w:hAnsi="Times New Roman"/>
      <w:color w:val="auto"/>
      <w:kern w:val="0"/>
      <w:sz w:val="24"/>
      <w:szCs w:val="24"/>
      <w:lang w:bidi="ar-SA" w:eastAsia="fr-FR" w:val="fr-FR"/>
    </w:rPr>
  </w:style>
  <w:style w:customStyle="1" w:styleId="Style11" w:type="paragraph">
    <w:name w:val="Style1"/>
    <w:basedOn w:val="Heading2"/>
    <w:link w:val="Style1Car"/>
    <w:qFormat/>
    <w:rsid w:val="000411c0"/>
    <w:pPr>
      <w:numPr>
        <w:ilvl w:val="2"/>
        <w:numId w:val="18"/>
      </w:numPr>
    </w:pPr>
    <w:rPr/>
  </w:style>
  <w:style w:default="1" w:styleId="Pasdeliste" w:type="numbering">
    <w:name w:val="Pas de liste"/>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styleId="Grilledutableau" w:type="table">
    <w:name w:val="Table Grid"/>
    <w:basedOn w:val="TableauNormal"/>
    <w:rsid w:val="0013464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customXml/item1.xml" Type="http://schemas.openxmlformats.org/officeDocument/2006/relationships/customXml"/><Relationship Id="rId2" Target="http://www.teleaccords.travail-emploi.gouv.fr/" TargetMode="External" Type="http://schemas.openxmlformats.org/officeDocument/2006/relationships/hyperlink"/><Relationship Id="rId3" Target="footer1.xml" Type="http://schemas.openxmlformats.org/officeDocument/2006/relationships/footer"/><Relationship Id="rId4" Target="footer2.xml" Type="http://schemas.openxmlformats.org/officeDocument/2006/relationships/footer"/><Relationship Id="rId5" Target="footer3.xml" Type="http://schemas.openxmlformats.org/officeDocument/2006/relationships/footer"/><Relationship Id="rId6" Target="numbering.xml" Type="http://schemas.openxmlformats.org/officeDocument/2006/relationships/numbering"/><Relationship Id="rId7" Target="fontTable.xml" Type="http://schemas.openxmlformats.org/officeDocument/2006/relationships/fontTable"/><Relationship Id="rId8" Target="settings.xml" Type="http://schemas.openxmlformats.org/officeDocument/2006/relationships/settings"/><Relationship Id="rId9" Target="theme/theme1.xml" Type="http://schemas.openxmlformats.org/officeDocument/2006/relationships/theme"/></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7FA198-3417-46A4-9FEF-FE840C0DB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dsblanc.dot</Template>
  <TotalTime>0</TotalTime>
  <Application>LibreOffice/24.2.5.2$Windows_X86_64 LibreOffice_project/bffef4ea93e59bebbeaf7f431bb02b1a39ee8a59</Application>
  <AppVersion>15.0000</AppVersion>
  <Pages>16</Pages>
  <Words>5288</Words>
  <Characters>27821</Characters>
  <CharactersWithSpaces>34584</CharactersWithSpaces>
  <Paragraphs>251</Paragraphs>
  <Company>Centre d'Affaires Bonnel-Vendôme</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2025-02-13T15:28:46Z</dcterms:created>
  <dc:language>fr-FR</dc:language>
  <cp:revision>1</cp:revision>
  <dc:title>emploi des seniors</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_NewReviewCycle" pid="2">
    <vt:lpwstr/>
  </property>
</Properties>
</file>