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rPr>
          <w:rFonts w:ascii="Calibri" w:hAnsi="Calibri" w:cs="Calibri"/>
          <w:szCs w:val="22"/>
        </w:rPr>
      </w:pPr>
      <w:r>
        <w:rPr>
          <w:rFonts w:cs="Calibri" w:ascii="Calibri" w:hAnsi="Calibri"/>
          <w:szCs w:val="22"/>
        </w:rPr>
      </w:r>
    </w:p>
    <w:p>
      <w:pPr>
        <w:pStyle w:val="Normal"/>
        <w:pBdr>
          <w:top w:val="single" w:sz="4" w:space="1" w:color="000000"/>
          <w:left w:val="single" w:sz="4" w:space="4" w:color="000000"/>
          <w:bottom w:val="single" w:sz="4" w:space="1" w:color="000000"/>
          <w:right w:val="single" w:sz="4" w:space="4" w:color="000000"/>
        </w:pBdr>
        <w:shd w:fill="BFBFBF" w:val="clear"/>
        <w:spacing w:lineRule="auto" w:line="240"/>
        <w:jc w:val="center"/>
        <w:rPr>
          <w:rFonts w:ascii="Calibri" w:hAnsi="Calibri" w:cs="Calibri"/>
          <w:b/>
          <w:b/>
          <w:szCs w:val="22"/>
        </w:rPr>
      </w:pPr>
      <w:r>
        <w:rPr>
          <w:rFonts w:cs="Calibri" w:ascii="Calibri" w:hAnsi="Calibri"/>
          <w:b/>
          <w:szCs w:val="22"/>
        </w:rPr>
      </w:r>
    </w:p>
    <w:p>
      <w:pPr>
        <w:pStyle w:val="Normal"/>
        <w:pBdr>
          <w:top w:val="single" w:sz="4" w:space="1" w:color="000000"/>
          <w:left w:val="single" w:sz="4" w:space="4" w:color="000000"/>
          <w:bottom w:val="single" w:sz="4" w:space="1" w:color="000000"/>
          <w:right w:val="single" w:sz="4" w:space="4" w:color="000000"/>
        </w:pBdr>
        <w:shd w:fill="BFBFBF" w:val="clear"/>
        <w:spacing w:lineRule="auto" w:line="240"/>
        <w:jc w:val="center"/>
        <w:rPr/>
      </w:pPr>
      <w:r>
        <w:rPr>
          <w:rFonts w:cs="Calibri" w:ascii="Calibri" w:hAnsi="Calibri"/>
          <w:b/>
          <w:szCs w:val="22"/>
        </w:rPr>
        <w:t xml:space="preserve">SOCIETE MOULES ET MODELES INDUSTRIELS (M.M.I.) </w:t>
      </w:r>
    </w:p>
    <w:p>
      <w:pPr>
        <w:pStyle w:val="Normal"/>
        <w:pBdr>
          <w:top w:val="single" w:sz="4" w:space="1" w:color="000000"/>
          <w:left w:val="single" w:sz="4" w:space="4" w:color="000000"/>
          <w:bottom w:val="single" w:sz="4" w:space="1" w:color="000000"/>
          <w:right w:val="single" w:sz="4" w:space="4" w:color="000000"/>
        </w:pBdr>
        <w:shd w:fill="BFBFBF" w:val="clear"/>
        <w:spacing w:lineRule="auto" w:line="240"/>
        <w:jc w:val="center"/>
        <w:rPr>
          <w:rFonts w:ascii="Calibri" w:hAnsi="Calibri" w:cs="Calibri"/>
          <w:b/>
          <w:b/>
          <w:szCs w:val="22"/>
        </w:rPr>
      </w:pPr>
      <w:r>
        <w:rPr>
          <w:rFonts w:cs="Calibri" w:ascii="Calibri" w:hAnsi="Calibri"/>
          <w:b/>
          <w:szCs w:val="22"/>
        </w:rPr>
      </w:r>
    </w:p>
    <w:p>
      <w:pPr>
        <w:pStyle w:val="Normal"/>
        <w:pBdr>
          <w:top w:val="single" w:sz="4" w:space="1" w:color="000000"/>
          <w:left w:val="single" w:sz="4" w:space="4" w:color="000000"/>
          <w:bottom w:val="single" w:sz="4" w:space="1" w:color="000000"/>
          <w:right w:val="single" w:sz="4" w:space="4" w:color="000000"/>
        </w:pBdr>
        <w:shd w:fill="BFBFBF" w:val="clear"/>
        <w:spacing w:lineRule="auto" w:line="240"/>
        <w:jc w:val="center"/>
        <w:rPr>
          <w:rFonts w:ascii="Calibri" w:hAnsi="Calibri" w:cs="Calibri"/>
          <w:b/>
          <w:b/>
          <w:szCs w:val="22"/>
        </w:rPr>
      </w:pPr>
      <w:r>
        <w:rPr>
          <w:rFonts w:cs="Calibri" w:ascii="Calibri" w:hAnsi="Calibri"/>
          <w:b/>
          <w:szCs w:val="22"/>
        </w:rPr>
        <w:t>ACCORD PORTANT AUGMENTATION DU CONTINGENT DES HEURES SUPPLEMENTAIRES</w:t>
      </w:r>
    </w:p>
    <w:p>
      <w:pPr>
        <w:pStyle w:val="Normal"/>
        <w:pBdr>
          <w:top w:val="single" w:sz="4" w:space="1" w:color="000000"/>
          <w:left w:val="single" w:sz="4" w:space="4" w:color="000000"/>
          <w:bottom w:val="single" w:sz="4" w:space="1" w:color="000000"/>
          <w:right w:val="single" w:sz="4" w:space="4" w:color="000000"/>
        </w:pBdr>
        <w:shd w:fill="BFBFBF" w:val="clear"/>
        <w:spacing w:lineRule="auto" w:line="240"/>
        <w:jc w:val="center"/>
        <w:rPr>
          <w:rFonts w:ascii="Calibri" w:hAnsi="Calibri" w:cs="Calibri"/>
          <w:b/>
          <w:b/>
          <w:szCs w:val="22"/>
        </w:rPr>
      </w:pPr>
      <w:r>
        <w:rPr>
          <w:rFonts w:cs="Calibri" w:ascii="Calibri" w:hAnsi="Calibri"/>
          <w:b/>
          <w:szCs w:val="22"/>
        </w:rPr>
      </w:r>
    </w:p>
    <w:p>
      <w:pPr>
        <w:pStyle w:val="Normal"/>
        <w:spacing w:lineRule="auto" w:line="240"/>
        <w:rPr>
          <w:rFonts w:ascii="Calibri" w:hAnsi="Calibri" w:cs="Calibri"/>
          <w:b/>
          <w:b/>
          <w:szCs w:val="22"/>
        </w:rPr>
      </w:pPr>
      <w:r>
        <w:rPr>
          <w:rFonts w:cs="Calibri" w:ascii="Calibri" w:hAnsi="Calibri"/>
          <w:b/>
          <w:szCs w:val="22"/>
        </w:rPr>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b/>
          <w:b/>
          <w:szCs w:val="22"/>
          <w:u w:val="single"/>
        </w:rPr>
      </w:pPr>
      <w:r>
        <w:rPr>
          <w:rFonts w:cs="Calibri" w:ascii="Calibri" w:hAnsi="Calibri"/>
          <w:b/>
          <w:szCs w:val="22"/>
          <w:u w:val="single"/>
        </w:rPr>
        <w:t>ENTRE LES SOUSSIGNES :</w:t>
      </w:r>
    </w:p>
    <w:p>
      <w:pPr>
        <w:pStyle w:val="Normal"/>
        <w:spacing w:lineRule="auto" w:line="240"/>
        <w:rPr>
          <w:rFonts w:ascii="Calibri" w:hAnsi="Calibri" w:cs="Calibri"/>
          <w:b/>
          <w:b/>
          <w:szCs w:val="22"/>
          <w:u w:val="single"/>
        </w:rPr>
      </w:pPr>
      <w:r>
        <w:rPr>
          <w:rFonts w:cs="Calibri" w:ascii="Calibri" w:hAnsi="Calibri"/>
          <w:b/>
          <w:szCs w:val="22"/>
          <w:u w:val="single"/>
        </w:rPr>
      </w:r>
    </w:p>
    <w:p>
      <w:pPr>
        <w:pStyle w:val="Normal"/>
        <w:spacing w:lineRule="auto" w:line="240"/>
        <w:rPr>
          <w:rFonts w:ascii="Calibri" w:hAnsi="Calibri" w:cs="Calibri"/>
          <w:szCs w:val="22"/>
        </w:rPr>
      </w:pPr>
      <w:r>
        <w:rPr>
          <w:rFonts w:cs="Calibri" w:ascii="Calibri" w:hAnsi="Calibri"/>
          <w:szCs w:val="22"/>
        </w:rPr>
        <w:t xml:space="preserve">- </w:t>
      </w:r>
      <w:r>
        <w:rPr>
          <w:rFonts w:cs="Calibri" w:ascii="Calibri" w:hAnsi="Calibri"/>
          <w:b/>
          <w:bCs/>
          <w:szCs w:val="22"/>
        </w:rPr>
        <w:t>la SASU M.M.I.,</w:t>
      </w:r>
      <w:r>
        <w:rPr>
          <w:rFonts w:cs="Calibri" w:ascii="Calibri" w:hAnsi="Calibri"/>
          <w:szCs w:val="22"/>
        </w:rPr>
        <w:t xml:space="preserve"> Société par actions simplifiée à associé unique dont le siège social est situé 10 rue Edouard Denis BALDUS – 71100 CHALON SUR SAONE, inscrite au RCS de Chalon-sur-Saône sous le numéro 343 553 715 00024, représentée par la Société GROUPE EMPREINTE, elle-même présidente de la SASU MMI</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jc w:val="right"/>
        <w:rPr/>
      </w:pPr>
      <w:r>
        <w:rPr>
          <w:rFonts w:cs="Calibri" w:ascii="Calibri" w:hAnsi="Calibri"/>
          <w:szCs w:val="22"/>
        </w:rPr>
        <w:tab/>
        <w:tab/>
        <w:tab/>
        <w:tab/>
        <w:tab/>
        <w:tab/>
        <w:tab/>
        <w:tab/>
      </w:r>
      <w:r>
        <w:rPr>
          <w:rFonts w:cs="Calibri" w:ascii="Calibri" w:hAnsi="Calibri"/>
          <w:b/>
          <w:szCs w:val="22"/>
        </w:rPr>
        <w:t>DE PREMIERE PART</w:t>
      </w:r>
    </w:p>
    <w:p>
      <w:pPr>
        <w:pStyle w:val="Normal"/>
        <w:tabs>
          <w:tab w:val="left" w:pos="5280" w:leader="none"/>
        </w:tabs>
        <w:spacing w:lineRule="auto" w:line="240"/>
        <w:rPr>
          <w:rFonts w:ascii="Calibri" w:hAnsi="Calibri" w:cs="Calibri"/>
          <w:b/>
          <w:b/>
          <w:szCs w:val="22"/>
        </w:rPr>
      </w:pPr>
      <w:r>
        <w:rPr>
          <w:rFonts w:cs="Calibri" w:ascii="Calibri" w:hAnsi="Calibri"/>
          <w:b/>
          <w:szCs w:val="22"/>
        </w:rPr>
        <w:tab/>
      </w:r>
    </w:p>
    <w:p>
      <w:pPr>
        <w:pStyle w:val="Normal"/>
        <w:spacing w:lineRule="auto" w:line="240"/>
        <w:rPr>
          <w:rFonts w:ascii="Calibri" w:hAnsi="Calibri" w:cs="Calibri"/>
          <w:b/>
          <w:b/>
          <w:szCs w:val="22"/>
        </w:rPr>
      </w:pPr>
      <w:r>
        <w:rPr>
          <w:rFonts w:cs="Calibri" w:ascii="Calibri" w:hAnsi="Calibri"/>
          <w:b/>
          <w:szCs w:val="22"/>
        </w:rPr>
      </w:r>
    </w:p>
    <w:p>
      <w:pPr>
        <w:pStyle w:val="Normal"/>
        <w:spacing w:lineRule="auto" w:line="240"/>
        <w:rPr>
          <w:rFonts w:ascii="Calibri" w:hAnsi="Calibri" w:cs="Calibri"/>
          <w:b/>
          <w:b/>
          <w:szCs w:val="22"/>
          <w:u w:val="single"/>
        </w:rPr>
      </w:pPr>
      <w:r>
        <w:rPr>
          <w:rFonts w:cs="Calibri" w:ascii="Calibri" w:hAnsi="Calibri"/>
          <w:b/>
          <w:szCs w:val="22"/>
          <w:u w:val="single"/>
        </w:rPr>
        <w:t>ET :</w:t>
      </w:r>
    </w:p>
    <w:p>
      <w:pPr>
        <w:pStyle w:val="Normal"/>
        <w:tabs>
          <w:tab w:val="left" w:pos="1701" w:leader="none"/>
        </w:tabs>
        <w:spacing w:lineRule="auto" w:line="240"/>
        <w:rPr>
          <w:rFonts w:ascii="Calibri" w:hAnsi="Calibri" w:cs="Calibri"/>
          <w:b/>
          <w:b/>
          <w:iCs/>
          <w:szCs w:val="22"/>
          <w:u w:val="single"/>
        </w:rPr>
      </w:pPr>
      <w:r>
        <w:rPr>
          <w:rFonts w:cs="Calibri" w:ascii="Calibri" w:hAnsi="Calibri"/>
          <w:b/>
          <w:iCs/>
          <w:szCs w:val="22"/>
          <w:u w:val="single"/>
        </w:rPr>
      </w:r>
    </w:p>
    <w:p>
      <w:pPr>
        <w:pStyle w:val="Normal"/>
        <w:tabs>
          <w:tab w:val="left" w:pos="1701" w:leader="none"/>
        </w:tabs>
        <w:spacing w:lineRule="auto" w:line="240"/>
        <w:rPr/>
      </w:pPr>
      <w:r>
        <w:rPr>
          <w:rFonts w:cs="Calibri" w:ascii="Calibri" w:hAnsi="Calibri"/>
          <w:b/>
          <w:iCs/>
          <w:szCs w:val="22"/>
        </w:rPr>
        <w:t xml:space="preserve">- Les membres du Comité Social Economique (CSE) </w:t>
      </w:r>
      <w:r>
        <w:rPr>
          <w:rFonts w:cs="Calibri" w:ascii="Calibri" w:hAnsi="Calibri"/>
          <w:iCs/>
          <w:szCs w:val="22"/>
        </w:rPr>
        <w:t>représentant la majorité des suffrages exprimés lors des dernières élections professionnelles, à savoir :</w:t>
      </w:r>
    </w:p>
    <w:p>
      <w:pPr>
        <w:pStyle w:val="Normal"/>
        <w:tabs>
          <w:tab w:val="left" w:pos="1701" w:leader="none"/>
        </w:tabs>
        <w:spacing w:lineRule="auto" w:line="240"/>
        <w:rPr>
          <w:rFonts w:ascii="Calibri" w:hAnsi="Calibri" w:cs="Calibri"/>
          <w:iCs/>
          <w:szCs w:val="22"/>
        </w:rPr>
      </w:pPr>
      <w:r>
        <w:rPr>
          <w:rFonts w:cs="Calibri" w:ascii="Calibri" w:hAnsi="Calibri"/>
          <w:iCs/>
          <w:szCs w:val="22"/>
        </w:rPr>
      </w:r>
    </w:p>
    <w:p>
      <w:pPr>
        <w:pStyle w:val="Normal"/>
        <w:spacing w:lineRule="auto" w:line="240"/>
        <w:rPr>
          <w:rFonts w:ascii="Calibri" w:hAnsi="Calibri" w:cs="Calibri"/>
          <w:b/>
          <w:b/>
          <w:iCs/>
          <w:szCs w:val="22"/>
          <w:u w:val="single"/>
        </w:rPr>
      </w:pPr>
      <w:r>
        <w:rPr>
          <w:rFonts w:cs="Calibri" w:ascii="Calibri" w:hAnsi="Calibri"/>
          <w:b/>
          <w:iCs/>
          <w:szCs w:val="22"/>
          <w:u w:val="single"/>
        </w:rPr>
      </w:r>
    </w:p>
    <w:p>
      <w:pPr>
        <w:pStyle w:val="Normal"/>
        <w:spacing w:lineRule="auto" w:line="240"/>
        <w:rPr>
          <w:rFonts w:ascii="Calibri" w:hAnsi="Calibri" w:cs="Calibri"/>
          <w:b/>
          <w:b/>
          <w:szCs w:val="22"/>
          <w:u w:val="single"/>
        </w:rPr>
      </w:pPr>
      <w:r>
        <w:rPr>
          <w:rFonts w:cs="Calibri" w:ascii="Calibri" w:hAnsi="Calibri"/>
          <w:b/>
          <w:szCs w:val="22"/>
          <w:u w:val="single"/>
        </w:rPr>
      </w:r>
    </w:p>
    <w:p>
      <w:pPr>
        <w:pStyle w:val="Normal"/>
        <w:spacing w:lineRule="auto" w:line="240"/>
        <w:jc w:val="right"/>
        <w:rPr/>
      </w:pPr>
      <w:r>
        <w:rPr>
          <w:rFonts w:cs="Calibri" w:ascii="Calibri" w:hAnsi="Calibri"/>
          <w:szCs w:val="22"/>
        </w:rPr>
        <w:tab/>
        <w:tab/>
        <w:tab/>
        <w:tab/>
        <w:tab/>
        <w:tab/>
        <w:tab/>
        <w:tab/>
      </w:r>
      <w:r>
        <w:rPr>
          <w:rFonts w:cs="Calibri" w:ascii="Calibri" w:hAnsi="Calibri"/>
          <w:b/>
          <w:szCs w:val="22"/>
        </w:rPr>
        <w:t>DE SECONDE PART</w:t>
      </w:r>
    </w:p>
    <w:p>
      <w:pPr>
        <w:pStyle w:val="Normal"/>
        <w:spacing w:lineRule="auto" w:line="240"/>
        <w:rPr>
          <w:rFonts w:ascii="Calibri" w:hAnsi="Calibri" w:cs="Calibri"/>
          <w:b/>
          <w:b/>
          <w:szCs w:val="22"/>
        </w:rPr>
      </w:pPr>
      <w:r>
        <w:rPr>
          <w:rFonts w:cs="Calibri" w:ascii="Calibri" w:hAnsi="Calibri"/>
          <w:b/>
          <w:szCs w:val="22"/>
        </w:rPr>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jc w:val="center"/>
        <w:rPr>
          <w:rFonts w:ascii="Calibri" w:hAnsi="Calibri" w:cs="Calibri"/>
          <w:b/>
          <w:b/>
          <w:szCs w:val="22"/>
          <w:u w:val="single"/>
        </w:rPr>
      </w:pPr>
      <w:r>
        <w:rPr>
          <w:rFonts w:cs="Calibri" w:ascii="Calibri" w:hAnsi="Calibri"/>
          <w:b/>
          <w:szCs w:val="22"/>
          <w:u w:val="single"/>
        </w:rPr>
        <w:t>PREAMBULE</w:t>
      </w:r>
    </w:p>
    <w:p>
      <w:pPr>
        <w:pStyle w:val="Normal"/>
        <w:tabs>
          <w:tab w:val="left" w:pos="-1440" w:leader="none"/>
          <w:tab w:val="left" w:pos="-720" w:leader="none"/>
          <w:tab w:val="left" w:pos="0" w:leader="none"/>
          <w:tab w:val="left" w:pos="282" w:leader="none"/>
          <w:tab w:val="left" w:pos="1416" w:leader="none"/>
          <w:tab w:val="left" w:pos="2160" w:leader="none"/>
        </w:tabs>
        <w:spacing w:lineRule="auto" w:line="240"/>
        <w:rPr>
          <w:rFonts w:ascii="Calibri" w:hAnsi="Calibri" w:cs="Calibri"/>
          <w:b/>
          <w:b/>
          <w:szCs w:val="22"/>
          <w:u w:val="single"/>
        </w:rPr>
      </w:pPr>
      <w:r>
        <w:rPr>
          <w:rFonts w:cs="Calibri" w:ascii="Calibri" w:hAnsi="Calibri"/>
          <w:b/>
          <w:szCs w:val="22"/>
          <w:u w:val="single"/>
        </w:rPr>
      </w:r>
    </w:p>
    <w:p>
      <w:pPr>
        <w:pStyle w:val="Normal"/>
        <w:spacing w:lineRule="auto" w:line="240"/>
        <w:rPr/>
      </w:pPr>
      <w:r>
        <w:rPr>
          <w:rFonts w:cs="Calibri" w:ascii="Calibri" w:hAnsi="Calibri"/>
          <w:szCs w:val="22"/>
        </w:rPr>
        <w:t>Les contraintes particulières d’organisation et de gestion de l’activité au titre de l’année 2022 nécessitent d’adapter temporairement le régime des heures supplémentaires.</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pPr>
      <w:r>
        <w:rPr>
          <w:rFonts w:cs="Calibri" w:ascii="Calibri" w:hAnsi="Calibri"/>
          <w:szCs w:val="22"/>
        </w:rPr>
        <w:t>C’est en ce sens que les parties ont engagé des échanges relatifs à l’adaptation du contingent applicable qui se sont notamment tenus lors de la réunion du CSE du 17/11/2022.</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t>Dans ce contexte, les parties ont réaffirmé la nécessité de conduire une politique sociale axée sur les objectifs prioritaires suivants :</w:t>
      </w:r>
    </w:p>
    <w:p>
      <w:pPr>
        <w:pStyle w:val="Normal"/>
        <w:spacing w:lineRule="auto" w:line="240"/>
        <w:rPr>
          <w:rFonts w:ascii="Calibri" w:hAnsi="Calibri" w:cs="Calibri"/>
          <w:szCs w:val="22"/>
        </w:rPr>
      </w:pPr>
      <w:r>
        <w:rPr>
          <w:rFonts w:cs="Calibri" w:ascii="Calibri" w:hAnsi="Calibri"/>
          <w:szCs w:val="22"/>
        </w:rPr>
      </w:r>
    </w:p>
    <w:p>
      <w:pPr>
        <w:pStyle w:val="Normal"/>
        <w:numPr>
          <w:ilvl w:val="0"/>
          <w:numId w:val="7"/>
        </w:numPr>
        <w:spacing w:lineRule="auto" w:line="240"/>
        <w:rPr/>
      </w:pPr>
      <w:r>
        <w:rPr>
          <w:rFonts w:cs="Calibri" w:ascii="Calibri" w:hAnsi="Calibri"/>
          <w:szCs w:val="22"/>
        </w:rPr>
        <w:t xml:space="preserve">assurer la compétitivité de la Société </w:t>
      </w:r>
      <w:r>
        <w:rPr>
          <w:rFonts w:cs="Calibri" w:ascii="Calibri" w:hAnsi="Calibri"/>
          <w:bCs/>
          <w:szCs w:val="22"/>
        </w:rPr>
        <w:t xml:space="preserve">M.M.I. </w:t>
      </w:r>
      <w:r>
        <w:rPr>
          <w:rFonts w:cs="Calibri" w:ascii="Calibri" w:hAnsi="Calibri"/>
          <w:szCs w:val="22"/>
        </w:rPr>
        <w:t>notamment par une organisation permettant de faire face aux contraintes de l’activité ;</w:t>
      </w:r>
    </w:p>
    <w:p>
      <w:pPr>
        <w:pStyle w:val="Normal"/>
        <w:spacing w:lineRule="auto" w:line="240"/>
        <w:ind w:left="720" w:hanging="0"/>
        <w:rPr>
          <w:rFonts w:ascii="Calibri" w:hAnsi="Calibri" w:cs="Calibri"/>
          <w:szCs w:val="22"/>
        </w:rPr>
      </w:pPr>
      <w:r>
        <w:rPr>
          <w:rFonts w:cs="Calibri" w:ascii="Calibri" w:hAnsi="Calibri"/>
          <w:szCs w:val="22"/>
        </w:rPr>
      </w:r>
    </w:p>
    <w:p>
      <w:pPr>
        <w:pStyle w:val="Normal"/>
        <w:numPr>
          <w:ilvl w:val="0"/>
          <w:numId w:val="7"/>
        </w:numPr>
        <w:spacing w:lineRule="auto" w:line="240"/>
        <w:rPr>
          <w:rFonts w:ascii="Calibri" w:hAnsi="Calibri" w:cs="Calibri"/>
          <w:szCs w:val="22"/>
        </w:rPr>
      </w:pPr>
      <w:r>
        <w:rPr>
          <w:rFonts w:cs="Calibri" w:ascii="Calibri" w:hAnsi="Calibri"/>
          <w:szCs w:val="22"/>
        </w:rPr>
        <w:t xml:space="preserve">se doter d’un cadre juridique conforme à la réglementation en matière de durée et d’aménagement de la durée du travail ; </w:t>
      </w:r>
    </w:p>
    <w:p>
      <w:pPr>
        <w:pStyle w:val="Normal"/>
        <w:spacing w:lineRule="auto" w:line="240"/>
        <w:rPr>
          <w:rFonts w:ascii="Calibri" w:hAnsi="Calibri" w:cs="Calibri"/>
          <w:szCs w:val="22"/>
        </w:rPr>
      </w:pPr>
      <w:r>
        <w:rPr>
          <w:rFonts w:cs="Calibri" w:ascii="Calibri" w:hAnsi="Calibri"/>
          <w:szCs w:val="22"/>
        </w:rPr>
      </w:r>
    </w:p>
    <w:p>
      <w:pPr>
        <w:pStyle w:val="Normal"/>
        <w:numPr>
          <w:ilvl w:val="0"/>
          <w:numId w:val="7"/>
        </w:numPr>
        <w:spacing w:lineRule="auto" w:line="240"/>
        <w:rPr/>
      </w:pPr>
      <w:r>
        <w:rPr>
          <w:rFonts w:cs="Calibri" w:ascii="Calibri" w:hAnsi="Calibri"/>
          <w:szCs w:val="22"/>
        </w:rPr>
        <w:t>répondre aux aspirations du personnel en maintenant le principe de souplesse dans le recours aux heures supplémentaires.</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t>C’est en l’état de ces considérations générales que les parties ont arrêté les modalités du présent accord.</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jc w:val="center"/>
        <w:rPr>
          <w:rFonts w:ascii="Calibri" w:hAnsi="Calibri" w:cs="Calibri"/>
          <w:b/>
          <w:b/>
          <w:szCs w:val="22"/>
          <w:u w:val="single"/>
        </w:rPr>
      </w:pPr>
      <w:r>
        <w:rPr>
          <w:rFonts w:cs="Calibri" w:ascii="Calibri" w:hAnsi="Calibri"/>
          <w:b/>
          <w:szCs w:val="22"/>
          <w:u w:val="single"/>
        </w:rPr>
        <w:t>IL A ETE CONVENU ET ARRETE CE QUI SUIT :</w:t>
      </w:r>
    </w:p>
    <w:p>
      <w:pPr>
        <w:pStyle w:val="Normal"/>
        <w:spacing w:lineRule="auto" w:line="240"/>
        <w:jc w:val="center"/>
        <w:rPr>
          <w:rFonts w:ascii="Calibri" w:hAnsi="Calibri" w:cs="Calibri"/>
          <w:b/>
          <w:b/>
          <w:szCs w:val="22"/>
          <w:u w:val="single"/>
        </w:rPr>
      </w:pPr>
      <w:r>
        <w:rPr>
          <w:rFonts w:cs="Calibri" w:ascii="Calibri" w:hAnsi="Calibri"/>
          <w:b/>
          <w:szCs w:val="22"/>
          <w:u w:val="single"/>
        </w:rPr>
      </w:r>
    </w:p>
    <w:p>
      <w:pPr>
        <w:pStyle w:val="Normal"/>
        <w:spacing w:lineRule="auto" w:line="240"/>
        <w:rPr>
          <w:rFonts w:ascii="Calibri" w:hAnsi="Calibri" w:cs="Calibri"/>
          <w:b/>
          <w:b/>
          <w:szCs w:val="22"/>
          <w:u w:val="single"/>
        </w:rPr>
      </w:pPr>
      <w:r>
        <w:rPr>
          <w:rFonts w:cs="Calibri" w:ascii="Calibri" w:hAnsi="Calibri"/>
          <w:b/>
          <w:szCs w:val="22"/>
          <w:u w:val="single"/>
        </w:rPr>
        <w:t>ARTICLE I – CHAMP D’APPLICATION</w:t>
      </w:r>
    </w:p>
    <w:p>
      <w:pPr>
        <w:pStyle w:val="Normal"/>
        <w:spacing w:lineRule="auto" w:line="240"/>
        <w:rPr>
          <w:rFonts w:ascii="Calibri" w:hAnsi="Calibri" w:cs="Calibri"/>
          <w:b/>
          <w:b/>
          <w:szCs w:val="22"/>
          <w:u w:val="single"/>
        </w:rPr>
      </w:pPr>
      <w:r>
        <w:rPr>
          <w:rFonts w:cs="Calibri" w:ascii="Calibri" w:hAnsi="Calibri"/>
          <w:b/>
          <w:szCs w:val="22"/>
          <w:u w:val="single"/>
        </w:rPr>
      </w:r>
    </w:p>
    <w:p>
      <w:pPr>
        <w:pStyle w:val="Normal"/>
        <w:spacing w:lineRule="auto" w:line="240"/>
        <w:rPr/>
      </w:pPr>
      <w:r>
        <w:rPr>
          <w:rFonts w:cs="Calibri" w:ascii="Calibri" w:hAnsi="Calibri"/>
          <w:szCs w:val="22"/>
        </w:rPr>
        <w:t xml:space="preserve">Sauf exclusions expressément stipulées, le présent accord est susceptible de s’appliquer à l’ensemble des salariés de la Société </w:t>
      </w:r>
      <w:r>
        <w:rPr>
          <w:rFonts w:cs="Calibri" w:ascii="Calibri" w:hAnsi="Calibri"/>
          <w:bCs/>
          <w:szCs w:val="22"/>
        </w:rPr>
        <w:t xml:space="preserve">M.M.I. </w:t>
      </w:r>
      <w:r>
        <w:rPr>
          <w:rFonts w:cs="Calibri" w:ascii="Calibri" w:hAnsi="Calibri"/>
          <w:szCs w:val="22"/>
        </w:rPr>
        <w:t>dont la durée de travail est décomptée en heures, toute catégorie et tout établissement confondu, sous réserve des précisions exposées au sein des articles ci-après.</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b/>
          <w:b/>
          <w:szCs w:val="22"/>
          <w:u w:val="single"/>
        </w:rPr>
      </w:pPr>
      <w:r>
        <w:rPr>
          <w:rFonts w:cs="Calibri" w:ascii="Calibri" w:hAnsi="Calibri"/>
          <w:b/>
          <w:szCs w:val="22"/>
          <w:u w:val="single"/>
        </w:rPr>
        <w:t>ARTICLE II – HEURES SUPPLEMENTAIRES</w:t>
      </w:r>
    </w:p>
    <w:p>
      <w:pPr>
        <w:pStyle w:val="Normal"/>
        <w:spacing w:lineRule="auto" w:line="240"/>
        <w:rPr>
          <w:rFonts w:ascii="Calibri" w:hAnsi="Calibri" w:cs="Calibri"/>
          <w:b/>
          <w:b/>
          <w:szCs w:val="22"/>
          <w:u w:val="single"/>
        </w:rPr>
      </w:pPr>
      <w:r>
        <w:rPr>
          <w:rFonts w:cs="Calibri" w:ascii="Calibri" w:hAnsi="Calibri"/>
          <w:b/>
          <w:szCs w:val="22"/>
          <w:u w:val="single"/>
        </w:rPr>
      </w:r>
    </w:p>
    <w:p>
      <w:pPr>
        <w:pStyle w:val="Normal"/>
        <w:spacing w:lineRule="auto" w:line="240"/>
        <w:rPr>
          <w:rFonts w:ascii="Calibri" w:hAnsi="Calibri" w:cs="Calibri"/>
          <w:szCs w:val="22"/>
        </w:rPr>
      </w:pPr>
      <w:r>
        <w:rPr>
          <w:rFonts w:cs="Calibri" w:ascii="Calibri" w:hAnsi="Calibri"/>
          <w:szCs w:val="22"/>
        </w:rPr>
        <w:t xml:space="preserve">Le contingent annuel d’heures supplémentaires convenu au présent accord s’inscrit dans le cadre des dispositions de l’article L 3121-33 du Code du travail, lequel prévoit que le contingent annuel d’heures supplémentaires est défini par accord collectif d’entreprise ou d’établissement et que ce n’est qu’à défaut d’un tel accord d’entreprise ou d’établissement que ce contingent est fixé par convention ou accord de branche. </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pPr>
      <w:r>
        <w:rPr>
          <w:rFonts w:cs="Calibri" w:ascii="Calibri" w:hAnsi="Calibri"/>
          <w:szCs w:val="22"/>
        </w:rPr>
        <w:t xml:space="preserve">Le contingent annuel d’heures supplémentaires applicable au sein de la Société </w:t>
      </w:r>
      <w:r>
        <w:rPr>
          <w:rFonts w:cs="Calibri" w:ascii="Calibri" w:hAnsi="Calibri"/>
          <w:bCs/>
          <w:szCs w:val="22"/>
        </w:rPr>
        <w:t xml:space="preserve">M.M.I. </w:t>
      </w:r>
      <w:r>
        <w:rPr>
          <w:rFonts w:cs="Calibri" w:ascii="Calibri" w:hAnsi="Calibri"/>
          <w:szCs w:val="22"/>
        </w:rPr>
        <w:t>est fixé à 350 heures de travail effectif par salarié, quel que soit le régime d’aménagement de la durée du travail retenu (hors régime des conventions de forfait en jours sur l’année et salariés à temps partiel).</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t>Des heures supplémentaires peuvent être accomplies dans la limite et au-delà de ce contingent, dans les conditions légales applicables et sur décision de la Direction.</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pPr>
      <w:r>
        <w:rPr>
          <w:rFonts w:cs="Calibri" w:ascii="Calibri" w:hAnsi="Calibri"/>
          <w:szCs w:val="22"/>
        </w:rPr>
        <w:t>L'ensemble des autres conditions d'accomplissement, de rémunération / compensation des heures supplémentaires sont déterminées par référence à la réglementation en vigueur.</w:t>
      </w:r>
    </w:p>
    <w:p>
      <w:pPr>
        <w:pStyle w:val="Normal"/>
        <w:spacing w:lineRule="auto" w:line="240"/>
        <w:rPr>
          <w:rFonts w:ascii="Calibri" w:hAnsi="Calibri" w:cs="Calibri"/>
          <w:szCs w:val="22"/>
        </w:rPr>
      </w:pPr>
      <w:r>
        <w:rPr>
          <w:rFonts w:cs="Calibri" w:ascii="Calibri" w:hAnsi="Calibri"/>
          <w:szCs w:val="22"/>
        </w:rPr>
      </w:r>
    </w:p>
    <w:p>
      <w:pPr>
        <w:pStyle w:val="Listepuces"/>
        <w:numPr>
          <w:ilvl w:val="0"/>
          <w:numId w:val="0"/>
        </w:numPr>
        <w:tabs>
          <w:tab w:val="left" w:pos="0" w:leader="none"/>
        </w:tabs>
        <w:spacing w:lineRule="auto" w:line="240"/>
        <w:ind w:left="0" w:hanging="0"/>
        <w:rPr>
          <w:rFonts w:ascii="Calibri" w:hAnsi="Calibri" w:cs="Calibri"/>
          <w:b/>
          <w:b/>
          <w:szCs w:val="22"/>
          <w:u w:val="single"/>
        </w:rPr>
      </w:pPr>
      <w:r>
        <w:rPr>
          <w:rFonts w:cs="Calibri" w:ascii="Calibri" w:hAnsi="Calibri"/>
          <w:b/>
          <w:szCs w:val="22"/>
          <w:u w:val="single"/>
        </w:rPr>
        <w:t xml:space="preserve">ARTICLE III – DATE D’EFFET- DUREE - DENONCIATION – ADHESION – INTERPRETATION </w:t>
      </w:r>
    </w:p>
    <w:p>
      <w:pPr>
        <w:pStyle w:val="Listepuces"/>
        <w:numPr>
          <w:ilvl w:val="0"/>
          <w:numId w:val="0"/>
        </w:numPr>
        <w:tabs>
          <w:tab w:val="left" w:pos="0" w:leader="none"/>
        </w:tabs>
        <w:spacing w:lineRule="auto" w:line="240"/>
        <w:ind w:left="0" w:hanging="0"/>
        <w:rPr>
          <w:rFonts w:ascii="Calibri" w:hAnsi="Calibri" w:cs="Calibri"/>
          <w:b/>
          <w:b/>
          <w:szCs w:val="22"/>
          <w:u w:val="single"/>
        </w:rPr>
      </w:pPr>
      <w:r>
        <w:rPr>
          <w:rFonts w:cs="Calibri" w:ascii="Calibri" w:hAnsi="Calibri"/>
          <w:b/>
          <w:szCs w:val="22"/>
          <w:u w:val="single"/>
        </w:rPr>
      </w:r>
    </w:p>
    <w:p>
      <w:pPr>
        <w:pStyle w:val="Normal"/>
        <w:tabs>
          <w:tab w:val="left" w:pos="1132" w:leader="none"/>
          <w:tab w:val="left" w:pos="1700" w:leader="none"/>
          <w:tab w:val="left" w:pos="3967" w:leader="none"/>
          <w:tab w:val="left" w:pos="5668" w:leader="none"/>
          <w:tab w:val="center" w:pos="6518" w:leader="none"/>
        </w:tabs>
        <w:spacing w:lineRule="auto" w:line="240"/>
        <w:rPr/>
      </w:pPr>
      <w:r>
        <w:rPr>
          <w:rFonts w:cs="Calibri" w:ascii="Calibri" w:hAnsi="Calibri"/>
          <w:b/>
          <w:bCs/>
          <w:szCs w:val="22"/>
          <w:u w:val="single"/>
        </w:rPr>
        <w:t xml:space="preserve">3.1 </w:t>
      </w:r>
      <w:r>
        <w:rPr>
          <w:rFonts w:cs="Calibri" w:ascii="Calibri" w:hAnsi="Calibri"/>
          <w:b/>
          <w:szCs w:val="22"/>
          <w:u w:val="single"/>
        </w:rPr>
        <w:t xml:space="preserve">– </w:t>
      </w:r>
      <w:r>
        <w:rPr>
          <w:rFonts w:cs="Calibri" w:ascii="Calibri" w:hAnsi="Calibri"/>
          <w:b/>
          <w:bCs/>
          <w:szCs w:val="22"/>
          <w:u w:val="single"/>
        </w:rPr>
        <w:t xml:space="preserve">Entrée en vigueur et durée </w:t>
      </w:r>
    </w:p>
    <w:p>
      <w:pPr>
        <w:pStyle w:val="Listepuces"/>
        <w:numPr>
          <w:ilvl w:val="0"/>
          <w:numId w:val="0"/>
        </w:numPr>
        <w:tabs>
          <w:tab w:val="left" w:pos="0" w:leader="none"/>
        </w:tabs>
        <w:spacing w:lineRule="auto" w:line="240"/>
        <w:ind w:left="0" w:hanging="0"/>
        <w:rPr>
          <w:rFonts w:ascii="Calibri" w:hAnsi="Calibri" w:cs="Calibri"/>
          <w:b/>
          <w:b/>
          <w:bCs/>
          <w:szCs w:val="22"/>
          <w:u w:val="single"/>
        </w:rPr>
      </w:pPr>
      <w:r>
        <w:rPr>
          <w:rFonts w:cs="Calibri" w:ascii="Calibri" w:hAnsi="Calibri"/>
          <w:b/>
          <w:bCs/>
          <w:szCs w:val="22"/>
          <w:u w:val="single"/>
        </w:rPr>
      </w:r>
    </w:p>
    <w:p>
      <w:pPr>
        <w:pStyle w:val="Normal"/>
        <w:spacing w:lineRule="auto" w:line="240"/>
        <w:rPr>
          <w:rFonts w:ascii="Calibri" w:hAnsi="Calibri" w:cs="Calibri"/>
          <w:szCs w:val="22"/>
        </w:rPr>
      </w:pPr>
      <w:r>
        <w:rPr>
          <w:rFonts w:cs="Calibri" w:ascii="Calibri" w:hAnsi="Calibri"/>
          <w:szCs w:val="22"/>
        </w:rPr>
        <w:t xml:space="preserve">Le présent accord est conclu pour une durée indéterminée et entrera en application à compter du lendemain du jour de son dépôt auprès de la DREETS. </w:t>
      </w:r>
    </w:p>
    <w:p>
      <w:pPr>
        <w:pStyle w:val="Normal"/>
        <w:spacing w:lineRule="auto" w:line="240"/>
        <w:rPr>
          <w:rFonts w:ascii="Calibri" w:hAnsi="Calibri" w:cs="Calibri"/>
          <w:szCs w:val="22"/>
        </w:rPr>
      </w:pPr>
      <w:r>
        <w:rPr>
          <w:rFonts w:cs="Calibri" w:ascii="Calibri" w:hAnsi="Calibri"/>
          <w:szCs w:val="22"/>
        </w:rPr>
      </w:r>
    </w:p>
    <w:p>
      <w:pPr>
        <w:pStyle w:val="Normal"/>
        <w:tabs>
          <w:tab w:val="left" w:pos="1132" w:leader="none"/>
          <w:tab w:val="left" w:pos="1700" w:leader="none"/>
          <w:tab w:val="left" w:pos="3967" w:leader="none"/>
          <w:tab w:val="left" w:pos="5668" w:leader="none"/>
          <w:tab w:val="center" w:pos="6518" w:leader="none"/>
        </w:tabs>
        <w:spacing w:lineRule="auto" w:line="240"/>
        <w:rPr/>
      </w:pPr>
      <w:r>
        <w:rPr>
          <w:rFonts w:cs="Calibri" w:ascii="Calibri" w:hAnsi="Calibri"/>
          <w:b/>
          <w:bCs/>
          <w:szCs w:val="22"/>
          <w:u w:val="single"/>
        </w:rPr>
        <w:t xml:space="preserve">3.2 – Révision – dénonciation </w:t>
      </w:r>
    </w:p>
    <w:p>
      <w:pPr>
        <w:pStyle w:val="Listepuces"/>
        <w:numPr>
          <w:ilvl w:val="0"/>
          <w:numId w:val="0"/>
        </w:numPr>
        <w:tabs>
          <w:tab w:val="left" w:pos="0" w:leader="none"/>
        </w:tabs>
        <w:spacing w:lineRule="auto" w:line="240"/>
        <w:ind w:left="0" w:hanging="0"/>
        <w:rPr>
          <w:rFonts w:ascii="Calibri" w:hAnsi="Calibri" w:cs="Calibri"/>
          <w:b/>
          <w:b/>
          <w:bCs/>
          <w:szCs w:val="22"/>
          <w:u w:val="single"/>
        </w:rPr>
      </w:pPr>
      <w:r>
        <w:rPr>
          <w:rFonts w:cs="Calibri" w:ascii="Calibri" w:hAnsi="Calibri"/>
          <w:b/>
          <w:bCs/>
          <w:szCs w:val="22"/>
          <w:u w:val="single"/>
        </w:rPr>
      </w:r>
    </w:p>
    <w:p>
      <w:pPr>
        <w:pStyle w:val="Normal"/>
        <w:spacing w:lineRule="auto" w:line="240"/>
        <w:rPr>
          <w:rFonts w:ascii="Calibri" w:hAnsi="Calibri" w:cs="Calibri"/>
          <w:szCs w:val="22"/>
        </w:rPr>
      </w:pPr>
      <w:r>
        <w:rPr>
          <w:rFonts w:cs="Calibri" w:ascii="Calibri" w:hAnsi="Calibri"/>
          <w:szCs w:val="22"/>
        </w:rPr>
        <w:t>Le présent accord pourra être révisé ou dénoncé dans les conditions légales applicables. En cas de dénonciation, le préavis légal sera applicable.</w:t>
      </w:r>
    </w:p>
    <w:p>
      <w:pPr>
        <w:pStyle w:val="Listepuces"/>
        <w:numPr>
          <w:ilvl w:val="0"/>
          <w:numId w:val="0"/>
        </w:numPr>
        <w:tabs>
          <w:tab w:val="left" w:pos="0" w:leader="none"/>
        </w:tabs>
        <w:spacing w:lineRule="auto" w:line="240"/>
        <w:ind w:left="0" w:hanging="0"/>
        <w:rPr>
          <w:rFonts w:ascii="Calibri" w:hAnsi="Calibri" w:cs="Calibri"/>
          <w:szCs w:val="22"/>
        </w:rPr>
      </w:pPr>
      <w:r>
        <w:rPr>
          <w:rFonts w:cs="Calibri" w:ascii="Calibri" w:hAnsi="Calibri"/>
          <w:szCs w:val="22"/>
        </w:rPr>
      </w:r>
    </w:p>
    <w:p>
      <w:pPr>
        <w:pStyle w:val="Normal"/>
        <w:tabs>
          <w:tab w:val="left" w:pos="1132" w:leader="none"/>
          <w:tab w:val="left" w:pos="1700" w:leader="none"/>
          <w:tab w:val="left" w:pos="3967" w:leader="none"/>
          <w:tab w:val="left" w:pos="5668" w:leader="none"/>
          <w:tab w:val="center" w:pos="6518" w:leader="none"/>
        </w:tabs>
        <w:spacing w:lineRule="auto" w:line="240"/>
        <w:rPr/>
      </w:pPr>
      <w:r>
        <w:rPr>
          <w:rFonts w:cs="Calibri" w:ascii="Calibri" w:hAnsi="Calibri"/>
          <w:b/>
          <w:bCs/>
          <w:szCs w:val="22"/>
          <w:u w:val="single"/>
        </w:rPr>
        <w:t xml:space="preserve">3.3 </w:t>
      </w:r>
      <w:r>
        <w:rPr>
          <w:rFonts w:cs="Calibri" w:ascii="Calibri" w:hAnsi="Calibri"/>
          <w:b/>
          <w:szCs w:val="22"/>
          <w:u w:val="single"/>
        </w:rPr>
        <w:t xml:space="preserve">– </w:t>
      </w:r>
      <w:r>
        <w:rPr>
          <w:rFonts w:cs="Calibri" w:ascii="Calibri" w:hAnsi="Calibri"/>
          <w:b/>
          <w:bCs/>
          <w:szCs w:val="22"/>
          <w:u w:val="single"/>
        </w:rPr>
        <w:t>Suivi de l’accord – Rendez-vous</w:t>
      </w:r>
    </w:p>
    <w:p>
      <w:pPr>
        <w:pStyle w:val="Listepuces"/>
        <w:numPr>
          <w:ilvl w:val="0"/>
          <w:numId w:val="0"/>
        </w:numPr>
        <w:tabs>
          <w:tab w:val="left" w:pos="0" w:leader="none"/>
        </w:tabs>
        <w:spacing w:lineRule="auto" w:line="240"/>
        <w:ind w:left="360" w:hanging="0"/>
        <w:rPr>
          <w:rFonts w:ascii="Calibri" w:hAnsi="Calibri" w:cs="Calibri"/>
          <w:b/>
          <w:b/>
          <w:bCs/>
          <w:szCs w:val="22"/>
          <w:u w:val="single"/>
        </w:rPr>
      </w:pPr>
      <w:r>
        <w:rPr>
          <w:rFonts w:cs="Calibri" w:ascii="Calibri" w:hAnsi="Calibri"/>
          <w:b/>
          <w:bCs/>
          <w:szCs w:val="22"/>
          <w:u w:val="single"/>
        </w:rPr>
      </w:r>
    </w:p>
    <w:p>
      <w:pPr>
        <w:pStyle w:val="Normal"/>
        <w:spacing w:lineRule="auto" w:line="240"/>
        <w:rPr>
          <w:rFonts w:ascii="Calibri" w:hAnsi="Calibri" w:cs="Calibri"/>
          <w:szCs w:val="22"/>
        </w:rPr>
      </w:pPr>
      <w:r>
        <w:rPr>
          <w:rFonts w:cs="Calibri" w:ascii="Calibri" w:hAnsi="Calibri"/>
          <w:szCs w:val="22"/>
        </w:rPr>
        <w:t>Le suivi de l’application du présent accord se fera à travers à tout le moins une information annuelle portant sur son application communiquée aux délégués du personnel, ce qui sera l’occasion de discuter des dispositions du présent accord.</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r>
    </w:p>
    <w:p>
      <w:pPr>
        <w:pStyle w:val="Normal"/>
        <w:tabs>
          <w:tab w:val="left" w:pos="1132" w:leader="none"/>
          <w:tab w:val="left" w:pos="1700" w:leader="none"/>
          <w:tab w:val="left" w:pos="3967" w:leader="none"/>
          <w:tab w:val="left" w:pos="5668" w:leader="none"/>
          <w:tab w:val="center" w:pos="6518" w:leader="none"/>
        </w:tabs>
        <w:spacing w:lineRule="auto" w:line="240"/>
        <w:rPr/>
      </w:pPr>
      <w:r>
        <w:rPr>
          <w:rFonts w:cs="Calibri" w:ascii="Calibri" w:hAnsi="Calibri"/>
          <w:b/>
          <w:bCs/>
          <w:szCs w:val="22"/>
          <w:u w:val="single"/>
        </w:rPr>
        <w:t xml:space="preserve">3.4 </w:t>
      </w:r>
      <w:r>
        <w:rPr>
          <w:rFonts w:cs="Calibri" w:ascii="Calibri" w:hAnsi="Calibri"/>
          <w:b/>
          <w:szCs w:val="22"/>
          <w:u w:val="single"/>
        </w:rPr>
        <w:t xml:space="preserve">– </w:t>
      </w:r>
      <w:r>
        <w:rPr>
          <w:rFonts w:cs="Calibri" w:ascii="Calibri" w:hAnsi="Calibri"/>
          <w:b/>
          <w:bCs/>
          <w:szCs w:val="22"/>
          <w:u w:val="single"/>
        </w:rPr>
        <w:t xml:space="preserve">Adhésion </w:t>
      </w:r>
    </w:p>
    <w:p>
      <w:pPr>
        <w:pStyle w:val="Listepuces"/>
        <w:numPr>
          <w:ilvl w:val="0"/>
          <w:numId w:val="0"/>
        </w:numPr>
        <w:tabs>
          <w:tab w:val="left" w:pos="0" w:leader="none"/>
        </w:tabs>
        <w:spacing w:lineRule="auto" w:line="240"/>
        <w:ind w:left="360" w:hanging="0"/>
        <w:rPr>
          <w:rFonts w:ascii="Calibri" w:hAnsi="Calibri" w:cs="Calibri"/>
          <w:b/>
          <w:b/>
          <w:bCs/>
          <w:szCs w:val="22"/>
          <w:u w:val="single"/>
        </w:rPr>
      </w:pPr>
      <w:r>
        <w:rPr>
          <w:rFonts w:cs="Calibri" w:ascii="Calibri" w:hAnsi="Calibri"/>
          <w:b/>
          <w:bCs/>
          <w:szCs w:val="22"/>
          <w:u w:val="single"/>
        </w:rPr>
      </w:r>
    </w:p>
    <w:p>
      <w:pPr>
        <w:pStyle w:val="Normal"/>
        <w:spacing w:lineRule="auto" w:line="240"/>
        <w:rPr/>
      </w:pPr>
      <w:r>
        <w:rPr>
          <w:rFonts w:cs="Calibri" w:ascii="Calibri" w:hAnsi="Calibri"/>
          <w:szCs w:val="22"/>
        </w:rPr>
        <w:t>Conformément à l'article L. 2261-3 du Code du travail, toute organisation syndicale de salariés représentative dans l'entreprise, qui n'est pas signataire du présent accord, pourra y adhérer ultérieurement.</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pPr>
      <w:r>
        <w:rPr>
          <w:rFonts w:cs="Calibri" w:ascii="Calibri" w:hAnsi="Calibri"/>
          <w:szCs w:val="22"/>
        </w:rPr>
        <w:t>L'adhésion produira effet à partir du jour qui suivra celui de son dépôt au secrétariat du Greffe du Conseil des Prud'hommes compétent et à la DREETS.</w:t>
      </w:r>
    </w:p>
    <w:p>
      <w:pPr>
        <w:pStyle w:val="Listepuces"/>
        <w:numPr>
          <w:ilvl w:val="0"/>
          <w:numId w:val="0"/>
        </w:numPr>
        <w:tabs>
          <w:tab w:val="left" w:pos="0" w:leader="none"/>
        </w:tabs>
        <w:spacing w:lineRule="auto" w:line="240"/>
        <w:ind w:left="360" w:hanging="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t>Notification devra également en être faite, dans le délai de huit jours, par lettre recommandée, aux parties signataires.</w:t>
      </w:r>
    </w:p>
    <w:p>
      <w:pPr>
        <w:pStyle w:val="Listepuces"/>
        <w:numPr>
          <w:ilvl w:val="0"/>
          <w:numId w:val="0"/>
        </w:numPr>
        <w:tabs>
          <w:tab w:val="left" w:pos="0" w:leader="none"/>
        </w:tabs>
        <w:spacing w:lineRule="auto" w:line="240"/>
        <w:ind w:left="360" w:hanging="0"/>
        <w:rPr>
          <w:rFonts w:ascii="Calibri" w:hAnsi="Calibri" w:cs="Calibri"/>
          <w:szCs w:val="22"/>
        </w:rPr>
      </w:pPr>
      <w:r>
        <w:rPr>
          <w:rFonts w:cs="Calibri" w:ascii="Calibri" w:hAnsi="Calibri"/>
          <w:szCs w:val="22"/>
        </w:rPr>
      </w:r>
    </w:p>
    <w:p>
      <w:pPr>
        <w:pStyle w:val="Normal"/>
        <w:tabs>
          <w:tab w:val="left" w:pos="1132" w:leader="none"/>
          <w:tab w:val="left" w:pos="1700" w:leader="none"/>
          <w:tab w:val="left" w:pos="3967" w:leader="none"/>
          <w:tab w:val="left" w:pos="5668" w:leader="none"/>
          <w:tab w:val="center" w:pos="6518" w:leader="none"/>
        </w:tabs>
        <w:spacing w:lineRule="auto" w:line="240"/>
        <w:rPr/>
      </w:pPr>
      <w:r>
        <w:rPr>
          <w:rFonts w:cs="Calibri" w:ascii="Calibri" w:hAnsi="Calibri"/>
          <w:b/>
          <w:bCs/>
          <w:szCs w:val="22"/>
          <w:u w:val="single"/>
        </w:rPr>
        <w:t xml:space="preserve">3.5 </w:t>
      </w:r>
      <w:r>
        <w:rPr>
          <w:rFonts w:cs="Calibri" w:ascii="Calibri" w:hAnsi="Calibri"/>
          <w:b/>
          <w:szCs w:val="22"/>
          <w:u w:val="single"/>
        </w:rPr>
        <w:t xml:space="preserve">– </w:t>
      </w:r>
      <w:r>
        <w:rPr>
          <w:rFonts w:cs="Calibri" w:ascii="Calibri" w:hAnsi="Calibri"/>
          <w:b/>
          <w:bCs/>
          <w:szCs w:val="22"/>
          <w:u w:val="single"/>
        </w:rPr>
        <w:t xml:space="preserve">Interprétation de l'accord </w:t>
      </w:r>
    </w:p>
    <w:p>
      <w:pPr>
        <w:pStyle w:val="Listepuces"/>
        <w:numPr>
          <w:ilvl w:val="0"/>
          <w:numId w:val="0"/>
        </w:numPr>
        <w:tabs>
          <w:tab w:val="left" w:pos="0" w:leader="none"/>
        </w:tabs>
        <w:spacing w:lineRule="auto" w:line="240"/>
        <w:ind w:left="360" w:hanging="0"/>
        <w:rPr>
          <w:rFonts w:ascii="Calibri" w:hAnsi="Calibri" w:cs="Calibri"/>
          <w:b/>
          <w:b/>
          <w:bCs/>
          <w:szCs w:val="22"/>
          <w:u w:val="single"/>
        </w:rPr>
      </w:pPr>
      <w:r>
        <w:rPr>
          <w:rFonts w:cs="Calibri" w:ascii="Calibri" w:hAnsi="Calibri"/>
          <w:b/>
          <w:bCs/>
          <w:szCs w:val="22"/>
          <w:u w:val="single"/>
        </w:rPr>
      </w:r>
    </w:p>
    <w:p>
      <w:pPr>
        <w:pStyle w:val="Normal"/>
        <w:spacing w:lineRule="auto" w:line="240"/>
        <w:rPr>
          <w:rFonts w:ascii="Calibri" w:hAnsi="Calibri" w:cs="Calibri"/>
          <w:szCs w:val="22"/>
        </w:rPr>
      </w:pPr>
      <w:r>
        <w:rPr>
          <w:rFonts w:cs="Calibri" w:ascii="Calibri" w:hAnsi="Calibri"/>
          <w:szCs w:val="22"/>
        </w:rPr>
        <w:t>Les représentants de chacune des parties signataires conviennent de se rencontrer à la requête de la partie la plus diligente, dans le mois suivant la demande pour étudier et tenter de régler tout différend d'ordre individuel ou collectif né de l'application du présent accord.</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t>La demande de réunion doit consigner l'exposé précis du différend.</w:t>
      </w:r>
    </w:p>
    <w:p>
      <w:pPr>
        <w:pStyle w:val="Listepuces"/>
        <w:numPr>
          <w:ilvl w:val="0"/>
          <w:numId w:val="0"/>
        </w:numPr>
        <w:tabs>
          <w:tab w:val="left" w:pos="0" w:leader="none"/>
        </w:tabs>
        <w:spacing w:lineRule="auto" w:line="240"/>
        <w:ind w:left="360" w:hanging="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t>La position retenue en fin de réunion fait l'objet d'un procès-verbal rédigé par la Direction. Le document est remis à chacune des parties signataires.</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t>Si cela est nécessaire, une seconde réunion pourra être organisée dans le mois suivant la première réunion.</w:t>
      </w:r>
    </w:p>
    <w:p>
      <w:pPr>
        <w:pStyle w:val="Normal"/>
        <w:spacing w:lineRule="auto" w:line="240"/>
        <w:rPr>
          <w:rFonts w:ascii="Calibri" w:hAnsi="Calibri" w:cs="Calibri"/>
          <w:szCs w:val="22"/>
        </w:rPr>
      </w:pPr>
      <w:r>
        <w:rPr>
          <w:rFonts w:cs="Calibri" w:ascii="Calibri" w:hAnsi="Calibri"/>
          <w:szCs w:val="22"/>
        </w:rPr>
      </w:r>
    </w:p>
    <w:p>
      <w:pPr>
        <w:pStyle w:val="Normal"/>
        <w:spacing w:lineRule="auto" w:line="240"/>
        <w:rPr>
          <w:rFonts w:ascii="Calibri" w:hAnsi="Calibri" w:cs="Calibri"/>
          <w:szCs w:val="22"/>
        </w:rPr>
      </w:pPr>
      <w:r>
        <w:rPr>
          <w:rFonts w:cs="Calibri" w:ascii="Calibri" w:hAnsi="Calibri"/>
          <w:szCs w:val="22"/>
        </w:rPr>
        <w:t>Jusqu'à l'expiration de ces délais, les parties contractantes s'engagent à ne susciter aucune forme d'action contentieuse liée au différend faisant l'objet de cette procédure.</w:t>
      </w:r>
    </w:p>
    <w:p>
      <w:pPr>
        <w:pStyle w:val="Listepuces"/>
        <w:numPr>
          <w:ilvl w:val="0"/>
          <w:numId w:val="0"/>
        </w:numPr>
        <w:tabs>
          <w:tab w:val="left" w:pos="0" w:leader="none"/>
        </w:tabs>
        <w:spacing w:lineRule="auto" w:line="240"/>
        <w:ind w:left="0" w:hanging="0"/>
        <w:rPr>
          <w:rFonts w:ascii="Calibri" w:hAnsi="Calibri" w:cs="Calibri"/>
          <w:szCs w:val="22"/>
        </w:rPr>
      </w:pPr>
      <w:r>
        <w:rPr>
          <w:rFonts w:cs="Calibri" w:ascii="Calibri" w:hAnsi="Calibri"/>
          <w:szCs w:val="22"/>
        </w:rPr>
      </w:r>
    </w:p>
    <w:p>
      <w:pPr>
        <w:pStyle w:val="Listepuces"/>
        <w:numPr>
          <w:ilvl w:val="0"/>
          <w:numId w:val="0"/>
        </w:numPr>
        <w:tabs>
          <w:tab w:val="left" w:pos="0" w:leader="none"/>
        </w:tabs>
        <w:spacing w:lineRule="auto" w:line="240"/>
        <w:ind w:left="0" w:hanging="0"/>
        <w:rPr>
          <w:rFonts w:ascii="Calibri" w:hAnsi="Calibri" w:cs="Calibri"/>
          <w:szCs w:val="22"/>
        </w:rPr>
      </w:pPr>
      <w:r>
        <w:rPr>
          <w:rFonts w:cs="Calibri" w:ascii="Calibri" w:hAnsi="Calibri"/>
          <w:szCs w:val="22"/>
        </w:rPr>
      </w:r>
    </w:p>
    <w:p>
      <w:pPr>
        <w:pStyle w:val="Listepuces"/>
        <w:numPr>
          <w:ilvl w:val="0"/>
          <w:numId w:val="0"/>
        </w:numPr>
        <w:tabs>
          <w:tab w:val="left" w:pos="0" w:leader="none"/>
        </w:tabs>
        <w:spacing w:lineRule="auto" w:line="240"/>
        <w:ind w:left="0" w:hanging="0"/>
        <w:rPr/>
      </w:pPr>
      <w:r>
        <w:rPr>
          <w:rFonts w:cs="Calibri" w:ascii="Calibri" w:hAnsi="Calibri"/>
          <w:b/>
          <w:szCs w:val="22"/>
          <w:u w:val="single"/>
        </w:rPr>
        <w:t>ARTICLE IV –FORMALITES DE DEPOT ET DE PUBLICITE</w:t>
      </w:r>
    </w:p>
    <w:p>
      <w:pPr>
        <w:pStyle w:val="Listepuces"/>
        <w:numPr>
          <w:ilvl w:val="0"/>
          <w:numId w:val="0"/>
        </w:numPr>
        <w:tabs>
          <w:tab w:val="left" w:pos="0" w:leader="none"/>
        </w:tabs>
        <w:spacing w:lineRule="auto" w:line="240"/>
        <w:ind w:left="0" w:hanging="0"/>
        <w:rPr>
          <w:rFonts w:ascii="Calibri" w:hAnsi="Calibri" w:cs="Calibri"/>
          <w:b/>
          <w:b/>
          <w:szCs w:val="22"/>
          <w:u w:val="single"/>
        </w:rPr>
      </w:pPr>
      <w:r>
        <w:rPr>
          <w:rFonts w:cs="Calibri" w:ascii="Calibri" w:hAnsi="Calibri"/>
          <w:b/>
          <w:szCs w:val="22"/>
          <w:u w:val="single"/>
        </w:rPr>
      </w:r>
    </w:p>
    <w:p>
      <w:pPr>
        <w:pStyle w:val="Normal"/>
        <w:tabs>
          <w:tab w:val="left" w:pos="1132" w:leader="none"/>
          <w:tab w:val="left" w:pos="1700" w:leader="none"/>
          <w:tab w:val="left" w:pos="3967" w:leader="none"/>
          <w:tab w:val="left" w:pos="5668" w:leader="none"/>
          <w:tab w:val="center" w:pos="6518" w:leader="none"/>
        </w:tabs>
        <w:spacing w:lineRule="auto" w:line="240"/>
        <w:rPr>
          <w:rFonts w:ascii="Calibri" w:hAnsi="Calibri" w:cs="Calibri"/>
          <w:szCs w:val="22"/>
        </w:rPr>
      </w:pPr>
      <w:r>
        <w:rPr>
          <w:rFonts w:cs="Calibri" w:ascii="Calibri" w:hAnsi="Calibri"/>
          <w:szCs w:val="22"/>
        </w:rPr>
        <w:t>Conformément aux dispositions légales, les partenaires sociaux déclarent que la négociation s’est déroulée dans le respect des règles suivantes :</w:t>
      </w:r>
    </w:p>
    <w:p>
      <w:pPr>
        <w:pStyle w:val="Normal"/>
        <w:spacing w:lineRule="auto" w:line="240"/>
        <w:ind w:left="360" w:hanging="0"/>
        <w:rPr>
          <w:rFonts w:ascii="Calibri" w:hAnsi="Calibri" w:cs="Calibri"/>
          <w:szCs w:val="22"/>
        </w:rPr>
      </w:pPr>
      <w:r>
        <w:rPr>
          <w:rFonts w:cs="Calibri" w:ascii="Calibri" w:hAnsi="Calibri"/>
          <w:szCs w:val="22"/>
        </w:rPr>
      </w:r>
    </w:p>
    <w:p>
      <w:pPr>
        <w:pStyle w:val="Normal"/>
        <w:numPr>
          <w:ilvl w:val="0"/>
          <w:numId w:val="5"/>
        </w:numPr>
        <w:spacing w:lineRule="auto" w:line="240"/>
        <w:rPr/>
      </w:pPr>
      <w:r>
        <w:rPr>
          <w:rFonts w:cs="Calibri" w:ascii="Calibri" w:hAnsi="Calibri"/>
          <w:szCs w:val="22"/>
        </w:rPr>
        <w:t xml:space="preserve">Indépendance des négociateurs vis-à-vis de la Société </w:t>
      </w:r>
      <w:r>
        <w:rPr>
          <w:rFonts w:cs="Calibri" w:ascii="Calibri" w:hAnsi="Calibri"/>
          <w:bCs/>
          <w:szCs w:val="22"/>
        </w:rPr>
        <w:t>M.M.I.</w:t>
      </w:r>
      <w:r>
        <w:rPr>
          <w:rFonts w:cs="Calibri" w:ascii="Calibri" w:hAnsi="Calibri"/>
          <w:szCs w:val="22"/>
        </w:rPr>
        <w:t>;</w:t>
      </w:r>
    </w:p>
    <w:p>
      <w:pPr>
        <w:pStyle w:val="Normal"/>
        <w:spacing w:lineRule="auto" w:line="240"/>
        <w:ind w:left="720" w:hanging="0"/>
        <w:rPr>
          <w:rFonts w:ascii="Calibri" w:hAnsi="Calibri" w:cs="Calibri"/>
          <w:szCs w:val="22"/>
        </w:rPr>
      </w:pPr>
      <w:r>
        <w:rPr>
          <w:rFonts w:cs="Calibri" w:ascii="Calibri" w:hAnsi="Calibri"/>
          <w:szCs w:val="22"/>
        </w:rPr>
      </w:r>
    </w:p>
    <w:p>
      <w:pPr>
        <w:pStyle w:val="Normal"/>
        <w:numPr>
          <w:ilvl w:val="0"/>
          <w:numId w:val="5"/>
        </w:numPr>
        <w:spacing w:lineRule="auto" w:line="240"/>
        <w:rPr>
          <w:rFonts w:ascii="Calibri" w:hAnsi="Calibri" w:cs="Calibri"/>
          <w:szCs w:val="22"/>
        </w:rPr>
      </w:pPr>
      <w:r>
        <w:rPr>
          <w:rFonts w:cs="Calibri" w:ascii="Calibri" w:hAnsi="Calibri"/>
          <w:szCs w:val="22"/>
        </w:rPr>
        <w:t>Elaboration conjointe du projet d'accord par les négociateurs ;</w:t>
      </w:r>
    </w:p>
    <w:p>
      <w:pPr>
        <w:pStyle w:val="Normal"/>
        <w:spacing w:lineRule="auto" w:line="240"/>
        <w:rPr>
          <w:rFonts w:ascii="Calibri" w:hAnsi="Calibri" w:cs="Calibri"/>
          <w:szCs w:val="22"/>
        </w:rPr>
      </w:pPr>
      <w:r>
        <w:rPr>
          <w:rFonts w:cs="Calibri" w:ascii="Calibri" w:hAnsi="Calibri"/>
          <w:szCs w:val="22"/>
        </w:rPr>
      </w:r>
    </w:p>
    <w:p>
      <w:pPr>
        <w:pStyle w:val="Normal"/>
        <w:numPr>
          <w:ilvl w:val="0"/>
          <w:numId w:val="5"/>
        </w:numPr>
        <w:spacing w:lineRule="auto" w:line="240"/>
        <w:rPr>
          <w:rFonts w:ascii="Calibri" w:hAnsi="Calibri" w:cs="Calibri"/>
          <w:szCs w:val="22"/>
        </w:rPr>
      </w:pPr>
      <w:r>
        <w:rPr>
          <w:rFonts w:cs="Calibri" w:ascii="Calibri" w:hAnsi="Calibri"/>
          <w:szCs w:val="22"/>
        </w:rPr>
        <w:t>Concertation avec les salariés ;</w:t>
      </w:r>
    </w:p>
    <w:p>
      <w:pPr>
        <w:pStyle w:val="Normal"/>
        <w:spacing w:lineRule="auto" w:line="240"/>
        <w:rPr>
          <w:rFonts w:ascii="Calibri" w:hAnsi="Calibri" w:cs="Calibri"/>
          <w:szCs w:val="22"/>
        </w:rPr>
      </w:pPr>
      <w:r>
        <w:rPr>
          <w:rFonts w:cs="Calibri" w:ascii="Calibri" w:hAnsi="Calibri"/>
          <w:szCs w:val="22"/>
        </w:rPr>
      </w:r>
    </w:p>
    <w:p>
      <w:pPr>
        <w:pStyle w:val="Normal"/>
        <w:numPr>
          <w:ilvl w:val="0"/>
          <w:numId w:val="5"/>
        </w:numPr>
        <w:spacing w:lineRule="auto" w:line="240"/>
        <w:rPr>
          <w:rFonts w:ascii="Calibri" w:hAnsi="Calibri" w:cs="Calibri"/>
          <w:szCs w:val="22"/>
        </w:rPr>
      </w:pPr>
      <w:r>
        <w:rPr>
          <w:rFonts w:cs="Calibri" w:ascii="Calibri" w:hAnsi="Calibri"/>
          <w:szCs w:val="22"/>
        </w:rPr>
        <w:t>Faculté de prendre l'attache des organisations syndicales représentatives de la branche ;</w:t>
      </w:r>
    </w:p>
    <w:p>
      <w:pPr>
        <w:pStyle w:val="Normal"/>
        <w:spacing w:lineRule="auto" w:line="240"/>
        <w:rPr>
          <w:rFonts w:ascii="Calibri" w:hAnsi="Calibri" w:cs="Calibri"/>
          <w:szCs w:val="22"/>
        </w:rPr>
      </w:pPr>
      <w:r>
        <w:rPr>
          <w:rFonts w:cs="Calibri" w:ascii="Calibri" w:hAnsi="Calibri"/>
          <w:szCs w:val="22"/>
        </w:rPr>
      </w:r>
    </w:p>
    <w:p>
      <w:pPr>
        <w:pStyle w:val="Normal"/>
        <w:numPr>
          <w:ilvl w:val="0"/>
          <w:numId w:val="5"/>
        </w:numPr>
        <w:spacing w:lineRule="auto" w:line="240"/>
        <w:rPr/>
      </w:pPr>
      <w:r>
        <w:rPr>
          <w:rFonts w:cs="Calibri" w:ascii="Calibri" w:hAnsi="Calibri"/>
          <w:szCs w:val="22"/>
        </w:rPr>
        <w:t xml:space="preserve">Informations remises aux élus titulaires préalablement à la négociation déterminée par accord entre ceux-ci et la Société </w:t>
      </w:r>
      <w:r>
        <w:rPr>
          <w:rFonts w:cs="Calibri" w:ascii="Calibri" w:hAnsi="Calibri"/>
          <w:bCs/>
          <w:szCs w:val="22"/>
        </w:rPr>
        <w:t>M.M.I.</w:t>
      </w:r>
      <w:r>
        <w:rPr>
          <w:rFonts w:cs="Calibri" w:ascii="Calibri" w:hAnsi="Calibri"/>
          <w:szCs w:val="22"/>
        </w:rPr>
        <w:t>.</w:t>
      </w:r>
    </w:p>
    <w:p>
      <w:pPr>
        <w:pStyle w:val="Listepuces"/>
        <w:numPr>
          <w:ilvl w:val="0"/>
          <w:numId w:val="0"/>
        </w:numPr>
        <w:tabs>
          <w:tab w:val="left" w:pos="0" w:leader="none"/>
        </w:tabs>
        <w:spacing w:lineRule="auto" w:line="240"/>
        <w:ind w:left="0" w:hanging="0"/>
        <w:rPr>
          <w:rFonts w:ascii="Calibri" w:hAnsi="Calibri" w:cs="Calibri"/>
          <w:b/>
          <w:b/>
          <w:szCs w:val="22"/>
          <w:u w:val="single"/>
        </w:rPr>
      </w:pPr>
      <w:r>
        <w:rPr>
          <w:rFonts w:cs="Calibri" w:ascii="Calibri" w:hAnsi="Calibri"/>
          <w:b/>
          <w:szCs w:val="22"/>
          <w:u w:val="single"/>
        </w:rPr>
      </w:r>
    </w:p>
    <w:p>
      <w:pPr>
        <w:pStyle w:val="Normal"/>
        <w:rPr>
          <w:rFonts w:ascii="Calibri" w:hAnsi="Calibri" w:cs="Calibri"/>
          <w:szCs w:val="22"/>
        </w:rPr>
      </w:pPr>
      <w:r>
        <w:rPr>
          <w:rFonts w:cs="Calibri" w:ascii="Calibri" w:hAnsi="Calibri"/>
          <w:szCs w:val="22"/>
        </w:rPr>
        <w:t>Dès la signature de l’accord, et en application du décret n°2018-362 du 15 mai 2018 relatif à la procédure de dépôt des accords collectifs, les formalités de dépôt seront effectuées par le représentant légal de l’entreprise :</w:t>
      </w:r>
    </w:p>
    <w:p>
      <w:pPr>
        <w:pStyle w:val="Normal"/>
        <w:tabs>
          <w:tab w:val="left" w:pos="0" w:leader="none"/>
        </w:tabs>
        <w:spacing w:lineRule="auto" w:line="240"/>
        <w:ind w:left="720" w:hanging="0"/>
        <w:rPr>
          <w:rFonts w:ascii="Calibri" w:hAnsi="Calibri" w:cs="Calibri"/>
          <w:szCs w:val="22"/>
        </w:rPr>
      </w:pPr>
      <w:r>
        <w:rPr>
          <w:rFonts w:cs="Calibri" w:ascii="Calibri" w:hAnsi="Calibri"/>
          <w:szCs w:val="22"/>
        </w:rPr>
      </w:r>
    </w:p>
    <w:p>
      <w:pPr>
        <w:pStyle w:val="Normal"/>
        <w:numPr>
          <w:ilvl w:val="0"/>
          <w:numId w:val="3"/>
        </w:numPr>
        <w:tabs>
          <w:tab w:val="left" w:pos="0" w:leader="none"/>
        </w:tabs>
        <w:spacing w:lineRule="auto" w:line="240"/>
        <w:rPr/>
      </w:pPr>
      <w:r>
        <w:rPr>
          <w:rFonts w:cs="Calibri" w:ascii="Calibri" w:hAnsi="Calibri"/>
          <w:szCs w:val="22"/>
        </w:rPr>
        <w:t xml:space="preserve">le présent accord sera déposé sur la plateforme nationale "TéléAccords" à l’adresse suivante : </w:t>
      </w:r>
      <w:hyperlink r:id="rId2">
        <w:r>
          <w:rPr>
            <w:rStyle w:val="InternetLink"/>
            <w:rFonts w:cs="Calibri" w:ascii="Calibri" w:hAnsi="Calibri"/>
            <w:szCs w:val="22"/>
          </w:rPr>
          <w:t>www.teleaccords.travail-emploi.gouv.fr</w:t>
        </w:r>
      </w:hyperlink>
      <w:r>
        <w:rPr>
          <w:rFonts w:cs="Calibri" w:ascii="Calibri" w:hAnsi="Calibri"/>
          <w:szCs w:val="22"/>
        </w:rPr>
        <w:t> ;</w:t>
      </w:r>
    </w:p>
    <w:p>
      <w:pPr>
        <w:pStyle w:val="Normal"/>
        <w:tabs>
          <w:tab w:val="left" w:pos="0" w:leader="none"/>
        </w:tabs>
        <w:spacing w:lineRule="auto" w:line="240"/>
        <w:ind w:left="720" w:hanging="0"/>
        <w:rPr>
          <w:rFonts w:ascii="Calibri" w:hAnsi="Calibri" w:cs="Calibri"/>
          <w:szCs w:val="22"/>
        </w:rPr>
      </w:pPr>
      <w:r>
        <w:rPr>
          <w:rFonts w:cs="Calibri" w:ascii="Calibri" w:hAnsi="Calibri"/>
          <w:szCs w:val="22"/>
        </w:rPr>
      </w:r>
    </w:p>
    <w:p>
      <w:pPr>
        <w:pStyle w:val="Normal"/>
        <w:numPr>
          <w:ilvl w:val="0"/>
          <w:numId w:val="3"/>
        </w:numPr>
        <w:tabs>
          <w:tab w:val="left" w:pos="0" w:leader="none"/>
        </w:tabs>
        <w:spacing w:lineRule="auto" w:line="240"/>
        <w:rPr>
          <w:rFonts w:ascii="Calibri" w:hAnsi="Calibri" w:cs="Calibri"/>
          <w:szCs w:val="22"/>
        </w:rPr>
      </w:pPr>
      <w:r>
        <w:rPr>
          <w:rFonts w:cs="Calibri" w:ascii="Calibri" w:hAnsi="Calibri"/>
          <w:szCs w:val="22"/>
        </w:rPr>
        <w:t>le présent accord sera également déposé par la Société au secrétariat greffe du Conseil de Prud’hommes de CHALON SUR SAONE.</w:t>
      </w:r>
    </w:p>
    <w:p>
      <w:pPr>
        <w:pStyle w:val="Normal"/>
        <w:tabs>
          <w:tab w:val="left" w:pos="0" w:leader="none"/>
        </w:tabs>
        <w:spacing w:lineRule="auto" w:line="240"/>
        <w:ind w:left="720" w:hanging="0"/>
        <w:rPr>
          <w:rFonts w:ascii="Calibri" w:hAnsi="Calibri" w:cs="Calibri"/>
          <w:szCs w:val="22"/>
        </w:rPr>
      </w:pPr>
      <w:r>
        <w:rPr>
          <w:rFonts w:cs="Calibri" w:ascii="Calibri" w:hAnsi="Calibri"/>
          <w:szCs w:val="22"/>
        </w:rPr>
      </w:r>
    </w:p>
    <w:p>
      <w:pPr>
        <w:pStyle w:val="Normal"/>
        <w:numPr>
          <w:ilvl w:val="0"/>
          <w:numId w:val="3"/>
        </w:numPr>
        <w:tabs>
          <w:tab w:val="left" w:pos="0" w:leader="none"/>
        </w:tabs>
        <w:spacing w:lineRule="auto" w:line="240"/>
        <w:rPr>
          <w:rFonts w:ascii="Calibri" w:hAnsi="Calibri" w:cs="Calibri"/>
          <w:szCs w:val="22"/>
        </w:rPr>
      </w:pPr>
      <w:r>
        <w:rPr>
          <w:rFonts w:cs="Calibri" w:ascii="Calibri" w:hAnsi="Calibri"/>
          <w:szCs w:val="22"/>
        </w:rPr>
        <w:t>une copie du présent protocole sera affichée sur les panneaux d’affichage destinés à l’information du personnel salarié.</w:t>
      </w:r>
    </w:p>
    <w:p>
      <w:pPr>
        <w:pStyle w:val="Listepuces"/>
        <w:numPr>
          <w:ilvl w:val="0"/>
          <w:numId w:val="0"/>
        </w:numPr>
        <w:tabs>
          <w:tab w:val="left" w:pos="0" w:leader="none"/>
        </w:tabs>
        <w:spacing w:lineRule="auto" w:line="240"/>
        <w:ind w:left="0" w:hanging="0"/>
        <w:rPr>
          <w:rFonts w:ascii="Calibri" w:hAnsi="Calibri" w:cs="Calibri"/>
          <w:b/>
          <w:b/>
          <w:szCs w:val="22"/>
          <w:u w:val="single"/>
        </w:rPr>
      </w:pPr>
      <w:r>
        <w:rPr>
          <w:rFonts w:cs="Calibri" w:ascii="Calibri" w:hAnsi="Calibri"/>
          <w:b/>
          <w:szCs w:val="22"/>
          <w:u w:val="single"/>
        </w:rPr>
      </w:r>
    </w:p>
    <w:p>
      <w:pPr>
        <w:pStyle w:val="Listepuces"/>
        <w:numPr>
          <w:ilvl w:val="0"/>
          <w:numId w:val="0"/>
        </w:numPr>
        <w:tabs>
          <w:tab w:val="left" w:pos="0" w:leader="none"/>
        </w:tabs>
        <w:spacing w:lineRule="auto" w:line="240"/>
        <w:ind w:left="0" w:hanging="0"/>
        <w:rPr>
          <w:rFonts w:ascii="Calibri" w:hAnsi="Calibri" w:cs="Calibri"/>
          <w:b/>
          <w:b/>
          <w:szCs w:val="22"/>
          <w:u w:val="single"/>
        </w:rPr>
      </w:pPr>
      <w:r>
        <w:rPr>
          <w:rFonts w:cs="Calibri" w:ascii="Calibri" w:hAnsi="Calibri"/>
          <w:b/>
          <w:szCs w:val="22"/>
          <w:u w:val="single"/>
        </w:rPr>
      </w:r>
    </w:p>
    <w:p>
      <w:pPr>
        <w:pStyle w:val="Listepuces"/>
        <w:numPr>
          <w:ilvl w:val="0"/>
          <w:numId w:val="0"/>
        </w:numPr>
        <w:tabs>
          <w:tab w:val="left" w:pos="0" w:leader="none"/>
          <w:tab w:val="left" w:pos="4536" w:leader="none"/>
        </w:tabs>
        <w:spacing w:lineRule="auto" w:line="240"/>
        <w:ind w:left="0" w:hanging="0"/>
        <w:rPr>
          <w:rFonts w:ascii="Calibri" w:hAnsi="Calibri" w:cs="Calibri"/>
          <w:b/>
          <w:b/>
          <w:szCs w:val="22"/>
        </w:rPr>
      </w:pPr>
      <w:r>
        <w:rPr>
          <w:rFonts w:cs="Calibri" w:ascii="Calibri" w:hAnsi="Calibri"/>
          <w:b/>
          <w:szCs w:val="22"/>
        </w:rPr>
        <w:t xml:space="preserve">Fait à CHALON SUR SAONE </w:t>
      </w:r>
    </w:p>
    <w:p>
      <w:pPr>
        <w:pStyle w:val="Listepuces"/>
        <w:numPr>
          <w:ilvl w:val="0"/>
          <w:numId w:val="0"/>
        </w:numPr>
        <w:tabs>
          <w:tab w:val="left" w:pos="0" w:leader="none"/>
          <w:tab w:val="left" w:pos="4536" w:leader="none"/>
        </w:tabs>
        <w:spacing w:lineRule="auto" w:line="240"/>
        <w:ind w:left="0" w:hanging="0"/>
        <w:rPr>
          <w:rFonts w:ascii="Calibri" w:hAnsi="Calibri" w:cs="Calibri"/>
          <w:b/>
          <w:b/>
          <w:szCs w:val="22"/>
        </w:rPr>
      </w:pPr>
      <w:r>
        <w:rPr>
          <w:rFonts w:cs="Calibri" w:ascii="Calibri" w:hAnsi="Calibri"/>
          <w:b/>
          <w:szCs w:val="22"/>
        </w:rPr>
        <w:t>Le 18/11/2022</w:t>
      </w:r>
    </w:p>
    <w:p>
      <w:pPr>
        <w:pStyle w:val="Listepuces"/>
        <w:numPr>
          <w:ilvl w:val="0"/>
          <w:numId w:val="0"/>
        </w:numPr>
        <w:tabs>
          <w:tab w:val="left" w:pos="0" w:leader="none"/>
          <w:tab w:val="left" w:pos="3969" w:leader="none"/>
        </w:tabs>
        <w:spacing w:lineRule="auto" w:line="240"/>
        <w:ind w:left="0" w:hanging="0"/>
        <w:rPr>
          <w:rFonts w:ascii="Calibri" w:hAnsi="Calibri" w:cs="Calibri"/>
          <w:b/>
          <w:b/>
          <w:szCs w:val="22"/>
        </w:rPr>
      </w:pPr>
      <w:r>
        <w:rPr>
          <w:rFonts w:cs="Calibri" w:ascii="Calibri" w:hAnsi="Calibri"/>
          <w:b/>
          <w:szCs w:val="22"/>
        </w:rPr>
      </w:r>
    </w:p>
    <w:p>
      <w:pPr>
        <w:pStyle w:val="Normal"/>
        <w:tabs>
          <w:tab w:val="left" w:pos="1132" w:leader="none"/>
          <w:tab w:val="left" w:pos="1700" w:leader="none"/>
          <w:tab w:val="left" w:pos="3967" w:leader="none"/>
          <w:tab w:val="left" w:pos="5668" w:leader="none"/>
          <w:tab w:val="center" w:pos="6518" w:leader="none"/>
        </w:tabs>
        <w:spacing w:lineRule="auto" w:line="240"/>
        <w:rPr>
          <w:rFonts w:ascii="Calibri" w:hAnsi="Calibri" w:cs="Calibri"/>
          <w:szCs w:val="22"/>
        </w:rPr>
      </w:pPr>
      <w:r>
        <w:rPr>
          <w:rFonts w:cs="Calibri" w:ascii="Calibri" w:hAnsi="Calibri"/>
          <w:szCs w:val="22"/>
        </w:rPr>
        <w:t>En autant d’exemplaires originaux que de parties signataires et d’exemplaires nécessaires aux dépôts obligatoires, chaque signataire se voit remettre l’exemplaire original lui revenant lors de la signature.</w:t>
      </w:r>
    </w:p>
    <w:p>
      <w:pPr>
        <w:pStyle w:val="Listepuces"/>
        <w:numPr>
          <w:ilvl w:val="0"/>
          <w:numId w:val="0"/>
        </w:numPr>
        <w:tabs>
          <w:tab w:val="left" w:pos="0" w:leader="none"/>
          <w:tab w:val="left" w:pos="3969" w:leader="none"/>
        </w:tabs>
        <w:spacing w:lineRule="auto" w:line="240"/>
        <w:ind w:left="0" w:hanging="0"/>
        <w:rPr>
          <w:rFonts w:ascii="Calibri" w:hAnsi="Calibri" w:cs="Calibri"/>
          <w:b/>
          <w:b/>
          <w:szCs w:val="22"/>
        </w:rPr>
      </w:pPr>
      <w:r>
        <w:rPr>
          <w:rFonts w:cs="Calibri" w:ascii="Calibri" w:hAnsi="Calibri"/>
          <w:b/>
          <w:szCs w:val="22"/>
        </w:rPr>
      </w:r>
    </w:p>
    <w:p>
      <w:pPr>
        <w:pStyle w:val="Listepuces"/>
        <w:numPr>
          <w:ilvl w:val="0"/>
          <w:numId w:val="0"/>
        </w:numPr>
        <w:tabs>
          <w:tab w:val="left" w:pos="0" w:leader="none"/>
          <w:tab w:val="left" w:pos="3969" w:leader="none"/>
        </w:tabs>
        <w:spacing w:lineRule="auto" w:line="240"/>
        <w:ind w:left="0" w:hanging="0"/>
        <w:rPr>
          <w:rFonts w:ascii="Calibri" w:hAnsi="Calibri" w:cs="Calibri"/>
          <w:b/>
          <w:b/>
          <w:szCs w:val="22"/>
        </w:rPr>
      </w:pPr>
      <w:r>
        <w:rPr>
          <w:rFonts w:cs="Calibri" w:ascii="Calibri" w:hAnsi="Calibri"/>
          <w:b/>
          <w:szCs w:val="22"/>
        </w:rPr>
      </w:r>
    </w:p>
    <w:p>
      <w:pPr>
        <w:pStyle w:val="Listepuces"/>
        <w:numPr>
          <w:ilvl w:val="0"/>
          <w:numId w:val="0"/>
        </w:numPr>
        <w:tabs>
          <w:tab w:val="left" w:pos="0" w:leader="none"/>
          <w:tab w:val="left" w:pos="3969" w:leader="none"/>
        </w:tabs>
        <w:spacing w:lineRule="auto" w:line="240"/>
        <w:ind w:left="0" w:hanging="0"/>
        <w:rPr>
          <w:rFonts w:ascii="Calibri" w:hAnsi="Calibri" w:cs="Calibri"/>
          <w:b/>
          <w:b/>
          <w:szCs w:val="22"/>
        </w:rPr>
      </w:pPr>
      <w:r>
        <w:rPr>
          <w:rFonts w:cs="Calibri" w:ascii="Calibri" w:hAnsi="Calibri"/>
          <w:b/>
          <w:szCs w:val="22"/>
        </w:rPr>
      </w:r>
    </w:p>
    <w:p>
      <w:pPr>
        <w:pStyle w:val="Listepuces"/>
        <w:numPr>
          <w:ilvl w:val="0"/>
          <w:numId w:val="0"/>
        </w:numPr>
        <w:tabs>
          <w:tab w:val="left" w:pos="0" w:leader="none"/>
          <w:tab w:val="left" w:pos="3969" w:leader="none"/>
        </w:tabs>
        <w:spacing w:lineRule="auto" w:line="240"/>
        <w:ind w:left="0" w:hanging="0"/>
        <w:rPr>
          <w:rFonts w:ascii="Calibri" w:hAnsi="Calibri" w:cs="Calibri"/>
          <w:b/>
          <w:b/>
          <w:szCs w:val="22"/>
        </w:rPr>
      </w:pPr>
      <w:r>
        <w:rPr>
          <w:rFonts w:cs="Calibri" w:ascii="Calibri" w:hAnsi="Calibri"/>
          <w:b/>
          <w:szCs w:val="22"/>
        </w:rPr>
      </w:r>
    </w:p>
    <w:p>
      <w:pPr>
        <w:pStyle w:val="Listepuces"/>
        <w:numPr>
          <w:ilvl w:val="0"/>
          <w:numId w:val="0"/>
        </w:numPr>
        <w:tabs>
          <w:tab w:val="left" w:pos="0" w:leader="none"/>
          <w:tab w:val="left" w:pos="3969" w:leader="none"/>
        </w:tabs>
        <w:spacing w:lineRule="auto" w:line="240"/>
        <w:ind w:left="0" w:hanging="0"/>
        <w:rPr>
          <w:rFonts w:ascii="Calibri" w:hAnsi="Calibri" w:cs="Calibri"/>
          <w:b/>
          <w:b/>
          <w:szCs w:val="22"/>
        </w:rPr>
      </w:pPr>
      <w:r>
        <w:rPr>
          <w:rFonts w:cs="Calibri" w:ascii="Calibri" w:hAnsi="Calibri"/>
          <w:b/>
          <w:szCs w:val="22"/>
        </w:rPr>
      </w:r>
    </w:p>
    <w:p>
      <w:pPr>
        <w:pStyle w:val="Listepuces"/>
        <w:numPr>
          <w:ilvl w:val="0"/>
          <w:numId w:val="0"/>
        </w:numPr>
        <w:tabs>
          <w:tab w:val="left" w:pos="0" w:leader="none"/>
          <w:tab w:val="left" w:pos="3969" w:leader="none"/>
        </w:tabs>
        <w:spacing w:lineRule="auto" w:line="240"/>
        <w:ind w:left="0" w:hanging="0"/>
        <w:rPr>
          <w:rFonts w:ascii="Calibri" w:hAnsi="Calibri" w:cs="Calibri"/>
          <w:i/>
          <w:i/>
          <w:szCs w:val="22"/>
        </w:rPr>
      </w:pPr>
      <w:r>
        <w:rPr>
          <w:rFonts w:cs="Calibri" w:ascii="Calibri" w:hAnsi="Calibri"/>
          <w:i/>
          <w:szCs w:val="22"/>
        </w:rPr>
        <w:t>(1) Signature précédée de la mention manuscrite « Lu et Approuvé – Bon pour accord ».</w:t>
      </w:r>
    </w:p>
    <w:sectPr>
      <w:footerReference w:type="default" r:id="rId3"/>
      <w:type w:val="nextPage"/>
      <w:pgSz w:w="11906" w:h="16838"/>
      <w:pgMar w:left="1440" w:right="1440" w:header="0" w:top="1440" w:footer="720" w:bottom="1440" w:gutter="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sz w:val="20"/>
      </w:rPr>
    </w:pPr>
    <w:r>
      <w:rPr>
        <w:sz w:val="20"/>
      </w:rPr>
      <w:t xml:space="preserve">Page </w:t>
    </w:r>
    <w:r>
      <w:rPr>
        <w:b/>
        <w:bCs/>
        <w:sz w:val="20"/>
      </w:rPr>
      <w:fldChar w:fldCharType="begin"/>
    </w:r>
    <w:r>
      <w:instrText> PAGE </w:instrText>
    </w:r>
    <w:r>
      <w:fldChar w:fldCharType="separate"/>
    </w:r>
    <w:r>
      <w:t>4</w:t>
    </w:r>
    <w:r>
      <w:fldChar w:fldCharType="end"/>
    </w:r>
    <w:r>
      <w:rPr>
        <w:sz w:val="20"/>
      </w:rPr>
      <w:t xml:space="preserve"> sur </w:t>
    </w:r>
    <w:r>
      <w:rPr>
        <w:b/>
        <w:bCs/>
        <w:sz w:val="20"/>
      </w:rPr>
      <w:fldChar w:fldCharType="begin"/>
    </w:r>
    <w:r>
      <w:instrText> NUMPAGES \* ARABIC </w:instrText>
    </w:r>
    <w:r>
      <w:fldChar w:fldCharType="separate"/>
    </w:r>
    <w:r>
      <w:t>4</w:t>
    </w:r>
    <w:r>
      <w:fldChar w:fldCharType="end"/>
    </w:r>
  </w:p>
  <w:p>
    <w:pPr>
      <w:pStyle w:val="Footer"/>
      <w:rPr>
        <w:sz w:val="16"/>
        <w:szCs w:val="16"/>
      </w:rPr>
    </w:pPr>
    <w:r>
      <w:rPr>
        <w:sz w:val="16"/>
        <w:szCs w:val="16"/>
      </w:rPr>
      <w:tab/>
      <w:tab/>
      <w:t>Paraphe de la Société</w:t>
    </w:r>
  </w:p>
  <w:p>
    <w:pPr>
      <w:pStyle w:val="Footer"/>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Fonts w:cs="Symbol"/>
      </w:rPr>
    </w:lvl>
  </w:abstractNum>
  <w:abstractNum w:abstractNumId="3">
    <w:lvl w:ilvl="0">
      <w:numFmt w:val="bullet"/>
      <w:lvlText w:val="-"/>
      <w:lvlJc w:val="left"/>
      <w:pPr>
        <w:ind w:left="720" w:hanging="360"/>
      </w:pPr>
      <w:rPr>
        <w:rFonts w:ascii="Times New Roman" w:hAnsi="Times New Roman" w:cs="Times New Roman" w:hint="default"/>
        <w:b/>
        <w:szCs w:val="22"/>
        <w:rFonts w:cs="Times New Roman"/>
      </w:rPr>
    </w:lvl>
  </w:abstractNum>
  <w:abstractNum w:abstractNumId="4">
    <w:lvl w:ilvl="0">
      <w:start w:val="1"/>
      <w:numFmt w:val="decimal"/>
      <w:lvlText w:val="%1"/>
      <w:lvlJc w:val="left"/>
      <w:pPr>
        <w:tabs>
          <w:tab w:val="num" w:pos="360"/>
        </w:tabs>
        <w:ind w:left="360" w:hanging="360"/>
      </w:pPr>
      <w:rPr>
        <w:sz w:val="22"/>
        <w:i w:val="false"/>
        <w:b/>
        <w:w w:val="100"/>
        <w:rFonts w:ascii="Times New Roman" w:hAnsi="Times New Roman" w:cs="Times New Roman"/>
      </w:rPr>
    </w:lvl>
  </w:abstractNum>
  <w:abstractNum w:abstractNumId="5">
    <w:lvl w:ilvl="0">
      <w:numFmt w:val="bullet"/>
      <w:lvlText w:val="-"/>
      <w:lvlJc w:val="left"/>
      <w:pPr>
        <w:tabs>
          <w:tab w:val="num" w:pos="720"/>
        </w:tabs>
        <w:ind w:left="720" w:hanging="360"/>
      </w:pPr>
      <w:rPr>
        <w:rFonts w:ascii="Times New Roman" w:hAnsi="Times New Roman" w:cs="Times New Roman" w:hint="default"/>
        <w:b/>
        <w:szCs w:val="22"/>
        <w:rFonts w:cs="Times New Roman"/>
      </w:rPr>
    </w:lvl>
  </w:abstractNum>
  <w:abstractNum w:abstractNumId="6">
    <w:lvl w:ilvl="0">
      <w:start w:val="1"/>
      <w:numFmt w:val="bullet"/>
      <w:lvlText w:val=""/>
      <w:lvlJc w:val="left"/>
      <w:pPr>
        <w:tabs>
          <w:tab w:val="num" w:pos="360"/>
        </w:tabs>
        <w:ind w:left="284" w:hanging="284"/>
      </w:pPr>
      <w:rPr>
        <w:rFonts w:ascii="Wingdings" w:hAnsi="Wingdings" w:cs="Wingdings" w:hint="default"/>
        <w:sz w:val="16"/>
        <w:rFonts w:cs="Wingdings"/>
      </w:rPr>
    </w:lvl>
  </w:abstractNum>
  <w:abstractNum w:abstractNumId="7">
    <w:lvl w:ilvl="0">
      <w:numFmt w:val="bullet"/>
      <w:lvlText w:val="-"/>
      <w:lvlJc w:val="left"/>
      <w:pPr>
        <w:tabs>
          <w:tab w:val="num" w:pos="720"/>
        </w:tabs>
        <w:ind w:left="720" w:hanging="360"/>
      </w:pPr>
      <w:rPr>
        <w:rFonts w:ascii="Times New Roman" w:hAnsi="Times New Roman" w:cs="Times New Roman" w:hint="default"/>
        <w:b/>
        <w:szCs w:val="22"/>
        <w:rFonts w:cs="Times New Roman"/>
      </w:rPr>
    </w:lvl>
  </w:abstractNum>
  <w:abstractNum w:abstractNumId="8">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tLeast" w:line="260"/>
      <w:jc w:val="both"/>
    </w:pPr>
    <w:rPr>
      <w:rFonts w:ascii="Times New Roman" w:hAnsi="Times New Roman" w:eastAsia="Times New Roman" w:cs="Times New Roman"/>
      <w:color w:val="auto"/>
      <w:sz w:val="22"/>
      <w:szCs w:val="20"/>
      <w:lang w:val="fr-FR" w:bidi="ar-SA" w:eastAsia="zh-CN"/>
    </w:rPr>
  </w:style>
  <w:style w:type="paragraph" w:styleId="Heading1">
    <w:name w:val="Heading 1"/>
    <w:basedOn w:val="Normal"/>
    <w:next w:val="Normal"/>
    <w:qFormat/>
    <w:pPr>
      <w:keepNext w:val="true"/>
      <w:numPr>
        <w:ilvl w:val="0"/>
        <w:numId w:val="1"/>
      </w:numPr>
      <w:spacing w:lineRule="atLeast" w:line="260" w:before="240" w:after="60"/>
      <w:outlineLvl w:val="0"/>
    </w:pPr>
    <w:rPr>
      <w:b/>
      <w:sz w:val="32"/>
    </w:rPr>
  </w:style>
  <w:style w:type="paragraph" w:styleId="Heading2">
    <w:name w:val="Heading 2"/>
    <w:basedOn w:val="Normal"/>
    <w:next w:val="Normal"/>
    <w:qFormat/>
    <w:pPr>
      <w:keepNext w:val="true"/>
      <w:numPr>
        <w:ilvl w:val="1"/>
        <w:numId w:val="1"/>
      </w:numPr>
      <w:spacing w:lineRule="atLeast" w:line="260" w:before="240" w:after="60"/>
      <w:outlineLvl w:val="1"/>
    </w:pPr>
    <w:rPr>
      <w:b/>
      <w:sz w:val="28"/>
    </w:rPr>
  </w:style>
  <w:style w:type="paragraph" w:styleId="Heading3">
    <w:name w:val="Heading 3"/>
    <w:basedOn w:val="Normal"/>
    <w:next w:val="Normal"/>
    <w:qFormat/>
    <w:pPr>
      <w:keepNext w:val="true"/>
      <w:numPr>
        <w:ilvl w:val="2"/>
        <w:numId w:val="1"/>
      </w:numPr>
      <w:spacing w:lineRule="atLeast" w:line="260" w:before="240" w:after="60"/>
      <w:outlineLvl w:val="2"/>
    </w:pPr>
    <w:rPr>
      <w:b/>
      <w:sz w:val="24"/>
    </w:rPr>
  </w:style>
  <w:style w:type="paragraph" w:styleId="Heading4">
    <w:name w:val="Heading 4"/>
    <w:basedOn w:val="Normal"/>
    <w:next w:val="Normal"/>
    <w:qFormat/>
    <w:pPr>
      <w:keepNext w:val="true"/>
      <w:numPr>
        <w:ilvl w:val="3"/>
        <w:numId w:val="1"/>
      </w:numPr>
      <w:spacing w:lineRule="atLeast" w:line="260" w:before="240" w:after="60"/>
      <w:outlineLvl w:val="3"/>
    </w:pPr>
    <w:rPr>
      <w:b/>
      <w:i/>
      <w:sz w:val="24"/>
    </w:rPr>
  </w:style>
  <w:style w:type="paragraph" w:styleId="Heading5">
    <w:name w:val="Heading 5"/>
    <w:basedOn w:val="Normal"/>
    <w:next w:val="Normal"/>
    <w:qFormat/>
    <w:pPr>
      <w:numPr>
        <w:ilvl w:val="4"/>
        <w:numId w:val="1"/>
      </w:numPr>
      <w:spacing w:lineRule="atLeast" w:line="260" w:before="240" w:after="60"/>
      <w:outlineLvl w:val="4"/>
    </w:pPr>
    <w:rPr>
      <w:i/>
    </w:rPr>
  </w:style>
  <w:style w:type="paragraph" w:styleId="Heading6">
    <w:name w:val="Heading 6"/>
    <w:basedOn w:val="Normal"/>
    <w:next w:val="Normal"/>
    <w:qFormat/>
    <w:pPr>
      <w:numPr>
        <w:ilvl w:val="5"/>
        <w:numId w:val="1"/>
      </w:numPr>
      <w:spacing w:lineRule="atLeast" w:line="260" w:before="240" w:after="60"/>
      <w:outlineLvl w:val="5"/>
    </w:pPr>
    <w:rPr>
      <w:i/>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style>
  <w:style w:type="character" w:styleId="WW8Num1z0">
    <w:name w:val="WW8Num1z0"/>
    <w:qFormat/>
    <w:rPr>
      <w:rFonts w:ascii="Symbol" w:hAnsi="Symbol" w:cs="Symbol"/>
    </w:rPr>
  </w:style>
  <w:style w:type="character" w:styleId="WW8Num2z0">
    <w:name w:val="WW8Num2z0"/>
    <w:qFormat/>
    <w:rPr>
      <w:rFonts w:ascii="Times New Roman" w:hAnsi="Times New Roman" w:cs="Times New Roman"/>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b/>
      <w:szCs w:val="22"/>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cs="Times New Roman"/>
      <w:b/>
      <w:i w:val="false"/>
      <w:w w:val="100"/>
      <w:sz w:val="22"/>
    </w:rPr>
  </w:style>
  <w:style w:type="character" w:styleId="WW8Num7z0">
    <w:name w:val="WW8Num7z0"/>
    <w:qFormat/>
    <w:rPr>
      <w:rFonts w:ascii="Times New Roman" w:hAnsi="Times New Roman" w:cs="Times New Roman"/>
      <w:color w:val="00000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b/>
      <w:szCs w:val="22"/>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Arial" w:hAnsi="Arial" w:eastAsia="Wingdings"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Times New Roman" w:cs="Times New Roman"/>
      <w:b/>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eastAsia="Times New Roman" w:cs="Times New Roman"/>
      <w:b/>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b/>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rFonts w:ascii="Times New Roman" w:hAnsi="Times New Roman" w:cs="Times New Roman"/>
      <w:color w:val="000000"/>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Times New Roman" w:hAnsi="Times New Roman" w:eastAsia="Times New Roman" w:cs="Times New Roman"/>
      <w:b/>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Times New Roman" w:hAnsi="Times New Roman" w:cs="Times New Roman"/>
      <w:color w:val="000000"/>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Arial" w:hAnsi="Arial" w:eastAsia="Wingdings" w:cs="Aria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Times New Roman" w:cs="Times New Roman"/>
      <w:b/>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Times New Roman" w:hAnsi="Times New Roman" w:cs="Times New Roman"/>
      <w:color w:val="00000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Times New Roman" w:hAnsi="Times New Roman" w:eastAsia="Times New Roman" w:cs="Times New Roman"/>
      <w:b/>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Wingdings" w:hAnsi="Wingdings" w:cs="Wingdings"/>
      <w:sz w:val="16"/>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Times New Roman" w:hAnsi="Times New Roman" w:eastAsia="Times New Roman" w:cs="Times New Roman"/>
      <w:b/>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Times New Roman" w:hAnsi="Times New Roman" w:cs="Times New Roman"/>
      <w:color w:val="000000"/>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Arial" w:hAnsi="Arial" w:eastAsia="Wingdings" w:cs="Aria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b/>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Times New Roman" w:hAnsi="Times New Roman" w:cs="Times New Roman"/>
      <w:color w:val="000000"/>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Times New Roman" w:hAnsi="Times New Roman" w:eastAsia="Times New Roman" w:cs="Times New Roman"/>
      <w:b/>
      <w:szCs w:val="22"/>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Times New Roman" w:hAnsi="Times New Roman" w:cs="Times New Roman"/>
      <w:color w:val="000000"/>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Times New Roman" w:hAnsi="Times New Roman" w:eastAsia="Times New Roman" w:cs="Times New Roman"/>
      <w:b/>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EndnoteCharacters">
    <w:name w:val="Endnote Characters"/>
    <w:qFormat/>
    <w:rPr>
      <w:vertAlign w:val="superscript"/>
    </w:rPr>
  </w:style>
  <w:style w:type="character" w:styleId="Txt">
    <w:name w:val="txt"/>
    <w:basedOn w:val="Policepardfaut"/>
    <w:qFormat/>
    <w:rPr/>
  </w:style>
  <w:style w:type="character" w:styleId="Txtexp">
    <w:name w:val="txtexp"/>
    <w:basedOn w:val="Policepardfaut"/>
    <w:qFormat/>
    <w:rPr/>
  </w:style>
  <w:style w:type="character" w:styleId="Marquedecommentaire">
    <w:name w:val="Marque de commentaire"/>
    <w:qFormat/>
    <w:rPr>
      <w:sz w:val="16"/>
      <w:szCs w:val="16"/>
    </w:rPr>
  </w:style>
  <w:style w:type="character" w:styleId="Texteel">
    <w:name w:val="texteel"/>
    <w:basedOn w:val="Policepardfaut"/>
    <w:qFormat/>
    <w:rPr/>
  </w:style>
  <w:style w:type="character" w:styleId="CharacterStyle1">
    <w:name w:val="Character Style 1"/>
    <w:qFormat/>
    <w:rPr>
      <w:sz w:val="24"/>
      <w:szCs w:val="24"/>
    </w:rPr>
  </w:style>
  <w:style w:type="character" w:styleId="InternetLink">
    <w:name w:val="Internet Link"/>
    <w:rPr>
      <w:color w:val="0000FF"/>
      <w:u w:val="single"/>
    </w:rPr>
  </w:style>
  <w:style w:type="character" w:styleId="Invisiblealecran">
    <w:name w:val="invisiblealecran"/>
    <w:basedOn w:val="Policepardfaut"/>
    <w:qFormat/>
    <w:rPr/>
  </w:style>
  <w:style w:type="character" w:styleId="CommentaireCar">
    <w:name w:val="Commentaire Car"/>
    <w:basedOn w:val="Policepardfaut"/>
    <w:qFormat/>
    <w:rPr/>
  </w:style>
  <w:style w:type="character" w:styleId="PieddepageCar">
    <w:name w:val="Pied de page Car"/>
    <w:qFormat/>
    <w:rPr>
      <w:sz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uce">
    <w:name w:val="puce"/>
    <w:qFormat/>
    <w:pPr>
      <w:widowControl/>
      <w:numPr>
        <w:ilvl w:val="0"/>
        <w:numId w:val="6"/>
      </w:numPr>
      <w:tabs>
        <w:tab w:val="left" w:pos="284" w:leader="none"/>
      </w:tabs>
      <w:spacing w:lineRule="atLeast" w:line="260" w:before="120" w:after="0"/>
      <w:jc w:val="both"/>
    </w:pPr>
    <w:rPr>
      <w:rFonts w:ascii="Times New Roman" w:hAnsi="Times New Roman" w:eastAsia="Times New Roman" w:cs="Times New Roman"/>
      <w:color w:val="auto"/>
      <w:sz w:val="22"/>
      <w:szCs w:val="20"/>
      <w:lang w:val="fr-FR" w:bidi="ar-SA" w:eastAsia="zh-CN"/>
    </w:rPr>
  </w:style>
  <w:style w:type="paragraph" w:styleId="Retrait2">
    <w:name w:val="Retrait 2"/>
    <w:basedOn w:val="Normal"/>
    <w:qFormat/>
    <w:pPr>
      <w:numPr>
        <w:ilvl w:val="0"/>
        <w:numId w:val="8"/>
      </w:numPr>
      <w:spacing w:lineRule="atLeast" w:line="260" w:before="120" w:after="0"/>
      <w:ind w:left="568" w:hanging="284"/>
    </w:pPr>
    <w:rPr/>
  </w:style>
  <w:style w:type="paragraph" w:styleId="Retrait3">
    <w:name w:val="Retrait 3"/>
    <w:basedOn w:val="Retrait2"/>
    <w:qFormat/>
    <w:pPr>
      <w:ind w:left="851" w:hanging="284"/>
    </w:pPr>
    <w:rPr/>
  </w:style>
  <w:style w:type="paragraph" w:styleId="Listenumros">
    <w:name w:val="Liste à numéros"/>
    <w:basedOn w:val="Normal"/>
    <w:qFormat/>
    <w:pPr>
      <w:numPr>
        <w:ilvl w:val="0"/>
        <w:numId w:val="4"/>
      </w:numPr>
      <w:tabs>
        <w:tab w:val="left" w:pos="284" w:leader="none"/>
      </w:tabs>
      <w:spacing w:before="120" w:after="0"/>
    </w:pPr>
    <w:rPr/>
  </w:style>
  <w:style w:type="paragraph" w:styleId="Footer">
    <w:name w:val="Footer"/>
    <w:basedOn w:val="Normal"/>
    <w:pPr>
      <w:tabs>
        <w:tab w:val="center" w:pos="4536" w:leader="none"/>
        <w:tab w:val="right" w:pos="9072" w:leader="none"/>
      </w:tabs>
    </w:pPr>
    <w:rPr/>
  </w:style>
  <w:style w:type="paragraph" w:styleId="Header">
    <w:name w:val="Header"/>
    <w:basedOn w:val="Normal"/>
    <w:pPr>
      <w:tabs>
        <w:tab w:val="center" w:pos="4536" w:leader="none"/>
        <w:tab w:val="right" w:pos="9072" w:leader="none"/>
      </w:tabs>
    </w:pPr>
    <w:rPr/>
  </w:style>
  <w:style w:type="paragraph" w:styleId="Textebrut">
    <w:name w:val="Texte brut"/>
    <w:basedOn w:val="Normal"/>
    <w:qFormat/>
    <w:pPr/>
    <w:rPr/>
  </w:style>
  <w:style w:type="paragraph" w:styleId="Listepuces">
    <w:name w:val="Liste à puces"/>
    <w:basedOn w:val="Normal"/>
    <w:qFormat/>
    <w:pPr>
      <w:numPr>
        <w:ilvl w:val="0"/>
        <w:numId w:val="2"/>
      </w:numPr>
    </w:pPr>
    <w:rPr/>
  </w:style>
  <w:style w:type="paragraph" w:styleId="Contents1">
    <w:name w:val="TOC 1"/>
    <w:basedOn w:val="Normal"/>
    <w:next w:val="Normal"/>
    <w:pPr/>
    <w:rPr/>
  </w:style>
  <w:style w:type="paragraph" w:styleId="Contents2">
    <w:name w:val="TOC 2"/>
    <w:basedOn w:val="Normal"/>
    <w:next w:val="Normal"/>
    <w:pPr>
      <w:ind w:left="220" w:hanging="0"/>
    </w:pPr>
    <w:rPr/>
  </w:style>
  <w:style w:type="paragraph" w:styleId="Contents3">
    <w:name w:val="TOC 3"/>
    <w:basedOn w:val="Normal"/>
    <w:next w:val="Normal"/>
    <w:pPr>
      <w:ind w:left="440" w:hanging="0"/>
    </w:pPr>
    <w:rPr/>
  </w:style>
  <w:style w:type="paragraph" w:styleId="Contents4">
    <w:name w:val="TOC 4"/>
    <w:basedOn w:val="Normal"/>
    <w:next w:val="Normal"/>
    <w:pPr>
      <w:ind w:left="660" w:hanging="0"/>
    </w:pPr>
    <w:rPr/>
  </w:style>
  <w:style w:type="paragraph" w:styleId="Contents5">
    <w:name w:val="TOC 5"/>
    <w:basedOn w:val="Normal"/>
    <w:next w:val="Normal"/>
    <w:pPr>
      <w:ind w:left="880" w:hanging="0"/>
    </w:pPr>
    <w:rPr/>
  </w:style>
  <w:style w:type="paragraph" w:styleId="Textedebulles">
    <w:name w:val="Texte de bulles"/>
    <w:basedOn w:val="Normal"/>
    <w:qFormat/>
    <w:pPr/>
    <w:rPr>
      <w:rFonts w:ascii="Tahoma" w:hAnsi="Tahoma" w:cs="Tahoma"/>
      <w:sz w:val="16"/>
      <w:szCs w:val="16"/>
    </w:rPr>
  </w:style>
  <w:style w:type="paragraph" w:styleId="Commentaire">
    <w:name w:val="Commentaire"/>
    <w:basedOn w:val="Normal"/>
    <w:qFormat/>
    <w:pPr/>
    <w:rPr>
      <w:sz w:val="20"/>
    </w:rPr>
  </w:style>
  <w:style w:type="paragraph" w:styleId="Objetducommentaire">
    <w:name w:val="Objet du commentaire"/>
    <w:basedOn w:val="Commentaire"/>
    <w:next w:val="Commentaire"/>
    <w:qFormat/>
    <w:pPr/>
    <w:rPr>
      <w:b/>
      <w:bCs/>
    </w:rPr>
  </w:style>
  <w:style w:type="paragraph" w:styleId="Style21">
    <w:name w:val="Style 2"/>
    <w:qFormat/>
    <w:pPr>
      <w:widowControl w:val="false"/>
      <w:autoSpaceDE w:val="false"/>
      <w:spacing w:lineRule="auto" w:line="278"/>
      <w:ind w:left="72" w:hanging="0"/>
    </w:pPr>
    <w:rPr>
      <w:rFonts w:ascii="Times New Roman" w:hAnsi="Times New Roman" w:eastAsia="Times New Roman" w:cs="Times New Roman"/>
      <w:color w:val="auto"/>
      <w:sz w:val="24"/>
      <w:szCs w:val="24"/>
      <w:lang w:val="fr-FR" w:bidi="ar-SA" w:eastAsia="zh-CN"/>
    </w:rPr>
  </w:style>
  <w:style w:type="paragraph" w:styleId="Style11">
    <w:name w:val="Style 1"/>
    <w:qFormat/>
    <w:pPr>
      <w:widowControl w:val="false"/>
      <w:autoSpaceDE w:val="false"/>
    </w:pPr>
    <w:rPr>
      <w:rFonts w:ascii="Times New Roman" w:hAnsi="Times New Roman" w:eastAsia="Times New Roman" w:cs="Times New Roman"/>
      <w:color w:val="auto"/>
      <w:sz w:val="20"/>
      <w:szCs w:val="20"/>
      <w:lang w:val="fr-FR" w:bidi="ar-SA" w:eastAsia="zh-CN"/>
    </w:rPr>
  </w:style>
  <w:style w:type="paragraph" w:styleId="Corpsdetexte3">
    <w:name w:val="Corps de texte 3"/>
    <w:basedOn w:val="Normal"/>
    <w:qFormat/>
    <w:pPr>
      <w:tabs>
        <w:tab w:val="left" w:pos="1132" w:leader="none"/>
        <w:tab w:val="left" w:pos="1700" w:leader="none"/>
        <w:tab w:val="left" w:pos="3967" w:leader="none"/>
        <w:tab w:val="left" w:pos="5668" w:leader="none"/>
        <w:tab w:val="center" w:pos="6518" w:leader="none"/>
      </w:tabs>
      <w:spacing w:lineRule="auto" w:line="285"/>
    </w:pPr>
    <w:rPr>
      <w:color w:val="000000"/>
      <w:sz w:val="24"/>
      <w:szCs w:val="18"/>
    </w:rPr>
  </w:style>
  <w:style w:type="paragraph" w:styleId="Paragraphedeliste">
    <w:name w:val="Paragraphe de liste"/>
    <w:basedOn w:val="Normal"/>
    <w:qFormat/>
    <w:pPr>
      <w:ind w:left="709" w:hanging="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eleaccords.travail-emploi.gouv.fr/"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2022-11-21T15:35:00Z</dcterms:created>
  <dc:creator/>
  <dc:description/>
  <dc:language>en-GB</dc:language>
  <cp:lastModifiedBy/>
  <cp:lastPrinted>2022-11-21T14:33:00Z</cp:lastPrinted>
  <dcterms:modified xsi:type="dcterms:W3CDTF">2022-11-21T15:35:00Z</dcterms:modified>
  <cp:revision>3</cp:revision>
  <dc:subject/>
  <dc:title>ACCORD PORTANT SUR LA DUREE ET L’AMENAGEMENT DU TEMPS DE TRAVAIL AU SEIN DE LA SOCIETE ANTONIN RODET</dc:title>
</cp:coreProperties>
</file>