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tbl>
      <w:tblPr>
        <w:tblStyle w:val="Grilledutableau"/>
        <w:tblW w:type="auto" w:w="0"/>
        <w:tblLook w:val="04A0"/>
      </w:tblPr>
      <w:tblGrid>
        <w:gridCol w:w="9062"/>
      </w:tblGrid>
      <w:tr w:rsidR="00D01828" w:rsidTr="00D01828">
        <w:tc>
          <w:tcPr>
            <w:tcW w:type="dxa" w:w="9062"/>
          </w:tcPr>
          <w:p w:rsidP="00F520BE" w:rsidR="00D01828" w:rsidRDefault="00D01828" w:rsidRPr="00D01828">
            <w:pPr>
              <w:spacing w:before="360"/>
              <w:jc w:val="center"/>
              <w:rPr>
                <w:sz w:val="24"/>
              </w:rPr>
            </w:pPr>
            <w:r>
              <w:rPr>
                <w:sz w:val="24"/>
              </w:rPr>
              <w:t>ACCORD</w:t>
            </w:r>
            <w:r w:rsidR="00F520BE">
              <w:rPr>
                <w:sz w:val="24"/>
              </w:rPr>
              <w:t xml:space="preserve"> COLLECTIF</w:t>
            </w:r>
            <w:r>
              <w:rPr>
                <w:sz w:val="24"/>
              </w:rPr>
              <w:t xml:space="preserve"> D’ENTREPRISE RELATIF A</w:t>
            </w:r>
            <w:r w:rsidR="00CC37A0">
              <w:rPr>
                <w:sz w:val="24"/>
              </w:rPr>
              <w:t>U</w:t>
            </w:r>
            <w:r w:rsidR="00F520BE">
              <w:rPr>
                <w:sz w:val="24"/>
              </w:rPr>
              <w:t xml:space="preserve"> </w:t>
            </w:r>
            <w:r w:rsidR="00CC37A0">
              <w:rPr>
                <w:sz w:val="24"/>
              </w:rPr>
              <w:t>CONTINGENT D’HEURES SUPPLEMENTAIRES</w:t>
            </w:r>
            <w:r w:rsidR="00062389">
              <w:rPr>
                <w:sz w:val="24"/>
              </w:rPr>
              <w:t xml:space="preserve"> </w:t>
            </w:r>
            <w:r w:rsidR="00F520BE">
              <w:rPr>
                <w:sz w:val="24"/>
              </w:rPr>
              <w:t>ET MAJ</w:t>
            </w:r>
            <w:r w:rsidR="00062389">
              <w:rPr>
                <w:sz w:val="24"/>
              </w:rPr>
              <w:t>O</w:t>
            </w:r>
            <w:r w:rsidR="00F520BE">
              <w:rPr>
                <w:sz w:val="24"/>
              </w:rPr>
              <w:t>RATIONS APPLICABLES</w:t>
            </w:r>
            <w:r w:rsidR="00CC37A0">
              <w:rPr>
                <w:sz w:val="24"/>
              </w:rPr>
              <w:t xml:space="preserve"> </w:t>
            </w:r>
          </w:p>
        </w:tc>
      </w:tr>
    </w:tbl>
    <w:p w:rsidP="00D01828" w:rsidR="00D01828" w:rsidRDefault="00D01828">
      <w:pPr>
        <w:spacing w:before="360"/>
        <w:jc w:val="both"/>
        <w:rPr>
          <w:b/>
          <w:sz w:val="24"/>
        </w:rPr>
      </w:pPr>
    </w:p>
    <w:p w:rsidP="003F247B" w:rsidR="00CC37A0" w:rsidRDefault="00CC37A0" w:rsidRPr="00CC37A0">
      <w:pPr>
        <w:spacing w:after="160" w:line="259" w:lineRule="auto"/>
      </w:pPr>
      <w:r w:rsidRPr="00CC37A0">
        <w:rPr>
          <w:b/>
          <w:u w:val="single"/>
        </w:rPr>
        <w:t>PREAMBULE</w:t>
      </w:r>
      <w:r w:rsidRPr="00CC37A0">
        <w:t> :</w:t>
      </w:r>
    </w:p>
    <w:p w:rsidP="004627C1" w:rsidR="00464815" w:rsidRDefault="00F520BE">
      <w:pPr>
        <w:spacing w:after="160" w:line="259" w:lineRule="auto"/>
        <w:jc w:val="both"/>
      </w:pPr>
      <w:r>
        <w:t xml:space="preserve">L’entreprise doit répondre de mesures pour son organisation, </w:t>
      </w:r>
      <w:r w:rsidR="001B0743">
        <w:t>lui apporter la souplesse indispensable aux fluctuations de son activité.</w:t>
      </w:r>
      <w:r w:rsidR="004627C1">
        <w:t xml:space="preserve"> L’objectif du présent accord est donc de prévoir les modalités de recours et de rémunération des heures supplémentaires et de répondre aux besoins de l’entreprise en donnant davantage de souplesse.</w:t>
      </w:r>
    </w:p>
    <w:p w:rsidP="003F247B" w:rsidR="00464815" w:rsidRDefault="00464815">
      <w:pPr>
        <w:spacing w:after="120" w:line="240" w:lineRule="auto"/>
        <w:jc w:val="both"/>
      </w:pPr>
      <w:r>
        <w:t>Il apparait ainsi nécessaire de mettre en place</w:t>
      </w:r>
      <w:r w:rsidR="001B0743">
        <w:t xml:space="preserve">, au sein de l’entreprise, un contingent annuel d’heures supplémentaires supérieur au contingent conventionnel actuel de 180 heures. </w:t>
      </w:r>
    </w:p>
    <w:p w:rsidP="003F247B" w:rsidR="00CC37A0" w:rsidRDefault="001B0743">
      <w:pPr>
        <w:spacing w:after="160" w:line="259" w:lineRule="auto"/>
        <w:jc w:val="both"/>
      </w:pPr>
      <w:r>
        <w:t>L</w:t>
      </w:r>
      <w:r w:rsidR="00CC37A0" w:rsidRPr="00CC37A0">
        <w:t xml:space="preserve">a loi n°2016-1088 du 8 août 2016 relative au travail, à la « modernisation du dialogue </w:t>
      </w:r>
      <w:r w:rsidR="00CC37A0" w:rsidRPr="00CC37A0">
        <w:tab/>
        <w:t xml:space="preserve">social </w:t>
      </w:r>
      <w:r>
        <w:tab/>
      </w:r>
      <w:r w:rsidR="00CC37A0" w:rsidRPr="00CC37A0">
        <w:t>et à la sécurisation des parcours professionnels » permet davantage de flexibilité dans l’organisation du temps de travail et la possibili</w:t>
      </w:r>
      <w:r w:rsidR="003F247B">
        <w:t xml:space="preserve">té de déroger aux dispositions </w:t>
      </w:r>
      <w:r w:rsidR="00CC37A0" w:rsidRPr="00CC37A0">
        <w:t xml:space="preserve">conventionnelles de </w:t>
      </w:r>
      <w:r w:rsidR="00090F0A">
        <w:t>branche</w:t>
      </w:r>
      <w:r w:rsidR="004627C1">
        <w:t>.</w:t>
      </w:r>
    </w:p>
    <w:p w:rsidP="003F247B" w:rsidR="004627C1" w:rsidRDefault="004627C1" w:rsidRPr="00CC37A0">
      <w:pPr>
        <w:spacing w:after="160" w:line="259" w:lineRule="auto"/>
        <w:jc w:val="both"/>
      </w:pPr>
    </w:p>
    <w:p w:rsidP="00EF1963" w:rsidR="00EF1963" w:rsidRDefault="00BA5DAD" w:rsidRPr="003F247B">
      <w:pPr>
        <w:spacing w:before="360"/>
        <w:jc w:val="both"/>
        <w:rPr>
          <w:b/>
          <w:u w:val="single"/>
        </w:rPr>
      </w:pPr>
      <w:r w:rsidRPr="00BA5DAD">
        <w:rPr>
          <w:b/>
        </w:rPr>
        <w:t xml:space="preserve">Article 1 : </w:t>
      </w:r>
      <w:r w:rsidR="00EF1963" w:rsidRPr="003F247B">
        <w:rPr>
          <w:b/>
          <w:u w:val="single"/>
        </w:rPr>
        <w:t>C</w:t>
      </w:r>
      <w:r w:rsidR="00D01828" w:rsidRPr="003F247B">
        <w:rPr>
          <w:b/>
          <w:u w:val="single"/>
        </w:rPr>
        <w:t>hamp d’application</w:t>
      </w:r>
    </w:p>
    <w:p w:rsidP="00EF1963" w:rsidR="00B26EA8" w:rsidRDefault="00D01828">
      <w:pPr>
        <w:spacing w:before="360"/>
        <w:jc w:val="both"/>
      </w:pPr>
      <w:r>
        <w:t>Le présent accord s’applique</w:t>
      </w:r>
      <w:r w:rsidR="004627C1">
        <w:t> à l’ensemble des salariés de l’entreprise précitée dont la durée du travail est décomptée en heures.</w:t>
      </w:r>
    </w:p>
    <w:p w:rsidP="00EF1963" w:rsidR="004627C1" w:rsidRDefault="004627C1">
      <w:pPr>
        <w:spacing w:before="360"/>
        <w:jc w:val="both"/>
      </w:pPr>
      <w:r>
        <w:t>Les salariés concernés sont ceux exerçant leur activité dans tous les établissement actuels ou futurs de la société, qu’ils soient embauchés en contrat à durée indéterminée ou déterminée.</w:t>
      </w:r>
    </w:p>
    <w:p w:rsidP="00EF1963" w:rsidR="004627C1" w:rsidRDefault="004627C1">
      <w:pPr>
        <w:spacing w:before="360"/>
        <w:jc w:val="both"/>
      </w:pPr>
      <w:r>
        <w:t>Sont également concernés les travailleurs intérimaires mis à disposition de l’entreprise.</w:t>
      </w:r>
    </w:p>
    <w:p w:rsidP="00EF1963" w:rsidR="004627C1" w:rsidRDefault="004627C1">
      <w:pPr>
        <w:spacing w:before="360"/>
        <w:jc w:val="both"/>
      </w:pPr>
      <w:r>
        <w:t>Sont exclus les salariés suivants :</w:t>
      </w:r>
    </w:p>
    <w:p w:rsidP="004627C1" w:rsidR="004627C1" w:rsidRDefault="004627C1">
      <w:pPr>
        <w:pStyle w:val="Paragraphedeliste"/>
        <w:numPr>
          <w:ilvl w:val="0"/>
          <w:numId w:val="11"/>
        </w:numPr>
        <w:spacing w:before="360"/>
        <w:jc w:val="both"/>
      </w:pPr>
      <w:r>
        <w:t>Les salariés cadres en forfaits annuels jours qui ne sont pas rémunérés en heures</w:t>
      </w:r>
    </w:p>
    <w:p w:rsidP="004627C1" w:rsidR="004627C1" w:rsidRDefault="004627C1">
      <w:pPr>
        <w:pStyle w:val="Paragraphedeliste"/>
        <w:numPr>
          <w:ilvl w:val="0"/>
          <w:numId w:val="11"/>
        </w:numPr>
        <w:spacing w:before="360"/>
        <w:jc w:val="both"/>
      </w:pPr>
      <w:r>
        <w:t>Les salariés en alternance (contrats d’apprentissage, contrats de professionnalisation, …) pour lesquels l’organisation du temps de travail sera définie en fonction des contraintes règlementaires et du suivi des enseignements résultant de leurs contrats</w:t>
      </w:r>
    </w:p>
    <w:p w:rsidP="00D01828" w:rsidR="00B26EA8" w:rsidRDefault="004627C1" w:rsidRPr="004627C1">
      <w:pPr>
        <w:pStyle w:val="Paragraphedeliste"/>
        <w:numPr>
          <w:ilvl w:val="0"/>
          <w:numId w:val="11"/>
        </w:numPr>
        <w:spacing w:before="360"/>
        <w:jc w:val="both"/>
      </w:pPr>
      <w:r>
        <w:t>Les salariés à temps partiel qui ne sont pas soumis au régime des heures supplémentaires</w:t>
      </w:r>
    </w:p>
    <w:p w:rsidP="00D01828" w:rsidR="00EF1963" w:rsidRDefault="00EF1963">
      <w:pPr>
        <w:spacing w:before="360"/>
        <w:jc w:val="both"/>
        <w:rPr>
          <w:b/>
          <w:sz w:val="24"/>
        </w:rPr>
      </w:pPr>
    </w:p>
    <w:p w:rsidP="00D01828" w:rsidR="004627C1" w:rsidRDefault="004627C1">
      <w:pPr>
        <w:spacing w:before="360"/>
        <w:jc w:val="both"/>
        <w:rPr>
          <w:b/>
          <w:sz w:val="24"/>
        </w:rPr>
      </w:pPr>
    </w:p>
    <w:p w:rsidP="00D01828" w:rsidR="004627C1" w:rsidRDefault="004627C1">
      <w:pPr>
        <w:spacing w:before="360"/>
        <w:jc w:val="both"/>
        <w:rPr>
          <w:b/>
          <w:sz w:val="24"/>
        </w:rPr>
      </w:pPr>
    </w:p>
    <w:p w:rsidP="00117DD4" w:rsidR="004627C1" w:rsidRDefault="00BA5DAD">
      <w:pPr>
        <w:spacing w:before="360"/>
        <w:ind w:firstLine="284"/>
        <w:jc w:val="both"/>
      </w:pPr>
      <w:r w:rsidRPr="00BA5DAD">
        <w:rPr>
          <w:b/>
        </w:rPr>
        <w:t>Article 2 :</w:t>
      </w:r>
      <w:r>
        <w:rPr>
          <w:b/>
        </w:rPr>
        <w:t xml:space="preserve"> </w:t>
      </w:r>
      <w:r w:rsidR="00117DD4">
        <w:rPr>
          <w:b/>
          <w:u w:val="single"/>
        </w:rPr>
        <w:t>Définition et v</w:t>
      </w:r>
      <w:r w:rsidRPr="00BA5DAD">
        <w:rPr>
          <w:b/>
          <w:u w:val="single"/>
        </w:rPr>
        <w:t xml:space="preserve">olume du contingent d’heures </w:t>
      </w:r>
      <w:r w:rsidR="00D01828" w:rsidRPr="00B26EA8">
        <w:rPr>
          <w:b/>
          <w:u w:val="single"/>
        </w:rPr>
        <w:t>supplémentaires</w:t>
      </w:r>
    </w:p>
    <w:p w:rsidP="00117DD4" w:rsidR="00117DD4" w:rsidRDefault="00117DD4">
      <w:pPr>
        <w:pStyle w:val="Paragraphedeliste"/>
        <w:ind w:left="284"/>
        <w:jc w:val="both"/>
      </w:pPr>
      <w:r>
        <w:t>Constitue des heures supplémentaires, les heures de travail accomplies au-delà de la durée légale de travail, fixée à ce jour à 35 heures de travail effectif par semaine.</w:t>
      </w:r>
    </w:p>
    <w:p w:rsidP="00117DD4" w:rsidR="00117DD4" w:rsidRDefault="00117DD4">
      <w:pPr>
        <w:pStyle w:val="Paragraphedeliste"/>
        <w:ind w:left="284"/>
        <w:jc w:val="both"/>
      </w:pPr>
      <w:r>
        <w:t>Les heures supplémentaires sont décomptées à la fin de chaque semaine civile, soit du lundi 0 heure au dimanche 24 heures, conformément à l’article L31-21-29 du Code du travail.</w:t>
      </w:r>
    </w:p>
    <w:p w:rsidP="00117DD4" w:rsidR="00117DD4" w:rsidRDefault="00117DD4">
      <w:pPr>
        <w:pStyle w:val="Paragraphedeliste"/>
        <w:ind w:left="284"/>
        <w:jc w:val="both"/>
      </w:pPr>
    </w:p>
    <w:p w:rsidP="00117DD4" w:rsidR="00BA5DAD" w:rsidRDefault="00117DD4">
      <w:pPr>
        <w:pStyle w:val="Paragraphedeliste"/>
        <w:ind w:left="284"/>
        <w:jc w:val="both"/>
      </w:pPr>
      <w:r>
        <w:t xml:space="preserve">Le contingent annuel d’heures supplémentaires fixé par la Convention collective du bâtiment est de 180h. Le présent accord a pour objet d’augmenter le </w:t>
      </w:r>
      <w:r w:rsidR="00D01828">
        <w:t xml:space="preserve">contingent annuel d’heures supplémentaires </w:t>
      </w:r>
      <w:r>
        <w:t xml:space="preserve">et de le fixer à </w:t>
      </w:r>
      <w:r w:rsidRPr="00062389">
        <w:t>330</w:t>
      </w:r>
      <w:r>
        <w:t xml:space="preserve"> heures par an et par salarié.</w:t>
      </w:r>
    </w:p>
    <w:p w:rsidP="00117DD4" w:rsidR="00117DD4" w:rsidRDefault="00117DD4">
      <w:pPr>
        <w:pStyle w:val="Paragraphedeliste"/>
        <w:ind w:left="284"/>
        <w:jc w:val="both"/>
      </w:pPr>
    </w:p>
    <w:p w:rsidP="00D01828" w:rsidR="00117DD4" w:rsidRDefault="00117DD4">
      <w:pPr>
        <w:pStyle w:val="Paragraphedeliste"/>
        <w:ind w:left="284"/>
        <w:jc w:val="both"/>
      </w:pPr>
      <w:r>
        <w:t>La période de référence pour calculer le contingent est du 1</w:t>
      </w:r>
      <w:r w:rsidRPr="00117DD4">
        <w:rPr>
          <w:vertAlign w:val="superscript"/>
        </w:rPr>
        <w:t>er</w:t>
      </w:r>
      <w:r>
        <w:t xml:space="preserve"> </w:t>
      </w:r>
      <w:r w:rsidR="00062389">
        <w:t>Janvier</w:t>
      </w:r>
      <w:r>
        <w:t xml:space="preserve"> au 31 </w:t>
      </w:r>
      <w:r w:rsidR="00062389">
        <w:t>Décembre</w:t>
      </w:r>
      <w:r>
        <w:t xml:space="preserve"> de l’année concernée.</w:t>
      </w:r>
    </w:p>
    <w:p w:rsidP="00D01828" w:rsidR="00BA5DAD" w:rsidRDefault="00BA5DAD">
      <w:pPr>
        <w:pStyle w:val="Paragraphedeliste"/>
        <w:ind w:left="284"/>
        <w:jc w:val="both"/>
      </w:pPr>
    </w:p>
    <w:p w:rsidP="00BA5DAD" w:rsidR="00BA5DAD" w:rsidRDefault="00BA5DAD">
      <w:pPr>
        <w:spacing w:before="360"/>
        <w:ind w:firstLine="284"/>
        <w:jc w:val="both"/>
        <w:rPr>
          <w:b/>
          <w:u w:val="single"/>
        </w:rPr>
      </w:pPr>
      <w:r w:rsidRPr="00BA5DAD">
        <w:rPr>
          <w:b/>
        </w:rPr>
        <w:t>A</w:t>
      </w:r>
      <w:r>
        <w:rPr>
          <w:b/>
        </w:rPr>
        <w:t>rticle 3</w:t>
      </w:r>
      <w:r w:rsidRPr="00BA5DAD">
        <w:rPr>
          <w:b/>
        </w:rPr>
        <w:t> :</w:t>
      </w:r>
      <w:r>
        <w:rPr>
          <w:b/>
        </w:rPr>
        <w:t xml:space="preserve"> </w:t>
      </w:r>
      <w:r w:rsidRPr="00BA5DAD">
        <w:rPr>
          <w:b/>
          <w:u w:val="single"/>
        </w:rPr>
        <w:t xml:space="preserve">Majorations applicables aux heures </w:t>
      </w:r>
      <w:r w:rsidRPr="00B26EA8">
        <w:rPr>
          <w:b/>
          <w:u w:val="single"/>
        </w:rPr>
        <w:t>supplémentaires</w:t>
      </w:r>
    </w:p>
    <w:p w:rsidP="00117DD4" w:rsidR="00117DD4" w:rsidRDefault="00117DD4">
      <w:pPr>
        <w:pStyle w:val="Paragraphedeliste"/>
        <w:ind w:left="284"/>
        <w:jc w:val="both"/>
      </w:pPr>
      <w:r>
        <w:t>Le régime des heures supplémentaires est celui prévu par la Convention collective du bâtiment, notamment concernant le taux de majoration.</w:t>
      </w:r>
    </w:p>
    <w:p w:rsidP="004B6F58" w:rsidR="003B7C49" w:rsidRDefault="003B7C49" w:rsidRPr="004B6F58">
      <w:pPr>
        <w:ind w:left="284"/>
        <w:jc w:val="both"/>
        <w:rPr>
          <w:i/>
        </w:rPr>
      </w:pPr>
      <w:r>
        <w:t xml:space="preserve">Les heures supplémentaires effectuées au-delà de la durée hebdomadaire de travail de 35 heures par semaine ouvrent droit à une majoration fixée </w:t>
      </w:r>
      <w:r w:rsidR="00117DD4">
        <w:t xml:space="preserve">à 25 </w:t>
      </w:r>
      <w:r>
        <w:t>% du salaire horaire effecti</w:t>
      </w:r>
      <w:r w:rsidRPr="004B6F58">
        <w:rPr>
          <w:i/>
        </w:rPr>
        <w:t>f</w:t>
      </w:r>
      <w:r w:rsidR="00117DD4" w:rsidRPr="004B6F58">
        <w:rPr>
          <w:i/>
        </w:rPr>
        <w:t>.</w:t>
      </w:r>
    </w:p>
    <w:p w:rsidP="00117DD4" w:rsidR="00117DD4" w:rsidRDefault="00117DD4">
      <w:pPr>
        <w:pStyle w:val="Paragraphedeliste"/>
        <w:ind w:left="284"/>
        <w:jc w:val="both"/>
      </w:pPr>
      <w:r>
        <w:t>À noter que l’accomplissement des heures supplémentaires devra être fait dans le respect des durées maximales quotidienne</w:t>
      </w:r>
      <w:r w:rsidR="00062389">
        <w:t>s</w:t>
      </w:r>
      <w:r>
        <w:t xml:space="preserve"> et hebdomadaire</w:t>
      </w:r>
      <w:r w:rsidR="00062389">
        <w:t>s</w:t>
      </w:r>
      <w:r>
        <w:t xml:space="preserve"> ainsi que dans le respect des durées de repos.</w:t>
      </w:r>
    </w:p>
    <w:p w:rsidP="003B7C49" w:rsidR="00117DD4" w:rsidRDefault="00117DD4" w:rsidRPr="00117DD4">
      <w:pPr>
        <w:pStyle w:val="Paragraphedeliste"/>
        <w:ind w:left="284"/>
        <w:jc w:val="both"/>
        <w:rPr>
          <w:highlight w:val="yellow"/>
        </w:rPr>
      </w:pPr>
    </w:p>
    <w:p w:rsidP="003B7C49" w:rsidR="00E86FE0" w:rsidRDefault="00E86FE0">
      <w:pPr>
        <w:pStyle w:val="Paragraphedeliste"/>
        <w:ind w:left="284"/>
        <w:jc w:val="both"/>
        <w:rPr>
          <w:i/>
        </w:rPr>
      </w:pPr>
    </w:p>
    <w:p w:rsidP="003B7C49" w:rsidR="00E86FE0" w:rsidRDefault="00E86FE0" w:rsidRPr="00062389">
      <w:pPr>
        <w:pStyle w:val="Paragraphedeliste"/>
        <w:ind w:left="284"/>
        <w:jc w:val="both"/>
        <w:rPr>
          <w:b/>
          <w:u w:val="single"/>
        </w:rPr>
      </w:pPr>
      <w:r w:rsidRPr="00BA5DAD">
        <w:rPr>
          <w:b/>
        </w:rPr>
        <w:t>A</w:t>
      </w:r>
      <w:r>
        <w:rPr>
          <w:b/>
        </w:rPr>
        <w:t>rticle 4</w:t>
      </w:r>
      <w:r w:rsidRPr="00BA5DAD">
        <w:rPr>
          <w:b/>
        </w:rPr>
        <w:t> :</w:t>
      </w:r>
      <w:r>
        <w:rPr>
          <w:b/>
        </w:rPr>
        <w:t xml:space="preserve"> </w:t>
      </w:r>
      <w:r w:rsidRPr="00062389">
        <w:rPr>
          <w:b/>
          <w:u w:val="single"/>
        </w:rPr>
        <w:t>Modalités du dépassement du contingent d’heures supplémentaires</w:t>
      </w:r>
    </w:p>
    <w:p w:rsidP="003B7C49" w:rsidR="00E86FE0" w:rsidRDefault="00E86FE0">
      <w:pPr>
        <w:pStyle w:val="Paragraphedeliste"/>
        <w:ind w:left="284"/>
        <w:jc w:val="both"/>
      </w:pPr>
    </w:p>
    <w:p w:rsidP="003B7C49" w:rsidR="00D01828" w:rsidRDefault="00D01828">
      <w:pPr>
        <w:pStyle w:val="Paragraphedeliste"/>
        <w:ind w:left="284"/>
        <w:jc w:val="both"/>
      </w:pPr>
      <w:r w:rsidRPr="00E86FE0">
        <w:t>Toute</w:t>
      </w:r>
      <w:r>
        <w:t xml:space="preserve"> heure effectuée au-delà de ce contingent, donne droit à une contrepartie obligatoire en repos équivalente à 100 % de l’heure.</w:t>
      </w:r>
    </w:p>
    <w:p w:rsidP="003B7C49" w:rsidR="007D4A76" w:rsidRDefault="007D4A76">
      <w:pPr>
        <w:pStyle w:val="Paragraphedeliste"/>
        <w:ind w:left="284"/>
        <w:jc w:val="both"/>
      </w:pPr>
    </w:p>
    <w:p w:rsidP="007D4A76" w:rsidR="007D4A76" w:rsidRDefault="007D4A76">
      <w:pPr>
        <w:pStyle w:val="Paragraphedeliste"/>
        <w:ind w:left="284"/>
        <w:jc w:val="both"/>
      </w:pPr>
      <w:r>
        <w:t>Les contreparties obligatoires en repos sont prises à l’initiative de l’employeur, en période de faible activité. A défaut et avec l’accord de la Direction, la contrepartie obligatoire en repos pourra être prise à la demande du salarié.</w:t>
      </w:r>
    </w:p>
    <w:p w:rsidP="00D01828" w:rsidR="00D01828" w:rsidRDefault="00D01828">
      <w:pPr>
        <w:ind w:hanging="284" w:left="284"/>
        <w:jc w:val="both"/>
      </w:pPr>
      <w:r>
        <w:t xml:space="preserve">      Ce repos pourra être pris dès que le salarié aura acquis un crédit de repos d’au moins </w:t>
      </w:r>
      <w:r w:rsidR="007D4A76">
        <w:t>9 heures</w:t>
      </w:r>
      <w:r>
        <w:t xml:space="preserve"> et dans un délai de </w:t>
      </w:r>
      <w:r w:rsidR="007D4A76" w:rsidRPr="007D4A76">
        <w:t>2 mois</w:t>
      </w:r>
      <w:r>
        <w:t xml:space="preserve"> à compter de l’ouverture de ce droit.</w:t>
      </w:r>
    </w:p>
    <w:p w:rsidP="00D01828" w:rsidR="00D01828" w:rsidRDefault="00D01828">
      <w:pPr>
        <w:ind w:hanging="284" w:left="284"/>
        <w:jc w:val="both"/>
      </w:pPr>
      <w:r>
        <w:tab/>
        <w:t xml:space="preserve">La demande sera formulée par le salarié </w:t>
      </w:r>
      <w:r w:rsidR="007D4A76">
        <w:t xml:space="preserve">auprès de la Direction </w:t>
      </w:r>
      <w:r>
        <w:t xml:space="preserve">dans un délai </w:t>
      </w:r>
      <w:r w:rsidR="007D4A76">
        <w:t>de 7 jours calendaires</w:t>
      </w:r>
      <w:r>
        <w:t xml:space="preserve"> avant la date choisie pour la prise du repos. A défaut, l’employeur </w:t>
      </w:r>
      <w:r w:rsidR="007D4A76">
        <w:t>informera de</w:t>
      </w:r>
      <w:r>
        <w:t xml:space="preserve"> prendre le repos acquis dans un délai maximum d’un an à compter de l’ouverture du droit.</w:t>
      </w:r>
    </w:p>
    <w:p w:rsidP="007D4A76" w:rsidR="007D4A76" w:rsidRDefault="007D4A76">
      <w:pPr>
        <w:ind w:hanging="284" w:left="284"/>
        <w:jc w:val="both"/>
      </w:pPr>
      <w:r>
        <w:lastRenderedPageBreak/>
        <w:tab/>
        <w:t xml:space="preserve">Lorsque des impératifs de fonctionnement de l’entreprise font obstacle à ce que plusieurs demandes de contrepartie obligatoire en repos soient satisfaites simultanément, les demandeurs sont partagés selon l’ordre de priorité suivant : </w:t>
      </w:r>
    </w:p>
    <w:p w:rsidP="007D4A76" w:rsidR="007D4A76" w:rsidRDefault="007D4A76">
      <w:pPr>
        <w:spacing w:after="0"/>
        <w:ind w:firstLine="425" w:left="284"/>
        <w:jc w:val="both"/>
      </w:pPr>
      <w:r>
        <w:t>•</w:t>
      </w:r>
      <w:r>
        <w:tab/>
        <w:t>La situation de famille</w:t>
      </w:r>
    </w:p>
    <w:p w:rsidP="007D4A76" w:rsidR="007D4A76" w:rsidRDefault="007D4A76">
      <w:pPr>
        <w:spacing w:after="0"/>
        <w:ind w:firstLine="425" w:left="284"/>
        <w:jc w:val="both"/>
      </w:pPr>
      <w:r>
        <w:t>•</w:t>
      </w:r>
      <w:r>
        <w:tab/>
        <w:t>L’ancienneté dans l’entreprise</w:t>
      </w:r>
    </w:p>
    <w:p w:rsidP="00D01828" w:rsidR="00D01828" w:rsidRDefault="00D01828">
      <w:pPr>
        <w:pStyle w:val="Paragraphedeliste"/>
        <w:spacing w:before="240"/>
        <w:ind w:hanging="284" w:left="284"/>
        <w:jc w:val="both"/>
      </w:pPr>
      <w:r>
        <w:t xml:space="preserve">      Le temps de repos pris au titre de la contrepartie obligatoire de repos est assimilé à du temps de     travail effectif pour le calcul des droits du salarié et est indemnisé à hauteur de la rémunération que le salarié aurait perçue s’il avait accompli son travail.</w:t>
      </w:r>
    </w:p>
    <w:p w:rsidP="00D01828" w:rsidR="00D01828" w:rsidRDefault="00D01828">
      <w:pPr>
        <w:pStyle w:val="Paragraphedeliste"/>
        <w:spacing w:before="240"/>
        <w:ind w:left="284"/>
        <w:jc w:val="both"/>
      </w:pPr>
      <w:r>
        <w:t xml:space="preserve"> En revanche, il n’est pas assimilé à du temps de travail effectif pour le décompte des heures supplémentaires imputables sur le contingent.</w:t>
      </w:r>
    </w:p>
    <w:p w:rsidP="00D01828" w:rsidR="00D01828" w:rsidRDefault="00D01828">
      <w:pPr>
        <w:pStyle w:val="Paragraphedeliste"/>
        <w:spacing w:before="240"/>
        <w:ind w:left="284"/>
        <w:jc w:val="both"/>
      </w:pPr>
    </w:p>
    <w:p w:rsidP="00D01828" w:rsidR="003768E4" w:rsidRDefault="003768E4">
      <w:pPr>
        <w:pStyle w:val="Paragraphedeliste"/>
        <w:spacing w:before="360"/>
        <w:ind w:left="0"/>
        <w:jc w:val="both"/>
        <w:rPr>
          <w:b/>
        </w:rPr>
      </w:pPr>
    </w:p>
    <w:p w:rsidP="00D01828" w:rsidR="00D01828" w:rsidRDefault="00E86FE0" w:rsidRPr="00E86FE0">
      <w:pPr>
        <w:pStyle w:val="Paragraphedeliste"/>
        <w:spacing w:before="360"/>
        <w:ind w:left="0"/>
        <w:jc w:val="both"/>
        <w:rPr>
          <w:b/>
          <w:u w:val="single"/>
        </w:rPr>
      </w:pPr>
      <w:r w:rsidRPr="00E86FE0">
        <w:rPr>
          <w:b/>
        </w:rPr>
        <w:t xml:space="preserve">Article 5 : </w:t>
      </w:r>
      <w:r w:rsidR="00D01828" w:rsidRPr="00E86FE0">
        <w:rPr>
          <w:b/>
          <w:u w:val="single"/>
        </w:rPr>
        <w:t>Durée de l’accord</w:t>
      </w:r>
    </w:p>
    <w:p w:rsidP="00D01828" w:rsidR="00EF1963" w:rsidRDefault="00EF1963">
      <w:pPr>
        <w:pStyle w:val="Paragraphedeliste"/>
        <w:spacing w:before="360"/>
        <w:ind w:left="0"/>
        <w:jc w:val="both"/>
        <w:rPr>
          <w:b/>
          <w:sz w:val="24"/>
        </w:rPr>
      </w:pPr>
    </w:p>
    <w:p w:rsidP="00D01828" w:rsidR="00E86FE0" w:rsidRDefault="00D01828">
      <w:pPr>
        <w:pStyle w:val="Paragraphedeliste"/>
        <w:spacing w:before="240"/>
        <w:ind w:left="0"/>
        <w:jc w:val="both"/>
      </w:pPr>
      <w:r>
        <w:t xml:space="preserve">Le présent accord est conclu pour une durée </w:t>
      </w:r>
      <w:r w:rsidRPr="007D4A76">
        <w:t>indéterminée.</w:t>
      </w:r>
    </w:p>
    <w:p w:rsidP="00D01828" w:rsidR="007D4A76" w:rsidRDefault="007D4A76">
      <w:pPr>
        <w:pStyle w:val="Paragraphedeliste"/>
        <w:spacing w:before="240"/>
        <w:ind w:left="0"/>
        <w:jc w:val="both"/>
      </w:pPr>
    </w:p>
    <w:p w:rsidP="00D01828" w:rsidR="00D01828" w:rsidRDefault="005E23DA" w:rsidRPr="005E23DA">
      <w:pPr>
        <w:pStyle w:val="Paragraphedeliste"/>
        <w:spacing w:before="360"/>
        <w:ind w:left="0"/>
        <w:jc w:val="both"/>
        <w:rPr>
          <w:b/>
        </w:rPr>
      </w:pPr>
      <w:r w:rsidRPr="005E23DA">
        <w:rPr>
          <w:b/>
        </w:rPr>
        <w:t xml:space="preserve">Article 6 : </w:t>
      </w:r>
      <w:r>
        <w:rPr>
          <w:b/>
          <w:u w:val="single"/>
        </w:rPr>
        <w:t xml:space="preserve">Suivi </w:t>
      </w:r>
      <w:r w:rsidR="00D01828" w:rsidRPr="005E23DA">
        <w:rPr>
          <w:b/>
          <w:u w:val="single"/>
        </w:rPr>
        <w:t>de l’accord</w:t>
      </w:r>
    </w:p>
    <w:p w:rsidP="00D01828" w:rsidR="00EF1963" w:rsidRDefault="00EF1963" w:rsidRPr="005E23DA">
      <w:pPr>
        <w:pStyle w:val="Paragraphedeliste"/>
        <w:spacing w:before="360"/>
        <w:ind w:left="0"/>
        <w:jc w:val="both"/>
        <w:rPr>
          <w:b/>
        </w:rPr>
      </w:pPr>
    </w:p>
    <w:p w:rsidP="00D01828" w:rsidR="005E23DA" w:rsidRDefault="005E23DA">
      <w:pPr>
        <w:pStyle w:val="Paragraphedeliste"/>
        <w:spacing w:before="240"/>
        <w:ind w:left="0"/>
        <w:jc w:val="both"/>
      </w:pPr>
      <w:r>
        <w:t xml:space="preserve">Une réunion se tiendra une fois par an au siège de l’entreprise afin d’examiner l’évolution de l’application de </w:t>
      </w:r>
      <w:r w:rsidR="007D4A76">
        <w:t>l’accord.</w:t>
      </w:r>
    </w:p>
    <w:p w:rsidP="00D01828" w:rsidR="005E23DA" w:rsidRDefault="005E23DA">
      <w:pPr>
        <w:pStyle w:val="Paragraphedeliste"/>
        <w:spacing w:before="240"/>
        <w:ind w:left="0"/>
        <w:jc w:val="both"/>
      </w:pPr>
    </w:p>
    <w:p w:rsidP="005E23DA" w:rsidR="005E23DA" w:rsidRDefault="005E23DA" w:rsidRPr="005E23DA">
      <w:pPr>
        <w:pStyle w:val="Paragraphedeliste"/>
        <w:spacing w:before="360"/>
        <w:ind w:left="0"/>
        <w:jc w:val="both"/>
        <w:rPr>
          <w:b/>
        </w:rPr>
      </w:pPr>
      <w:r w:rsidRPr="005E23DA">
        <w:rPr>
          <w:b/>
        </w:rPr>
        <w:t xml:space="preserve">Article 7 : </w:t>
      </w:r>
      <w:r w:rsidRPr="005E23DA">
        <w:rPr>
          <w:b/>
          <w:u w:val="single"/>
        </w:rPr>
        <w:t xml:space="preserve">Formalités </w:t>
      </w:r>
    </w:p>
    <w:p w:rsidP="005E23DA" w:rsidR="005E23DA" w:rsidRDefault="005E23DA">
      <w:pPr>
        <w:pStyle w:val="Paragraphedeliste"/>
        <w:spacing w:before="360"/>
        <w:ind w:left="0"/>
        <w:jc w:val="both"/>
      </w:pPr>
    </w:p>
    <w:p w:rsidP="005E23DA" w:rsidR="00382B96" w:rsidRDefault="005E23DA">
      <w:pPr>
        <w:pStyle w:val="Paragraphedeliste"/>
        <w:spacing w:before="120"/>
        <w:ind w:left="0"/>
        <w:contextualSpacing w:val="0"/>
        <w:jc w:val="both"/>
      </w:pPr>
      <w:r w:rsidRPr="004B6F58">
        <w:t>La remise du texte du présent accord au personnel de l’entreprise est effectuée quinze jours au moins avant leur consultation sur l</w:t>
      </w:r>
      <w:r w:rsidR="00382B96" w:rsidRPr="004B6F58">
        <w:t>a mesure envisagée.</w:t>
      </w:r>
    </w:p>
    <w:p w:rsidP="005E23DA" w:rsidR="005E23DA" w:rsidRDefault="00382B96">
      <w:pPr>
        <w:pStyle w:val="Paragraphedeliste"/>
        <w:spacing w:before="120"/>
        <w:ind w:left="0"/>
        <w:contextualSpacing w:val="0"/>
        <w:jc w:val="both"/>
      </w:pPr>
      <w:r>
        <w:t xml:space="preserve">Le présent </w:t>
      </w:r>
      <w:r w:rsidR="007D4A76">
        <w:t>a été ratifié par la majorité des membres du CSE.</w:t>
      </w:r>
    </w:p>
    <w:p w:rsidP="005E23DA" w:rsidR="005E23DA" w:rsidRDefault="005E23DA">
      <w:pPr>
        <w:pStyle w:val="Paragraphedeliste"/>
        <w:spacing w:before="360"/>
        <w:ind w:left="0"/>
        <w:jc w:val="both"/>
      </w:pPr>
      <w:r>
        <w:t>Il sera déposé en ligne sur le site du Ministère du travail (</w:t>
      </w:r>
      <w:hyperlink r:id="rId8" w:history="1">
        <w:r w:rsidRPr="007D4A76">
          <w:rPr>
            <w:rStyle w:val="Lienhypertexte"/>
            <w:i/>
          </w:rPr>
          <w:t>https://www.teleaccords.travail-emploi.gouv.fr/PortailTeleprocedures/</w:t>
        </w:r>
      </w:hyperlink>
      <w:r w:rsidRPr="007D4A76">
        <w:rPr>
          <w:i/>
        </w:rPr>
        <w:t xml:space="preserve">) </w:t>
      </w:r>
      <w:r>
        <w:t>et remis au secrétariat-greffe du Conseil de prud’hommes d’ Annecy.</w:t>
      </w:r>
    </w:p>
    <w:p w:rsidP="007D4A76" w:rsidR="007D4A76" w:rsidRDefault="005E23DA">
      <w:pPr>
        <w:pStyle w:val="Paragraphedeliste"/>
        <w:spacing w:before="360"/>
        <w:ind w:left="0"/>
        <w:contextualSpacing w:val="0"/>
        <w:jc w:val="both"/>
      </w:pPr>
      <w:r>
        <w:t>Il sera en outre publié sur le site de Légifrance dans son intégralité</w:t>
      </w:r>
      <w:r w:rsidR="007D4A76">
        <w:t>.</w:t>
      </w:r>
    </w:p>
    <w:p w:rsidP="0013075E" w:rsidR="0013075E" w:rsidRDefault="005E23DA" w:rsidRPr="005E23DA">
      <w:pPr>
        <w:pStyle w:val="Paragraphedeliste"/>
        <w:spacing w:before="360"/>
        <w:ind w:left="0"/>
        <w:contextualSpacing w:val="0"/>
        <w:jc w:val="both"/>
        <w:rPr>
          <w:b/>
        </w:rPr>
      </w:pPr>
      <w:r>
        <w:t xml:space="preserve"> </w:t>
      </w:r>
      <w:r w:rsidR="00CE2CC4" w:rsidRPr="007D4A76">
        <w:rPr>
          <w:i/>
        </w:rPr>
        <w:t xml:space="preserve"> </w:t>
      </w:r>
      <w:r w:rsidR="0013075E" w:rsidRPr="005E23DA">
        <w:rPr>
          <w:b/>
        </w:rPr>
        <w:t>A</w:t>
      </w:r>
      <w:r w:rsidR="0013075E">
        <w:rPr>
          <w:b/>
        </w:rPr>
        <w:t>rticle 8</w:t>
      </w:r>
      <w:r w:rsidR="0013075E" w:rsidRPr="005E23DA">
        <w:rPr>
          <w:b/>
        </w:rPr>
        <w:t xml:space="preserve"> : </w:t>
      </w:r>
      <w:r w:rsidR="0013075E" w:rsidRPr="0013075E">
        <w:rPr>
          <w:b/>
          <w:u w:val="single"/>
        </w:rPr>
        <w:t xml:space="preserve">Révision </w:t>
      </w:r>
      <w:r w:rsidR="00171707">
        <w:rPr>
          <w:b/>
          <w:u w:val="single"/>
        </w:rPr>
        <w:t xml:space="preserve">– dénonciation </w:t>
      </w:r>
      <w:r w:rsidR="0013075E" w:rsidRPr="0013075E">
        <w:rPr>
          <w:b/>
          <w:u w:val="single"/>
        </w:rPr>
        <w:t>de l’accord</w:t>
      </w:r>
    </w:p>
    <w:p w:rsidP="00574672" w:rsidR="00574672" w:rsidRDefault="00574672" w:rsidRPr="00574672">
      <w:pPr>
        <w:pStyle w:val="Paragraphedeliste"/>
        <w:spacing w:before="360"/>
        <w:ind w:left="0"/>
        <w:jc w:val="both"/>
      </w:pPr>
      <w:r w:rsidRPr="00574672">
        <w:t>Conformément aux dispositions des articles L2232-25 du Code du travail, le présent accord pourra être modifié ou révisé, à la demande de l’une ou l’autre des parties signataires ou adhérentes, par voie d’avenants faisant l’objet d’un accord entre les parties.</w:t>
      </w:r>
    </w:p>
    <w:p w:rsidP="00D01828" w:rsidR="008F2B9F" w:rsidRDefault="008F2B9F">
      <w:pPr>
        <w:pStyle w:val="Paragraphedeliste"/>
        <w:spacing w:before="360"/>
        <w:ind w:left="0"/>
        <w:jc w:val="both"/>
        <w:rPr>
          <w:b/>
          <w:sz w:val="24"/>
        </w:rPr>
      </w:pPr>
    </w:p>
    <w:p w:rsidP="00D01828" w:rsidR="00F759F1" w:rsidRDefault="00F759F1" w:rsidRPr="007D4A76">
      <w:pPr>
        <w:pStyle w:val="Paragraphedeliste"/>
        <w:spacing w:before="360"/>
        <w:ind w:left="0"/>
        <w:jc w:val="both"/>
      </w:pPr>
      <w:r w:rsidRPr="00F759F1">
        <w:t xml:space="preserve">Conformément </w:t>
      </w:r>
      <w:r w:rsidR="00574672" w:rsidRPr="007D4A76">
        <w:t>aux dispositions des articles L2222-6 et L2261-9 et suivants du Code du travail</w:t>
      </w:r>
      <w:r w:rsidRPr="00F759F1">
        <w:t>, le présent accord pourra également être entièrement ou partiellement dénoncé par l’une ou l’autre des parties, en respectant un préavis de 3 mois, dans les conditions prévues par la loi.</w:t>
      </w:r>
    </w:p>
    <w:p w:rsidP="007D4A76" w:rsidR="007D4A76" w:rsidRDefault="007D4A76" w:rsidRPr="007D4A76">
      <w:pPr>
        <w:pStyle w:val="Paragraphedeliste"/>
        <w:spacing w:before="360"/>
        <w:ind w:left="0"/>
        <w:jc w:val="both"/>
      </w:pPr>
    </w:p>
    <w:p w:rsidP="007D4A76" w:rsidR="007D4A76" w:rsidRDefault="007D4A76">
      <w:pPr>
        <w:pStyle w:val="Paragraphedeliste"/>
        <w:spacing w:before="360"/>
        <w:ind w:left="0"/>
        <w:jc w:val="both"/>
      </w:pPr>
      <w:r w:rsidRPr="007D4A76">
        <w:lastRenderedPageBreak/>
        <w:t>La dénonciation totale ou partielle devra être notifiée par lettre recommandée par la partie qui dénonce l’autre partie et devra donner lieu aux formalités de dépôt conformément aux dispositions de l’article D2231-2 du Code du travail.</w:t>
      </w:r>
    </w:p>
    <w:p w:rsidP="007D4A76" w:rsidR="007D4A76" w:rsidRDefault="007D4A76" w:rsidRPr="007D4A76">
      <w:pPr>
        <w:pStyle w:val="Paragraphedeliste"/>
        <w:spacing w:before="360"/>
        <w:ind w:left="0"/>
        <w:jc w:val="both"/>
      </w:pPr>
    </w:p>
    <w:p w:rsidP="00D01828" w:rsidR="00F41CD8" w:rsidRDefault="007D4A76">
      <w:pPr>
        <w:pStyle w:val="Paragraphedeliste"/>
        <w:spacing w:before="360"/>
        <w:ind w:left="0"/>
        <w:jc w:val="both"/>
      </w:pPr>
      <w:r w:rsidRPr="007D4A76">
        <w:t>Elle sera adressée par lettre recommandée, avec demande d’avis de réception, à la D</w:t>
      </w:r>
      <w:r>
        <w:t>REET</w:t>
      </w:r>
      <w:r w:rsidR="00F41CD8">
        <w:t>S</w:t>
      </w:r>
    </w:p>
    <w:p w:rsidP="00D01828" w:rsidR="00F41CD8" w:rsidRDefault="00F41CD8">
      <w:pPr>
        <w:pStyle w:val="Paragraphedeliste"/>
        <w:spacing w:before="360"/>
        <w:ind w:left="0"/>
        <w:jc w:val="both"/>
      </w:pPr>
    </w:p>
    <w:p w:rsidP="00D01828" w:rsidR="00D01828" w:rsidRDefault="00D01828" w:rsidRPr="00F41CD8">
      <w:pPr>
        <w:pStyle w:val="Paragraphedeliste"/>
        <w:spacing w:before="360"/>
        <w:ind w:left="0"/>
        <w:jc w:val="both"/>
      </w:pPr>
      <w:r w:rsidRPr="007D4A76">
        <w:rPr>
          <w:i/>
        </w:rPr>
        <w:t>Fait le</w:t>
      </w:r>
      <w:r w:rsidR="007D4A76" w:rsidRPr="007D4A76">
        <w:rPr>
          <w:i/>
        </w:rPr>
        <w:t xml:space="preserve"> </w:t>
      </w:r>
      <w:r w:rsidR="00F41CD8">
        <w:rPr>
          <w:i/>
        </w:rPr>
        <w:t xml:space="preserve">16/01/2023 </w:t>
      </w:r>
      <w:r w:rsidRPr="007D4A76">
        <w:rPr>
          <w:i/>
        </w:rPr>
        <w:t xml:space="preserve">à </w:t>
      </w:r>
      <w:r w:rsidR="007D4A76" w:rsidRPr="007D4A76">
        <w:rPr>
          <w:i/>
        </w:rPr>
        <w:t>ALLONZIER LA CAILLE</w:t>
      </w:r>
      <w:r w:rsidRPr="007D4A76">
        <w:rPr>
          <w:i/>
        </w:rPr>
        <w:t xml:space="preserve">, </w:t>
      </w:r>
      <w:r w:rsidR="00547B52" w:rsidRPr="007D4A76">
        <w:rPr>
          <w:i/>
        </w:rPr>
        <w:t xml:space="preserve">en </w:t>
      </w:r>
      <w:r w:rsidR="007236D4">
        <w:rPr>
          <w:i/>
        </w:rPr>
        <w:t>4</w:t>
      </w:r>
      <w:r w:rsidR="007D4A76" w:rsidRPr="007D4A76">
        <w:rPr>
          <w:i/>
        </w:rPr>
        <w:t xml:space="preserve"> </w:t>
      </w:r>
      <w:r w:rsidR="00547B52" w:rsidRPr="007D4A76">
        <w:rPr>
          <w:i/>
        </w:rPr>
        <w:t>exemplaires</w:t>
      </w:r>
    </w:p>
    <w:p w:rsidP="007D4A76" w:rsidR="00F41CD8" w:rsidRDefault="00F41CD8">
      <w:pPr>
        <w:pStyle w:val="Paragraphedeliste"/>
        <w:spacing w:before="360"/>
        <w:ind w:left="0"/>
        <w:jc w:val="both"/>
        <w:rPr>
          <w:i/>
        </w:rPr>
      </w:pPr>
    </w:p>
    <w:p w:rsidP="007D4A76" w:rsidR="00D01828" w:rsidRDefault="008444F8" w:rsidRPr="008444F8">
      <w:pPr>
        <w:pStyle w:val="Paragraphedeliste"/>
        <w:spacing w:before="360"/>
        <w:ind w:left="0"/>
        <w:jc w:val="both"/>
        <w:rPr>
          <w:i/>
        </w:rPr>
      </w:pPr>
      <w:r w:rsidRPr="008444F8">
        <w:rPr>
          <w:i/>
        </w:rPr>
        <w:t>L’employeur</w:t>
      </w:r>
      <w:r>
        <w:rPr>
          <w:i/>
        </w:rPr>
        <w:tab/>
      </w:r>
      <w:r>
        <w:rPr>
          <w:i/>
        </w:rPr>
        <w:tab/>
      </w:r>
      <w:r>
        <w:rPr>
          <w:i/>
        </w:rPr>
        <w:tab/>
      </w:r>
      <w:r>
        <w:rPr>
          <w:i/>
        </w:rPr>
        <w:tab/>
      </w:r>
      <w:r>
        <w:rPr>
          <w:i/>
        </w:rPr>
        <w:tab/>
      </w:r>
      <w:r>
        <w:rPr>
          <w:i/>
        </w:rPr>
        <w:tab/>
      </w:r>
      <w:r>
        <w:rPr>
          <w:i/>
        </w:rPr>
        <w:tab/>
      </w:r>
      <w:r>
        <w:rPr>
          <w:i/>
        </w:rPr>
        <w:tab/>
        <w:t>Le</w:t>
      </w:r>
      <w:r w:rsidR="007D4A76">
        <w:rPr>
          <w:i/>
        </w:rPr>
        <w:t xml:space="preserve"> CSE ayant approuvé ce</w:t>
      </w:r>
    </w:p>
    <w:p w:rsidP="007D4A76" w:rsidR="008444F8" w:rsidRDefault="008444F8">
      <w:pPr>
        <w:pStyle w:val="Paragraphedeliste"/>
        <w:spacing w:before="360"/>
        <w:ind w:left="0"/>
        <w:jc w:val="both"/>
        <w:rPr>
          <w:i/>
        </w:rPr>
      </w:pPr>
      <w:r>
        <w:rPr>
          <w:i/>
        </w:rPr>
        <w:tab/>
      </w:r>
      <w:r>
        <w:rPr>
          <w:i/>
        </w:rPr>
        <w:tab/>
      </w:r>
      <w:r>
        <w:rPr>
          <w:i/>
        </w:rPr>
        <w:tab/>
      </w:r>
      <w:r>
        <w:rPr>
          <w:i/>
        </w:rPr>
        <w:tab/>
      </w:r>
      <w:r>
        <w:rPr>
          <w:i/>
        </w:rPr>
        <w:tab/>
      </w:r>
      <w:r w:rsidR="007D4A76">
        <w:rPr>
          <w:i/>
        </w:rPr>
        <w:t xml:space="preserve">      </w:t>
      </w:r>
      <w:r w:rsidR="00F41CD8">
        <w:rPr>
          <w:i/>
        </w:rPr>
        <w:t xml:space="preserve">                                                  </w:t>
      </w:r>
      <w:r w:rsidR="007D4A76">
        <w:rPr>
          <w:i/>
        </w:rPr>
        <w:t xml:space="preserve"> </w:t>
      </w:r>
      <w:proofErr w:type="gramStart"/>
      <w:r>
        <w:rPr>
          <w:i/>
        </w:rPr>
        <w:t>texte</w:t>
      </w:r>
      <w:proofErr w:type="gramEnd"/>
      <w:r>
        <w:rPr>
          <w:i/>
        </w:rPr>
        <w:t xml:space="preserve"> à la </w:t>
      </w:r>
      <w:r w:rsidR="007D4A76">
        <w:rPr>
          <w:i/>
        </w:rPr>
        <w:t>majorité</w:t>
      </w:r>
    </w:p>
    <w:p w:rsidP="009855FC" w:rsidR="009855FC" w:rsidRDefault="00F41CD8">
      <w:pPr>
        <w:pStyle w:val="Paragraphedeliste"/>
        <w:spacing w:before="360"/>
        <w:ind w:left="0"/>
        <w:jc w:val="both"/>
      </w:pPr>
      <w:r>
        <w:rPr>
          <w:i/>
        </w:rPr>
        <w:t xml:space="preserve">, </w:t>
      </w:r>
      <w:r w:rsidR="007D4A76">
        <w:rPr>
          <w:i/>
        </w:rPr>
        <w:t>Dirigeant</w:t>
      </w:r>
    </w:p>
    <w:sectPr w:rsidR="009855FC" w:rsidSect="004B6F58">
      <w:footerReference r:id="rId9" w:type="default"/>
      <w:pgSz w:h="16838" w:w="11906"/>
      <w:pgMar w:bottom="1417" w:footer="708" w:gutter="0" w:header="708" w:left="1417" w:right="1417" w:top="17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0AE7" w:rsidRDefault="00C10AE7" w:rsidP="007D17CF">
      <w:pPr>
        <w:spacing w:after="0" w:line="240" w:lineRule="auto"/>
      </w:pPr>
      <w:r>
        <w:separator/>
      </w:r>
    </w:p>
  </w:endnote>
  <w:endnote w:type="continuationSeparator" w:id="0">
    <w:p w:rsidR="00C10AE7" w:rsidRDefault="00C10AE7" w:rsidP="007D17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sdt>
    <w:sdtPr>
      <w:id w:val="654578163"/>
      <w:docPartObj>
        <w:docPartGallery w:val="Page Numbers (Bottom of Page)"/>
        <w:docPartUnique/>
      </w:docPartObj>
    </w:sdtPr>
    <w:sdtContent>
      <w:p w:rsidR="007D17CF" w:rsidRDefault="00BA5EDA">
        <w:pPr>
          <w:pStyle w:val="Pieddepage"/>
          <w:jc w:val="center"/>
        </w:pPr>
        <w:r>
          <w:fldChar w:fldCharType="begin"/>
        </w:r>
        <w:r w:rsidR="007D17CF">
          <w:instrText>PAGE   \* MERGEFORMAT</w:instrText>
        </w:r>
        <w:r>
          <w:fldChar w:fldCharType="separate"/>
        </w:r>
        <w:r w:rsidR="00F41CD8">
          <w:rPr>
            <w:noProof/>
          </w:rPr>
          <w:t>4</w:t>
        </w:r>
        <w:r>
          <w:fldChar w:fldCharType="end"/>
        </w:r>
      </w:p>
    </w:sdtContent>
  </w:sdt>
  <w:p w:rsidR="007D17CF" w:rsidRDefault="007D17CF">
    <w:pPr>
      <w:pStyle w:val="Pieddepage"/>
    </w:pP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7D17CF" w:rsidR="00C10AE7" w:rsidRDefault="00C10AE7">
      <w:pPr>
        <w:spacing w:after="0" w:line="240" w:lineRule="auto"/>
      </w:pPr>
      <w:r>
        <w:separator/>
      </w:r>
    </w:p>
  </w:footnote>
  <w:footnote w:id="0" w:type="continuationSeparator">
    <w:p w:rsidP="007D17CF" w:rsidR="00C10AE7" w:rsidRDefault="00C10AE7">
      <w:pPr>
        <w:spacing w:after="0" w:line="240" w:lineRule="auto"/>
      </w:pPr>
      <w:r>
        <w:continuationSeparator/>
      </w:r>
    </w:p>
  </w:footnote>
</w:footnotes>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14A6481A"/>
    <w:multiLevelType w:val="hybridMultilevel"/>
    <w:tmpl w:val="8A3482FA"/>
    <w:lvl w:ilvl="0" w:tplc="F59E6866">
      <w:start w:val="10"/>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
    <w:nsid w:val="26955643"/>
    <w:multiLevelType w:val="hybridMultilevel"/>
    <w:tmpl w:val="04241A3A"/>
    <w:lvl w:ilvl="0" w:tplc="F59E6866">
      <w:start w:val="1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42BD0722"/>
    <w:multiLevelType w:val="hybridMultilevel"/>
    <w:tmpl w:val="441E8F4C"/>
    <w:lvl w:ilvl="0" w:tplc="F59E686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51C95A77"/>
    <w:multiLevelType w:val="hybridMultilevel"/>
    <w:tmpl w:val="8D8EF028"/>
    <w:lvl w:ilvl="0" w:tplc="F59E686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652E6413"/>
    <w:multiLevelType w:val="hybridMultilevel"/>
    <w:tmpl w:val="4608081C"/>
    <w:lvl w:ilvl="0" w:tplc="F59E686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67783AE1"/>
    <w:multiLevelType w:val="hybridMultilevel"/>
    <w:tmpl w:val="D6C4C286"/>
    <w:lvl w:ilvl="0" w:tplc="C85C08F4">
      <w:numFmt w:val="bullet"/>
      <w:lvlText w:val="-"/>
      <w:lvlJc w:val="left"/>
      <w:pPr>
        <w:ind w:hanging="360" w:left="720"/>
      </w:pPr>
      <w:rPr>
        <w:rFonts w:ascii="Arial" w:cs="Arial" w:eastAsiaTheme="minorHAnsi" w:hAnsi="Arial" w:hint="default"/>
        <w:color w:val="333333"/>
        <w:sz w:val="2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6C304343"/>
    <w:multiLevelType w:val="hybridMultilevel"/>
    <w:tmpl w:val="46185D48"/>
    <w:lvl w:ilvl="0" w:tplc="F59E6866">
      <w:start w:val="1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71C032C4"/>
    <w:multiLevelType w:val="hybridMultilevel"/>
    <w:tmpl w:val="75C2382C"/>
    <w:lvl w:ilvl="0" w:tplc="040C0003">
      <w:start w:val="1"/>
      <w:numFmt w:val="bullet"/>
      <w:lvlText w:val="o"/>
      <w:lvlJc w:val="left"/>
      <w:pPr>
        <w:ind w:hanging="360" w:left="1440"/>
      </w:pPr>
      <w:rPr>
        <w:rFonts w:ascii="Courier New" w:cs="Courier New" w:hAnsi="Courier New" w:hint="default"/>
      </w:rPr>
    </w:lvl>
    <w:lvl w:ilvl="1" w:tplc="040C0003">
      <w:start w:val="1"/>
      <w:numFmt w:val="bullet"/>
      <w:lvlText w:val="o"/>
      <w:lvlJc w:val="left"/>
      <w:pPr>
        <w:ind w:hanging="360" w:left="2160"/>
      </w:pPr>
      <w:rPr>
        <w:rFonts w:ascii="Courier New" w:cs="Courier New" w:hAnsi="Courier New" w:hint="default"/>
      </w:rPr>
    </w:lvl>
    <w:lvl w:ilvl="2" w:tplc="040C0005">
      <w:start w:val="1"/>
      <w:numFmt w:val="bullet"/>
      <w:lvlText w:val=""/>
      <w:lvlJc w:val="left"/>
      <w:pPr>
        <w:ind w:hanging="360" w:left="2880"/>
      </w:pPr>
      <w:rPr>
        <w:rFonts w:ascii="Wingdings" w:hAnsi="Wingdings" w:hint="default"/>
      </w:rPr>
    </w:lvl>
    <w:lvl w:ilvl="3" w:tplc="040C0001">
      <w:start w:val="1"/>
      <w:numFmt w:val="bullet"/>
      <w:lvlText w:val=""/>
      <w:lvlJc w:val="left"/>
      <w:pPr>
        <w:ind w:hanging="360" w:left="3600"/>
      </w:pPr>
      <w:rPr>
        <w:rFonts w:ascii="Symbol" w:hAnsi="Symbol" w:hint="default"/>
      </w:rPr>
    </w:lvl>
    <w:lvl w:ilvl="4" w:tplc="040C0003">
      <w:start w:val="1"/>
      <w:numFmt w:val="bullet"/>
      <w:lvlText w:val="o"/>
      <w:lvlJc w:val="left"/>
      <w:pPr>
        <w:ind w:hanging="360" w:left="4320"/>
      </w:pPr>
      <w:rPr>
        <w:rFonts w:ascii="Courier New" w:cs="Courier New" w:hAnsi="Courier New" w:hint="default"/>
      </w:rPr>
    </w:lvl>
    <w:lvl w:ilvl="5" w:tplc="040C0005">
      <w:start w:val="1"/>
      <w:numFmt w:val="bullet"/>
      <w:lvlText w:val=""/>
      <w:lvlJc w:val="left"/>
      <w:pPr>
        <w:ind w:hanging="360" w:left="5040"/>
      </w:pPr>
      <w:rPr>
        <w:rFonts w:ascii="Wingdings" w:hAnsi="Wingdings" w:hint="default"/>
      </w:rPr>
    </w:lvl>
    <w:lvl w:ilvl="6" w:tplc="040C0001">
      <w:start w:val="1"/>
      <w:numFmt w:val="bullet"/>
      <w:lvlText w:val=""/>
      <w:lvlJc w:val="left"/>
      <w:pPr>
        <w:ind w:hanging="360" w:left="5760"/>
      </w:pPr>
      <w:rPr>
        <w:rFonts w:ascii="Symbol" w:hAnsi="Symbol" w:hint="default"/>
      </w:rPr>
    </w:lvl>
    <w:lvl w:ilvl="7" w:tplc="040C0003">
      <w:start w:val="1"/>
      <w:numFmt w:val="bullet"/>
      <w:lvlText w:val="o"/>
      <w:lvlJc w:val="left"/>
      <w:pPr>
        <w:ind w:hanging="360" w:left="6480"/>
      </w:pPr>
      <w:rPr>
        <w:rFonts w:ascii="Courier New" w:cs="Courier New" w:hAnsi="Courier New" w:hint="default"/>
      </w:rPr>
    </w:lvl>
    <w:lvl w:ilvl="8" w:tplc="040C0005">
      <w:start w:val="1"/>
      <w:numFmt w:val="bullet"/>
      <w:lvlText w:val=""/>
      <w:lvlJc w:val="left"/>
      <w:pPr>
        <w:ind w:hanging="360" w:left="7200"/>
      </w:pPr>
      <w:rPr>
        <w:rFonts w:ascii="Wingdings" w:hAnsi="Wingdings" w:hint="default"/>
      </w:rPr>
    </w:lvl>
  </w:abstractNum>
  <w:abstractNum w:abstractNumId="8">
    <w:nsid w:val="7AC81FDC"/>
    <w:multiLevelType w:val="hybridMultilevel"/>
    <w:tmpl w:val="39525AE8"/>
    <w:lvl w:ilvl="0" w:tplc="6D7CC73E">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7D8E74B9"/>
    <w:multiLevelType w:val="hybridMultilevel"/>
    <w:tmpl w:val="F84E78FE"/>
    <w:lvl w:ilvl="0" w:tplc="5FAEF7C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7"/>
  </w:num>
  <w:num w:numId="2">
    <w:abstractNumId w:val="0"/>
  </w:num>
  <w:num w:numId="3">
    <w:abstractNumId w:val="0"/>
  </w:num>
  <w:num w:numId="4">
    <w:abstractNumId w:val="6"/>
  </w:num>
  <w:num w:numId="5">
    <w:abstractNumId w:val="1"/>
  </w:num>
  <w:num w:numId="6">
    <w:abstractNumId w:val="4"/>
  </w:num>
  <w:num w:numId="7">
    <w:abstractNumId w:val="2"/>
  </w:num>
  <w:num w:numId="8">
    <w:abstractNumId w:val="3"/>
  </w:num>
  <w:num w:numId="9">
    <w:abstractNumId w:val="5"/>
  </w:num>
  <w:num w:numId="10">
    <w:abstractNumId w:val="9"/>
  </w:num>
  <w:num w:numId="11">
    <w:abstractNumId w:val="8"/>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defaultTabStop w:val="708"/>
  <w:hyphenationZone w:val="425"/>
  <w:characterSpacingControl w:val="doNotCompress"/>
  <w:footnotePr>
    <w:footnote w:id="-1"/>
    <w:footnote w:id="0"/>
  </w:footnotePr>
  <w:endnotePr>
    <w:endnote w:id="-1"/>
    <w:endnote w:id="0"/>
  </w:endnotePr>
  <w:compat/>
  <w:rsids>
    <w:rsidRoot w:val="00D01828"/>
    <w:rsid w:val="00055F9F"/>
    <w:rsid w:val="00062389"/>
    <w:rsid w:val="00090F0A"/>
    <w:rsid w:val="0011623C"/>
    <w:rsid w:val="00117DD4"/>
    <w:rsid w:val="0013075E"/>
    <w:rsid w:val="00171707"/>
    <w:rsid w:val="001B0743"/>
    <w:rsid w:val="001C478F"/>
    <w:rsid w:val="00210CAE"/>
    <w:rsid w:val="00370391"/>
    <w:rsid w:val="003768E4"/>
    <w:rsid w:val="00382B96"/>
    <w:rsid w:val="003B7C49"/>
    <w:rsid w:val="003F247B"/>
    <w:rsid w:val="004627C1"/>
    <w:rsid w:val="00464815"/>
    <w:rsid w:val="004B6F58"/>
    <w:rsid w:val="00547B52"/>
    <w:rsid w:val="00574672"/>
    <w:rsid w:val="005E23DA"/>
    <w:rsid w:val="006437D7"/>
    <w:rsid w:val="006B6BBA"/>
    <w:rsid w:val="007236D4"/>
    <w:rsid w:val="007568A7"/>
    <w:rsid w:val="00781E55"/>
    <w:rsid w:val="007C1648"/>
    <w:rsid w:val="007D17CF"/>
    <w:rsid w:val="007D4A76"/>
    <w:rsid w:val="00824FE6"/>
    <w:rsid w:val="008444F8"/>
    <w:rsid w:val="00863C6B"/>
    <w:rsid w:val="008F2B9F"/>
    <w:rsid w:val="00920F37"/>
    <w:rsid w:val="00932AC9"/>
    <w:rsid w:val="009855FC"/>
    <w:rsid w:val="00A06847"/>
    <w:rsid w:val="00B26EA8"/>
    <w:rsid w:val="00B52C21"/>
    <w:rsid w:val="00B54DDC"/>
    <w:rsid w:val="00BA5DAD"/>
    <w:rsid w:val="00BA5EDA"/>
    <w:rsid w:val="00BC4FC5"/>
    <w:rsid w:val="00C10AE7"/>
    <w:rsid w:val="00CC37A0"/>
    <w:rsid w:val="00CE2CC4"/>
    <w:rsid w:val="00CF3E90"/>
    <w:rsid w:val="00D01828"/>
    <w:rsid w:val="00D77967"/>
    <w:rsid w:val="00E02692"/>
    <w:rsid w:val="00E32F07"/>
    <w:rsid w:val="00E86FE0"/>
    <w:rsid w:val="00E91505"/>
    <w:rsid w:val="00EB5AE9"/>
    <w:rsid w:val="00EF1963"/>
    <w:rsid w:val="00F41CD8"/>
    <w:rsid w:val="00F520BE"/>
    <w:rsid w:val="00F759F1"/>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BA5DAD"/>
    <w:pPr>
      <w:spacing w:after="200" w:line="276" w:lineRule="auto"/>
    </w:p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basedOn w:val="Policepardfaut"/>
    <w:uiPriority w:val="99"/>
    <w:semiHidden/>
    <w:unhideWhenUsed/>
    <w:rsid w:val="00D01828"/>
    <w:rPr>
      <w:color w:themeColor="hyperlink" w:val="0563C1"/>
      <w:u w:val="single"/>
    </w:rPr>
  </w:style>
  <w:style w:styleId="Paragraphedeliste" w:type="paragraph">
    <w:name w:val="List Paragraph"/>
    <w:basedOn w:val="Normal"/>
    <w:uiPriority w:val="34"/>
    <w:qFormat/>
    <w:rsid w:val="00D01828"/>
    <w:pPr>
      <w:ind w:left="720"/>
      <w:contextualSpacing/>
    </w:pPr>
  </w:style>
  <w:style w:styleId="Grilledutableau" w:type="table">
    <w:name w:val="Table Grid"/>
    <w:basedOn w:val="TableauNormal"/>
    <w:uiPriority w:val="39"/>
    <w:rsid w:val="00D01828"/>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En-tte" w:type="paragraph">
    <w:name w:val="header"/>
    <w:basedOn w:val="Normal"/>
    <w:link w:val="En-tteCar"/>
    <w:uiPriority w:val="99"/>
    <w:unhideWhenUsed/>
    <w:rsid w:val="007D17CF"/>
    <w:pPr>
      <w:tabs>
        <w:tab w:pos="4536" w:val="center"/>
        <w:tab w:pos="9072" w:val="right"/>
      </w:tabs>
      <w:spacing w:after="0" w:line="240" w:lineRule="auto"/>
    </w:pPr>
  </w:style>
  <w:style w:customStyle="1" w:styleId="En-tteCar" w:type="character">
    <w:name w:val="En-tête Car"/>
    <w:basedOn w:val="Policepardfaut"/>
    <w:link w:val="En-tte"/>
    <w:uiPriority w:val="99"/>
    <w:rsid w:val="007D17CF"/>
  </w:style>
  <w:style w:styleId="Pieddepage" w:type="paragraph">
    <w:name w:val="footer"/>
    <w:basedOn w:val="Normal"/>
    <w:link w:val="PieddepageCar"/>
    <w:uiPriority w:val="99"/>
    <w:unhideWhenUsed/>
    <w:rsid w:val="007D17C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D17CF"/>
  </w:style>
  <w:style w:styleId="Notedebasdepage" w:type="paragraph">
    <w:name w:val="footnote text"/>
    <w:basedOn w:val="Normal"/>
    <w:link w:val="NotedebasdepageCar"/>
    <w:uiPriority w:val="99"/>
    <w:semiHidden/>
    <w:unhideWhenUsed/>
    <w:rsid w:val="009855FC"/>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9855FC"/>
    <w:rPr>
      <w:sz w:val="20"/>
      <w:szCs w:val="20"/>
    </w:rPr>
  </w:style>
  <w:style w:styleId="Appelnotedebasdep" w:type="character">
    <w:name w:val="footnote reference"/>
    <w:basedOn w:val="Policepardfaut"/>
    <w:uiPriority w:val="99"/>
    <w:semiHidden/>
    <w:unhideWhenUsed/>
    <w:rsid w:val="009855FC"/>
    <w:rPr>
      <w:vertAlign w:val="superscript"/>
    </w:rPr>
  </w:style>
</w:styles>
</file>

<file path=word/webSettings.xml><?xml version="1.0" encoding="utf-8"?>
<w:webSettings xmlns:r="http://schemas.openxmlformats.org/officeDocument/2006/relationships" xmlns:w="http://schemas.openxmlformats.org/wordprocessingml/2006/main">
  <w:divs>
    <w:div w:id="1376396049">
      <w:bodyDiv w:val="1"/>
      <w:marLeft w:val="0"/>
      <w:marRight w:val="0"/>
      <w:marTop w:val="0"/>
      <w:marBottom w:val="0"/>
      <w:divBdr>
        <w:top w:val="none" w:sz="0" w:space="0" w:color="auto"/>
        <w:left w:val="none" w:sz="0" w:space="0" w:color="auto"/>
        <w:bottom w:val="none" w:sz="0" w:space="0" w:color="auto"/>
        <w:right w:val="none" w:sz="0" w:space="0" w:color="auto"/>
      </w:divBdr>
    </w:div>
    <w:div w:id="1763144688">
      <w:bodyDiv w:val="1"/>
      <w:marLeft w:val="0"/>
      <w:marRight w:val="0"/>
      <w:marTop w:val="0"/>
      <w:marBottom w:val="0"/>
      <w:divBdr>
        <w:top w:val="none" w:sz="0" w:space="0" w:color="auto"/>
        <w:left w:val="none" w:sz="0" w:space="0" w:color="auto"/>
        <w:bottom w:val="none" w:sz="0" w:space="0" w:color="auto"/>
        <w:right w:val="none" w:sz="0" w:space="0" w:color="auto"/>
      </w:divBdr>
    </w:div>
    <w:div w:id="1789621320">
      <w:bodyDiv w:val="1"/>
      <w:marLeft w:val="0"/>
      <w:marRight w:val="0"/>
      <w:marTop w:val="0"/>
      <w:marBottom w:val="0"/>
      <w:divBdr>
        <w:top w:val="none" w:sz="0" w:space="0" w:color="auto"/>
        <w:left w:val="none" w:sz="0" w:space="0" w:color="auto"/>
        <w:bottom w:val="none" w:sz="0" w:space="0" w:color="auto"/>
        <w:right w:val="none" w:sz="0" w:space="0" w:color="auto"/>
      </w:divBdr>
    </w:div>
    <w:div w:id="18492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teleaccords.travail-emploi.gouv.fr/PortailTeleprocedures/"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3FFF4-4CA1-4AC9-8FD1-4A73CE83C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1035</Words>
  <Characters>5696</Characters>
  <Application>Microsoft Office Word</Application>
  <DocSecurity>0</DocSecurity>
  <Lines>47</Lines>
  <Paragraphs>13</Paragraphs>
  <ScaleCrop>false</ScaleCrop>
  <HeadingPairs>
    <vt:vector baseType="variant" size="2">
      <vt:variant>
        <vt:lpstr>Titre</vt:lpstr>
      </vt:variant>
      <vt:variant>
        <vt:i4>1</vt:i4>
      </vt:variant>
    </vt:vector>
  </HeadingPairs>
  <TitlesOfParts>
    <vt:vector baseType="lpstr" size="1">
      <vt:lpstr/>
    </vt:vector>
  </TitlesOfParts>
  <Company>MSS</Company>
  <LinksUpToDate>false</LinksUpToDate>
  <CharactersWithSpaces>6718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2025-02-13T07:17:00Z</dcterms:created>
  <dcterms:modified xsi:type="dcterms:W3CDTF">2025-02-13T07:17:00Z</dcterms:modified>
  <cp:revision>2</cp:revision>
</cp:coreProperties>
</file>