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5B8CF750"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spacing w:after="200"/>
      </w:pPr>
    </w:p>
    <w:tbl>
      <w:tblPr>
        <w:tblStyle w:val="a"/>
        <w:tblW w:type="dxa" w:w="9072"/>
        <w:tblInd w:type="dxa" w:w="0"/>
        <w:tblBorders>
          <w:top w:val="nil"/>
          <w:left w:val="nil"/>
          <w:bottom w:val="nil"/>
          <w:right w:val="nil"/>
          <w:insideH w:val="nil"/>
          <w:insideV w:val="nil"/>
        </w:tblBorders>
        <w:tblLayout w:type="fixed"/>
        <w:tblLook w:firstColumn="0" w:firstRow="0" w:lastColumn="0" w:lastRow="0" w:noHBand="0" w:noVBand="1" w:val="0400"/>
      </w:tblPr>
      <w:tblGrid>
        <w:gridCol w:w="9072"/>
      </w:tblGrid>
      <w:tr w14:paraId="3FCC821D" w14:textId="77777777" w:rsidR="00D85401">
        <w:tc>
          <w:tcPr>
            <w:tcW w:type="dxa" w:w="9072"/>
            <w:shd w:color="auto" w:fill="DEEBF6" w:val="clear"/>
          </w:tcPr>
          <w:p w14:paraId="49F8A3CF"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shd w:color="auto" w:fill="DEEBF6" w:val="clear"/>
              <w:spacing w:line="192" w:lineRule="auto"/>
              <w:jc w:val="center"/>
              <w:rPr>
                <w:rFonts w:ascii="Arial" w:cs="Arial" w:eastAsia="Arial" w:hAnsi="Arial"/>
                <w:b/>
                <w:color w:val="0070E1"/>
                <w:sz w:val="40"/>
                <w:szCs w:val="40"/>
              </w:rPr>
            </w:pPr>
          </w:p>
          <w:p w14:paraId="62B11DAE"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pacing w:line="192" w:lineRule="auto"/>
              <w:jc w:val="center"/>
              <w:rPr>
                <w:rFonts w:ascii="Arial" w:cs="Arial" w:eastAsia="Arial" w:hAnsi="Arial"/>
                <w:b/>
                <w:color w:val="0070E1"/>
                <w:sz w:val="40"/>
                <w:szCs w:val="40"/>
              </w:rPr>
            </w:pPr>
            <w:r>
              <w:rPr>
                <w:rFonts w:ascii="Arial" w:cs="Arial" w:eastAsia="Arial" w:hAnsi="Arial"/>
                <w:b/>
                <w:color w:val="0070E1"/>
                <w:sz w:val="40"/>
                <w:szCs w:val="40"/>
              </w:rPr>
              <w:t>ACCORD D’ENTREPRISE</w:t>
            </w:r>
          </w:p>
        </w:tc>
      </w:tr>
      <w:tr w14:paraId="4D1B2280" w14:textId="77777777" w:rsidR="00D85401">
        <w:tc>
          <w:tcPr>
            <w:tcW w:type="dxa" w:w="9072"/>
            <w:shd w:color="auto" w:fill="DEEBF6" w:val="clear"/>
          </w:tcPr>
          <w:p w14:paraId="23A86D93"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pacing w:line="192" w:lineRule="auto"/>
              <w:jc w:val="center"/>
              <w:rPr>
                <w:rFonts w:ascii="Arial" w:cs="Arial" w:eastAsia="Arial" w:hAnsi="Arial"/>
                <w:b/>
                <w:color w:val="0070E1"/>
                <w:sz w:val="40"/>
                <w:szCs w:val="40"/>
              </w:rPr>
            </w:pPr>
            <w:proofErr w:type="gramStart"/>
            <w:r>
              <w:rPr>
                <w:rFonts w:ascii="Arial" w:cs="Arial" w:eastAsia="Arial" w:hAnsi="Arial"/>
                <w:b/>
                <w:color w:val="0070E1"/>
                <w:sz w:val="40"/>
                <w:szCs w:val="40"/>
              </w:rPr>
              <w:t>relatif</w:t>
            </w:r>
            <w:proofErr w:type="gramEnd"/>
            <w:r>
              <w:rPr>
                <w:rFonts w:ascii="Arial" w:cs="Arial" w:eastAsia="Arial" w:hAnsi="Arial"/>
                <w:b/>
                <w:color w:val="0070E1"/>
                <w:sz w:val="40"/>
                <w:szCs w:val="40"/>
              </w:rPr>
              <w:t xml:space="preserve"> à la durée du travail</w:t>
            </w:r>
          </w:p>
          <w:p w14:paraId="0F806E7B"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spacing w:line="192" w:lineRule="auto"/>
              <w:jc w:val="center"/>
              <w:rPr>
                <w:rFonts w:ascii="Arial" w:cs="Arial" w:eastAsia="Arial" w:hAnsi="Arial"/>
                <w:b/>
                <w:color w:val="0070E1"/>
                <w:sz w:val="40"/>
                <w:szCs w:val="40"/>
              </w:rPr>
            </w:pPr>
          </w:p>
        </w:tc>
      </w:tr>
    </w:tbl>
    <w:p w14:paraId="25075CB9"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rPr>
          <w:color w:val="19808C"/>
        </w:rPr>
      </w:pPr>
    </w:p>
    <w:p w14:paraId="267CDEFB"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jc w:val="center"/>
      </w:pPr>
    </w:p>
    <w:tbl>
      <w:tblPr>
        <w:tblStyle w:val="a0"/>
        <w:tblW w:type="dxa" w:w="9066"/>
        <w:tblInd w:type="dxa" w:w="0"/>
        <w:tblBorders>
          <w:top w:val="nil"/>
          <w:left w:val="nil"/>
          <w:bottom w:val="nil"/>
          <w:right w:val="nil"/>
          <w:insideH w:val="nil"/>
          <w:insideV w:val="nil"/>
        </w:tblBorders>
        <w:tblLayout w:type="fixed"/>
        <w:tblLook w:firstColumn="0" w:firstRow="0" w:lastColumn="0" w:lastRow="0" w:noHBand="0" w:noVBand="1" w:val="0400"/>
      </w:tblPr>
      <w:tblGrid>
        <w:gridCol w:w="4356"/>
        <w:gridCol w:w="360"/>
        <w:gridCol w:w="4350"/>
      </w:tblGrid>
      <w:tr w14:paraId="0A687E85" w14:textId="77777777" w:rsidR="00D85401">
        <w:tc>
          <w:tcPr>
            <w:tcW w:type="dxa" w:w="4395"/>
            <w:shd w:color="auto" w:fill="DEEBF6" w:val="clear"/>
          </w:tcPr>
          <w:p w14:paraId="1F82F863"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b/>
                <w:color w:val="0070E1"/>
                <w:sz w:val="23"/>
                <w:szCs w:val="23"/>
              </w:rPr>
            </w:pPr>
            <w:r>
              <w:rPr>
                <w:rFonts w:ascii="Arial" w:cs="Arial" w:eastAsia="Arial" w:hAnsi="Arial"/>
                <w:b/>
                <w:color w:val="0070E1"/>
                <w:sz w:val="23"/>
                <w:szCs w:val="23"/>
              </w:rPr>
              <w:t xml:space="preserve">       </w:t>
            </w:r>
          </w:p>
          <w:p w14:paraId="7E7FA017"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b/>
                <w:color w:val="0070E1"/>
                <w:sz w:val="23"/>
                <w:szCs w:val="23"/>
              </w:rPr>
            </w:pPr>
            <w:r>
              <w:rPr>
                <w:rFonts w:ascii="Arial" w:cs="Arial" w:eastAsia="Arial" w:hAnsi="Arial"/>
                <w:b/>
                <w:color w:val="0070E1"/>
                <w:sz w:val="23"/>
                <w:szCs w:val="23"/>
              </w:rPr>
              <w:t>Entre</w:t>
            </w:r>
          </w:p>
          <w:p w14:paraId="012D800E"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b/>
                <w:color w:val="0070E1"/>
                <w:sz w:val="23"/>
                <w:szCs w:val="23"/>
              </w:rPr>
            </w:pPr>
          </w:p>
        </w:tc>
        <w:tc>
          <w:tcPr>
            <w:tcW w:type="dxa" w:w="283"/>
            <w:shd w:color="auto" w:fill="auto" w:val="clear"/>
          </w:tcPr>
          <w:p w14:paraId="49964990"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shd w:color="auto" w:fill="FFFFFF" w:val="clear"/>
              <w:rPr>
                <w:rFonts w:ascii="Arial" w:cs="Arial" w:eastAsia="Arial" w:hAnsi="Arial"/>
                <w:color w:val="0070E1"/>
                <w:sz w:val="23"/>
                <w:szCs w:val="23"/>
              </w:rPr>
            </w:pPr>
          </w:p>
        </w:tc>
        <w:tc>
          <w:tcPr>
            <w:tcW w:type="dxa" w:w="4388"/>
            <w:shd w:color="auto" w:fill="DEEBF6" w:val="clear"/>
          </w:tcPr>
          <w:p w14:paraId="25910729"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b/>
                <w:color w:val="0070E1"/>
                <w:sz w:val="23"/>
                <w:szCs w:val="23"/>
              </w:rPr>
            </w:pPr>
          </w:p>
          <w:p w14:paraId="47CC79C6"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b/>
                <w:color w:val="0070E1"/>
                <w:sz w:val="23"/>
                <w:szCs w:val="23"/>
              </w:rPr>
            </w:pPr>
            <w:r>
              <w:rPr>
                <w:rFonts w:ascii="Arial" w:cs="Arial" w:eastAsia="Arial" w:hAnsi="Arial"/>
                <w:b/>
                <w:color w:val="0070E1"/>
                <w:sz w:val="23"/>
                <w:szCs w:val="23"/>
              </w:rPr>
              <w:t>Et</w:t>
            </w:r>
          </w:p>
        </w:tc>
      </w:tr>
      <w:tr w14:paraId="042C2EA4" w14:textId="77777777" w:rsidR="00D85401">
        <w:tc>
          <w:tcPr>
            <w:tcW w:type="dxa" w:w="4395"/>
            <w:shd w:color="auto" w:fill="DEEBF6" w:val="clear"/>
          </w:tcPr>
          <w:p w14:paraId="65CA62C5"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b/>
                <w:color w:val="0070E1"/>
                <w:sz w:val="23"/>
                <w:szCs w:val="23"/>
              </w:rPr>
            </w:pPr>
            <w:r>
              <w:rPr>
                <w:rFonts w:ascii="Arial" w:cs="Arial" w:eastAsia="Arial" w:hAnsi="Arial"/>
                <w:b/>
                <w:color w:val="0070E1"/>
                <w:sz w:val="23"/>
                <w:szCs w:val="23"/>
              </w:rPr>
              <w:t>La société KACTUS</w:t>
            </w:r>
          </w:p>
          <w:p w14:paraId="203C1116"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color w:val="0070E1"/>
                <w:sz w:val="23"/>
                <w:szCs w:val="23"/>
              </w:rPr>
            </w:pPr>
            <w:r>
              <w:rPr>
                <w:rFonts w:ascii="Arial" w:cs="Arial" w:eastAsia="Arial" w:hAnsi="Arial"/>
                <w:color w:val="0070E1"/>
                <w:sz w:val="23"/>
                <w:szCs w:val="23"/>
              </w:rPr>
              <w:t>SIRET : 81235068400047</w:t>
            </w:r>
          </w:p>
          <w:p w14:paraId="3B683396"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color w:val="0070E1"/>
                <w:sz w:val="23"/>
                <w:szCs w:val="23"/>
              </w:rPr>
            </w:pPr>
            <w:r>
              <w:rPr>
                <w:rFonts w:ascii="Arial" w:cs="Arial" w:eastAsia="Arial" w:hAnsi="Arial"/>
                <w:color w:val="0070E1"/>
                <w:sz w:val="23"/>
                <w:szCs w:val="23"/>
              </w:rPr>
              <w:t>Siège : 10 Rue de Penthièvre - 75008 Paris</w:t>
            </w:r>
          </w:p>
          <w:p w14:paraId="278FDCFB" w14:textId="77777777" w:rsidR="00D85401" w:rsidRDefault="00000000">
            <w:pPr>
              <w:rPr>
                <w:rFonts w:ascii="Arial" w:cs="Arial" w:eastAsia="Arial" w:hAnsi="Arial"/>
                <w:color w:val="0070E1"/>
                <w:sz w:val="23"/>
                <w:szCs w:val="23"/>
              </w:rPr>
            </w:pPr>
            <w:r>
              <w:rPr>
                <w:rFonts w:ascii="Arial" w:cs="Arial" w:eastAsia="Arial" w:hAnsi="Arial"/>
                <w:color w:val="0070E1"/>
                <w:sz w:val="23"/>
                <w:szCs w:val="23"/>
              </w:rPr>
              <w:t xml:space="preserve">Représentée par : </w:t>
            </w:r>
            <w:r>
              <w:rPr>
                <w:rFonts w:ascii="Arial" w:cs="Arial" w:eastAsia="Arial" w:hAnsi="Arial"/>
                <w:color w:val="0070E1"/>
                <w:sz w:val="23"/>
                <w:szCs w:val="23"/>
              </w:rPr>
              <w:br/>
            </w:r>
          </w:p>
        </w:tc>
        <w:tc>
          <w:tcPr>
            <w:tcW w:type="dxa" w:w="283"/>
            <w:shd w:color="auto" w:fill="auto" w:val="clear"/>
          </w:tcPr>
          <w:p w14:paraId="551D5AB4"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color w:val="0070E1"/>
                <w:sz w:val="23"/>
                <w:szCs w:val="23"/>
              </w:rPr>
            </w:pPr>
          </w:p>
        </w:tc>
        <w:tc>
          <w:tcPr>
            <w:tcW w:type="dxa" w:w="4388"/>
            <w:shd w:color="auto" w:fill="DEEBF6" w:val="clear"/>
          </w:tcPr>
          <w:p w14:paraId="622D9D34"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b/>
                <w:color w:val="0070E1"/>
                <w:sz w:val="23"/>
                <w:szCs w:val="23"/>
              </w:rPr>
            </w:pPr>
            <w:bookmarkStart w:colFirst="0" w:colLast="0" w:id="0" w:name="_gjdgxs"/>
            <w:bookmarkEnd w:id="0"/>
          </w:p>
          <w:p w14:paraId="0AF4D0BA"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color w:val="0070E1"/>
                <w:sz w:val="23"/>
                <w:szCs w:val="23"/>
              </w:rPr>
            </w:pPr>
            <w:r>
              <w:rPr>
                <w:rFonts w:ascii="Arial" w:cs="Arial" w:eastAsia="Arial" w:hAnsi="Arial"/>
                <w:color w:val="0070E1"/>
                <w:sz w:val="23"/>
                <w:szCs w:val="23"/>
              </w:rPr>
              <w:t xml:space="preserve">Élu titulaire au Comité économique et social </w:t>
            </w:r>
            <w:proofErr w:type="gramStart"/>
            <w:r>
              <w:rPr>
                <w:rFonts w:ascii="Arial" w:cs="Arial" w:eastAsia="Arial" w:hAnsi="Arial"/>
                <w:color w:val="0070E1"/>
                <w:sz w:val="23"/>
                <w:szCs w:val="23"/>
              </w:rPr>
              <w:t>( CSE</w:t>
            </w:r>
            <w:proofErr w:type="gramEnd"/>
            <w:r>
              <w:rPr>
                <w:rFonts w:ascii="Arial" w:cs="Arial" w:eastAsia="Arial" w:hAnsi="Arial"/>
                <w:color w:val="0070E1"/>
                <w:sz w:val="23"/>
                <w:szCs w:val="23"/>
              </w:rPr>
              <w:t xml:space="preserve">) de la société </w:t>
            </w:r>
            <w:proofErr w:type="spellStart"/>
            <w:r>
              <w:rPr>
                <w:rFonts w:ascii="Arial" w:cs="Arial" w:eastAsia="Arial" w:hAnsi="Arial"/>
                <w:color w:val="0070E1"/>
                <w:sz w:val="23"/>
                <w:szCs w:val="23"/>
              </w:rPr>
              <w:t>Kactus</w:t>
            </w:r>
            <w:proofErr w:type="spellEnd"/>
            <w:r>
              <w:rPr>
                <w:rFonts w:ascii="Arial" w:cs="Arial" w:eastAsia="Arial" w:hAnsi="Arial"/>
                <w:color w:val="0070E1"/>
                <w:sz w:val="23"/>
                <w:szCs w:val="23"/>
              </w:rPr>
              <w:t>, ayant recueilli la majorité des suffrages exprimés lors des élections du CSE du 17/03/2023</w:t>
            </w:r>
          </w:p>
          <w:p w14:paraId="6CF81435"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rPr>
                <w:rFonts w:ascii="Arial" w:cs="Arial" w:eastAsia="Arial" w:hAnsi="Arial"/>
                <w:color w:val="0070E1"/>
                <w:sz w:val="23"/>
                <w:szCs w:val="23"/>
              </w:rPr>
            </w:pPr>
          </w:p>
        </w:tc>
      </w:tr>
    </w:tbl>
    <w:p w14:paraId="2E0606F2"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pPr>
    </w:p>
    <w:p w14:paraId="384542B0"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jc w:val="center"/>
      </w:pPr>
    </w:p>
    <w:p w14:paraId="541C2C6F"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rPr>
          <w:b/>
          <w:color w:val="0070E1"/>
          <w:sz w:val="30"/>
          <w:szCs w:val="30"/>
        </w:rPr>
      </w:pPr>
    </w:p>
    <w:tbl>
      <w:tblPr>
        <w:tblStyle w:val="a1"/>
        <w:tblW w:type="dxa" w:w="9350"/>
        <w:tblInd w:type="dxa" w:w="-5"/>
        <w:tblBorders>
          <w:top w:val="nil"/>
          <w:left w:val="nil"/>
          <w:bottom w:val="nil"/>
          <w:right w:val="nil"/>
          <w:insideH w:val="nil"/>
          <w:insideV w:val="nil"/>
        </w:tblBorders>
        <w:tblLayout w:type="fixed"/>
        <w:tblLook w:firstColumn="0" w:firstRow="0" w:lastColumn="0" w:lastRow="0" w:noHBand="0" w:noVBand="1" w:val="0400"/>
      </w:tblPr>
      <w:tblGrid>
        <w:gridCol w:w="9350"/>
      </w:tblGrid>
      <w:tr w14:paraId="7FB795D5" w14:textId="77777777" w:rsidR="00D85401">
        <w:tc>
          <w:tcPr>
            <w:tcW w:type="dxa" w:w="9350"/>
            <w:shd w:color="auto" w:fill="DEEBF6" w:val="clear"/>
          </w:tcPr>
          <w:p w14:paraId="57E177A3"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hd w:color="auto" w:fill="DEEBF6" w:val="clear"/>
              <w:jc w:val="both"/>
              <w:rPr>
                <w:rFonts w:ascii="Arial" w:cs="Arial" w:eastAsia="Arial" w:hAnsi="Arial"/>
                <w:b/>
                <w:color w:val="0070E1"/>
                <w:sz w:val="28"/>
                <w:szCs w:val="28"/>
              </w:rPr>
            </w:pPr>
            <w:r>
              <w:rPr>
                <w:rFonts w:ascii="Arial" w:cs="Arial" w:eastAsia="Arial" w:hAnsi="Arial"/>
                <w:b/>
                <w:color w:val="0070E1"/>
                <w:sz w:val="28"/>
                <w:szCs w:val="28"/>
              </w:rPr>
              <w:t>PREAMBULE</w:t>
            </w:r>
          </w:p>
        </w:tc>
      </w:tr>
    </w:tbl>
    <w:p w14:paraId="40FC029E"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left="720" w:right="283"/>
        <w:rPr>
          <w:b/>
          <w:color w:val="1D72B2"/>
          <w:sz w:val="30"/>
          <w:szCs w:val="30"/>
        </w:rPr>
      </w:pPr>
    </w:p>
    <w:p w14:paraId="1EFD3327"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ind w:right="283"/>
        <w:jc w:val="both"/>
        <w:rPr>
          <w:sz w:val="23"/>
          <w:szCs w:val="23"/>
        </w:rPr>
      </w:pPr>
      <w:r>
        <w:rPr>
          <w:color w:val="333333"/>
          <w:sz w:val="23"/>
          <w:szCs w:val="23"/>
          <w:highlight w:val="white"/>
        </w:rPr>
        <w:t xml:space="preserve">La société KACTUS </w:t>
      </w:r>
      <w:r>
        <w:rPr>
          <w:color w:val="333333"/>
          <w:sz w:val="23"/>
          <w:szCs w:val="23"/>
        </w:rPr>
        <w:t xml:space="preserve">applique la </w:t>
      </w:r>
      <w:r>
        <w:rPr>
          <w:b/>
          <w:color w:val="333333"/>
          <w:sz w:val="23"/>
          <w:szCs w:val="23"/>
        </w:rPr>
        <w:t>Convention collective SYNTEC-CINOV</w:t>
      </w:r>
      <w:r>
        <w:rPr>
          <w:color w:val="333333"/>
          <w:sz w:val="23"/>
          <w:szCs w:val="23"/>
          <w:vertAlign w:val="superscript"/>
        </w:rPr>
        <w:footnoteReference w:id="1"/>
      </w:r>
      <w:r>
        <w:rPr>
          <w:color w:val="333333"/>
          <w:sz w:val="23"/>
          <w:szCs w:val="23"/>
        </w:rPr>
        <w:t>.</w:t>
      </w:r>
      <w:r>
        <w:rPr>
          <w:sz w:val="23"/>
          <w:szCs w:val="23"/>
        </w:rPr>
        <w:t>Cette convention collective prévoit une organisation de la durée du travail selon 3 modalités :</w:t>
      </w:r>
    </w:p>
    <w:p w14:paraId="72A02B24"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jc w:val="both"/>
        <w:rPr>
          <w:sz w:val="23"/>
          <w:szCs w:val="23"/>
        </w:rPr>
      </w:pPr>
    </w:p>
    <w:p w14:paraId="05A40B54" w14:textId="77777777" w:rsidR="00D85401" w:rsidRDefault="00000000">
      <w:pPr>
        <w:numPr>
          <w:ilvl w:val="0"/>
          <w:numId w:val="16"/>
        </w:numPr>
        <w:pBdr>
          <w:top w:color="000000" w:space="0" w:sz="0" w:val="none"/>
          <w:left w:color="000000" w:space="0" w:sz="0" w:val="none"/>
          <w:bottom w:color="000000" w:space="0" w:sz="0" w:val="none"/>
          <w:right w:color="000000" w:space="0" w:sz="0" w:val="none"/>
          <w:between w:color="000000" w:space="0" w:sz="0" w:val="none"/>
        </w:pBdr>
        <w:ind w:right="283"/>
        <w:jc w:val="both"/>
        <w:rPr>
          <w:sz w:val="23"/>
          <w:szCs w:val="23"/>
        </w:rPr>
      </w:pPr>
      <w:r>
        <w:rPr>
          <w:sz w:val="23"/>
          <w:szCs w:val="23"/>
        </w:rPr>
        <w:t xml:space="preserve">Une modalité « standard », sur </w:t>
      </w:r>
      <w:proofErr w:type="gramStart"/>
      <w:r>
        <w:rPr>
          <w:sz w:val="23"/>
          <w:szCs w:val="23"/>
        </w:rPr>
        <w:t>une base de 35 heures hebdomadaires</w:t>
      </w:r>
      <w:proofErr w:type="gramEnd"/>
      <w:r>
        <w:rPr>
          <w:sz w:val="23"/>
          <w:szCs w:val="23"/>
        </w:rPr>
        <w:t xml:space="preserve"> (modalité 1)</w:t>
      </w:r>
    </w:p>
    <w:p w14:paraId="015343C0" w14:textId="77777777" w:rsidR="00D85401" w:rsidRDefault="00000000">
      <w:pPr>
        <w:numPr>
          <w:ilvl w:val="0"/>
          <w:numId w:val="16"/>
        </w:numPr>
        <w:pBdr>
          <w:top w:color="000000" w:space="0" w:sz="0" w:val="none"/>
          <w:left w:color="000000" w:space="0" w:sz="0" w:val="none"/>
          <w:bottom w:color="000000" w:space="0" w:sz="0" w:val="none"/>
          <w:right w:color="000000" w:space="0" w:sz="0" w:val="none"/>
          <w:between w:color="000000" w:space="0" w:sz="0" w:val="none"/>
        </w:pBdr>
        <w:ind w:right="283"/>
        <w:jc w:val="both"/>
        <w:rPr>
          <w:sz w:val="23"/>
          <w:szCs w:val="23"/>
        </w:rPr>
      </w:pPr>
      <w:r>
        <w:rPr>
          <w:sz w:val="23"/>
          <w:szCs w:val="23"/>
        </w:rPr>
        <w:t>Une modalité « réalisation de missions », il s’agit d’un forfait en heures avec un plafond de jours travaillés annuels (modalité 2)</w:t>
      </w:r>
    </w:p>
    <w:p w14:paraId="725AD2FF" w14:textId="77777777" w:rsidR="00D85401" w:rsidRDefault="00000000">
      <w:pPr>
        <w:numPr>
          <w:ilvl w:val="0"/>
          <w:numId w:val="16"/>
        </w:numPr>
        <w:pBdr>
          <w:top w:color="000000" w:space="0" w:sz="0" w:val="none"/>
          <w:left w:color="000000" w:space="0" w:sz="0" w:val="none"/>
          <w:bottom w:color="000000" w:space="0" w:sz="0" w:val="none"/>
          <w:right w:color="000000" w:space="0" w:sz="0" w:val="none"/>
          <w:between w:color="000000" w:space="0" w:sz="0" w:val="none"/>
        </w:pBdr>
        <w:ind w:right="283"/>
        <w:jc w:val="both"/>
        <w:rPr>
          <w:sz w:val="23"/>
          <w:szCs w:val="23"/>
        </w:rPr>
      </w:pPr>
      <w:r>
        <w:rPr>
          <w:sz w:val="23"/>
          <w:szCs w:val="23"/>
        </w:rPr>
        <w:t>Une modalité :</w:t>
      </w:r>
      <w:r>
        <w:t xml:space="preserve"> « </w:t>
      </w:r>
      <w:r>
        <w:rPr>
          <w:sz w:val="23"/>
          <w:szCs w:val="23"/>
        </w:rPr>
        <w:t xml:space="preserve">réalisation de missions avec autonomie complète » il s’agit </w:t>
      </w:r>
      <w:proofErr w:type="gramStart"/>
      <w:r>
        <w:rPr>
          <w:sz w:val="23"/>
          <w:szCs w:val="23"/>
        </w:rPr>
        <w:t>d’un</w:t>
      </w:r>
      <w:proofErr w:type="gramEnd"/>
      <w:r>
        <w:rPr>
          <w:sz w:val="23"/>
          <w:szCs w:val="23"/>
        </w:rPr>
        <w:t xml:space="preserve"> système de forfait-jour annuel (modalité 3)</w:t>
      </w:r>
    </w:p>
    <w:p w14:paraId="215D6DF6"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jc w:val="both"/>
        <w:rPr>
          <w:sz w:val="23"/>
          <w:szCs w:val="23"/>
        </w:rPr>
      </w:pPr>
    </w:p>
    <w:p w14:paraId="185035FC"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ind w:right="283"/>
        <w:jc w:val="both"/>
        <w:rPr>
          <w:sz w:val="23"/>
          <w:szCs w:val="23"/>
        </w:rPr>
      </w:pPr>
      <w:r>
        <w:rPr>
          <w:sz w:val="23"/>
          <w:szCs w:val="23"/>
        </w:rPr>
        <w:t xml:space="preserve">Ces modalités relèvent d’un cadre juridique exigeant et de critères d'application stricts.  </w:t>
      </w:r>
    </w:p>
    <w:p w14:paraId="5833C030"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jc w:val="both"/>
        <w:rPr>
          <w:sz w:val="23"/>
          <w:szCs w:val="23"/>
        </w:rPr>
      </w:pPr>
    </w:p>
    <w:p w14:paraId="5460E1C1"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ind w:right="283"/>
        <w:jc w:val="both"/>
        <w:rPr>
          <w:sz w:val="23"/>
          <w:szCs w:val="23"/>
        </w:rPr>
      </w:pPr>
      <w:r>
        <w:rPr>
          <w:sz w:val="23"/>
          <w:szCs w:val="23"/>
        </w:rPr>
        <w:t xml:space="preserve">Compte tenu des particularités de son activité et de ses contraintes budgétaires et de la pluralité des profils (commerciaux tech </w:t>
      </w:r>
      <w:proofErr w:type="gramStart"/>
      <w:r>
        <w:rPr>
          <w:sz w:val="23"/>
          <w:szCs w:val="23"/>
        </w:rPr>
        <w:t>support, ....</w:t>
      </w:r>
      <w:proofErr w:type="gramEnd"/>
      <w:r>
        <w:rPr>
          <w:sz w:val="23"/>
          <w:szCs w:val="23"/>
        </w:rPr>
        <w:t>), la société KACTUS ne peut pas appliquer ces trois modalités de durée du travail sans les aménager.</w:t>
      </w:r>
    </w:p>
    <w:p w14:paraId="23C18DAB"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jc w:val="both"/>
        <w:rPr>
          <w:sz w:val="23"/>
          <w:szCs w:val="23"/>
        </w:rPr>
      </w:pPr>
    </w:p>
    <w:p w14:paraId="5364A9D1"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ind w:right="283"/>
        <w:jc w:val="both"/>
        <w:rPr>
          <w:sz w:val="23"/>
          <w:szCs w:val="23"/>
        </w:rPr>
      </w:pPr>
      <w:r>
        <w:rPr>
          <w:sz w:val="23"/>
          <w:szCs w:val="23"/>
        </w:rPr>
        <w:t>Les points qui posent difficulté sont les suivant :</w:t>
      </w:r>
    </w:p>
    <w:p w14:paraId="57D3A8D1"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jc w:val="both"/>
        <w:rPr>
          <w:sz w:val="23"/>
          <w:szCs w:val="23"/>
        </w:rPr>
      </w:pPr>
    </w:p>
    <w:p w14:paraId="6E00375C" w14:textId="77777777" w:rsidR="00D85401" w:rsidRDefault="00000000">
      <w:pPr>
        <w:numPr>
          <w:ilvl w:val="0"/>
          <w:numId w:val="16"/>
        </w:numPr>
        <w:pBdr>
          <w:top w:color="000000" w:space="0" w:sz="0" w:val="none"/>
          <w:left w:color="000000" w:space="0" w:sz="0" w:val="none"/>
          <w:bottom w:color="000000" w:space="0" w:sz="0" w:val="none"/>
          <w:right w:color="000000" w:space="0" w:sz="0" w:val="none"/>
          <w:between w:color="000000" w:space="0" w:sz="0" w:val="none"/>
        </w:pBdr>
        <w:ind w:right="283"/>
        <w:jc w:val="both"/>
        <w:rPr>
          <w:sz w:val="23"/>
          <w:szCs w:val="23"/>
        </w:rPr>
      </w:pPr>
      <w:r>
        <w:rPr>
          <w:sz w:val="23"/>
          <w:szCs w:val="23"/>
        </w:rPr>
        <w:t xml:space="preserve">Le contingent d’heures supplémentaires pour les ETAM </w:t>
      </w:r>
      <w:proofErr w:type="gramStart"/>
      <w:r>
        <w:rPr>
          <w:sz w:val="23"/>
          <w:szCs w:val="23"/>
        </w:rPr>
        <w:t>( cf.</w:t>
      </w:r>
      <w:proofErr w:type="gramEnd"/>
      <w:r>
        <w:rPr>
          <w:sz w:val="23"/>
          <w:szCs w:val="23"/>
        </w:rPr>
        <w:t xml:space="preserve"> modalités 1 et 2 )</w:t>
      </w:r>
    </w:p>
    <w:p w14:paraId="1958B1AC" w14:textId="77777777" w:rsidR="00D85401" w:rsidRDefault="00000000">
      <w:pPr>
        <w:numPr>
          <w:ilvl w:val="0"/>
          <w:numId w:val="16"/>
        </w:numPr>
        <w:pBdr>
          <w:top w:color="000000" w:space="0" w:sz="0" w:val="none"/>
          <w:left w:color="000000" w:space="0" w:sz="0" w:val="none"/>
          <w:bottom w:color="000000" w:space="0" w:sz="0" w:val="none"/>
          <w:right w:color="000000" w:space="0" w:sz="0" w:val="none"/>
          <w:between w:color="000000" w:space="0" w:sz="0" w:val="none"/>
        </w:pBdr>
        <w:ind w:right="283"/>
        <w:jc w:val="both"/>
        <w:rPr>
          <w:sz w:val="23"/>
          <w:szCs w:val="23"/>
        </w:rPr>
      </w:pPr>
      <w:r>
        <w:rPr>
          <w:sz w:val="23"/>
          <w:szCs w:val="23"/>
        </w:rPr>
        <w:t>Les critères d’éligibilité aux modalités 2 et 3 : classification et niveau de rémunération minimales.</w:t>
      </w:r>
    </w:p>
    <w:p w14:paraId="7AA4C0AA"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jc w:val="both"/>
        <w:rPr>
          <w:sz w:val="23"/>
          <w:szCs w:val="23"/>
        </w:rPr>
      </w:pPr>
    </w:p>
    <w:p w14:paraId="1D8027E8"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ind w:right="283"/>
        <w:jc w:val="both"/>
        <w:rPr>
          <w:sz w:val="23"/>
          <w:szCs w:val="23"/>
        </w:rPr>
      </w:pPr>
      <w:r>
        <w:rPr>
          <w:sz w:val="23"/>
          <w:szCs w:val="23"/>
        </w:rPr>
        <w:t>Le présent accord a donc pour objet d’apporter les aménagements nécessaires à son bon fonctionnement pour chacune des trois modalités.</w:t>
      </w:r>
    </w:p>
    <w:p w14:paraId="5887A35B"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jc w:val="both"/>
        <w:rPr>
          <w:sz w:val="23"/>
          <w:szCs w:val="23"/>
        </w:rPr>
      </w:pPr>
    </w:p>
    <w:p w14:paraId="6692BD1D"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ind w:right="283"/>
        <w:jc w:val="both"/>
        <w:rPr>
          <w:sz w:val="23"/>
          <w:szCs w:val="23"/>
        </w:rPr>
      </w:pPr>
      <w:r>
        <w:rPr>
          <w:sz w:val="23"/>
          <w:szCs w:val="23"/>
        </w:rPr>
        <w:t>Le présent accord d'entreprise s'applique à l’ensemble des salariés, quel que soit leur statut ou la forme des contrats de travail qui les lient à la société KACTUS.</w:t>
      </w:r>
    </w:p>
    <w:p w14:paraId="266DE052"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jc w:val="both"/>
        <w:rPr>
          <w:sz w:val="23"/>
          <w:szCs w:val="23"/>
        </w:rPr>
      </w:pPr>
    </w:p>
    <w:p w14:paraId="60437B02"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jc w:val="both"/>
      </w:pPr>
    </w:p>
    <w:tbl>
      <w:tblPr>
        <w:tblStyle w:val="a2"/>
        <w:tblW w:type="dxa" w:w="9350"/>
        <w:tblInd w:type="dxa" w:w="-5"/>
        <w:tblBorders>
          <w:top w:val="nil"/>
          <w:left w:val="nil"/>
          <w:bottom w:val="nil"/>
          <w:right w:val="nil"/>
          <w:insideH w:val="nil"/>
          <w:insideV w:val="nil"/>
        </w:tblBorders>
        <w:tblLayout w:type="fixed"/>
        <w:tblLook w:firstColumn="0" w:firstRow="0" w:lastColumn="0" w:lastRow="0" w:noHBand="0" w:noVBand="1" w:val="0400"/>
      </w:tblPr>
      <w:tblGrid>
        <w:gridCol w:w="9350"/>
      </w:tblGrid>
      <w:tr w14:paraId="138231DC" w14:textId="77777777" w:rsidR="00D85401">
        <w:tc>
          <w:tcPr>
            <w:tcW w:type="dxa" w:w="9350"/>
            <w:shd w:color="auto" w:fill="DEEBF6" w:val="clear"/>
          </w:tcPr>
          <w:p w14:paraId="17D2F809" w14:textId="77777777" w:rsidR="00D85401" w:rsidRDefault="00000000">
            <w:pPr>
              <w:numPr>
                <w:ilvl w:val="0"/>
                <w:numId w:val="14"/>
              </w:numPr>
              <w:pBdr>
                <w:top w:color="000000" w:space="0" w:sz="0" w:val="none"/>
                <w:left w:color="000000" w:space="0" w:sz="0" w:val="none"/>
                <w:bottom w:color="000000" w:space="0" w:sz="0" w:val="none"/>
                <w:right w:color="000000" w:space="0" w:sz="0" w:val="none"/>
                <w:between w:color="000000" w:space="0" w:sz="0" w:val="none"/>
              </w:pBdr>
              <w:spacing w:after="200" w:line="276" w:lineRule="auto"/>
              <w:rPr>
                <w:b/>
                <w:sz w:val="28"/>
                <w:szCs w:val="28"/>
              </w:rPr>
            </w:pPr>
            <w:bookmarkStart w:colFirst="0" w:colLast="0" w:id="1" w:name="_30j0zll"/>
            <w:bookmarkEnd w:id="1"/>
            <w:r>
              <w:rPr>
                <w:rFonts w:ascii="Arial" w:cs="Arial" w:eastAsia="Arial" w:hAnsi="Arial"/>
                <w:b/>
                <w:color w:val="0070E1"/>
                <w:sz w:val="28"/>
                <w:szCs w:val="28"/>
              </w:rPr>
              <w:t xml:space="preserve">CONTINGENT ANNUEL D’HEURES SUPPLÉMENTAIRES </w:t>
            </w:r>
          </w:p>
        </w:tc>
      </w:tr>
    </w:tbl>
    <w:p w14:paraId="04BF8E6E"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jc w:val="both"/>
        <w:rPr>
          <w:color w:val="333333"/>
          <w:sz w:val="23"/>
          <w:szCs w:val="23"/>
          <w:highlight w:val="white"/>
        </w:rPr>
      </w:pPr>
    </w:p>
    <w:p w14:paraId="43C7CCB4"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ind w:right="283"/>
        <w:jc w:val="both"/>
        <w:rPr>
          <w:color w:val="333333"/>
          <w:sz w:val="23"/>
          <w:szCs w:val="23"/>
          <w:highlight w:val="white"/>
        </w:rPr>
      </w:pPr>
      <w:r>
        <w:rPr>
          <w:color w:val="333333"/>
          <w:sz w:val="23"/>
          <w:szCs w:val="23"/>
          <w:highlight w:val="white"/>
        </w:rPr>
        <w:t xml:space="preserve">La Convention collective SYNTEC fixe le </w:t>
      </w:r>
      <w:r>
        <w:rPr>
          <w:b/>
          <w:color w:val="333333"/>
          <w:sz w:val="23"/>
          <w:szCs w:val="23"/>
          <w:highlight w:val="white"/>
        </w:rPr>
        <w:t>contingent annuel d’heures supplémentaires</w:t>
      </w:r>
      <w:r>
        <w:rPr>
          <w:color w:val="333333"/>
          <w:sz w:val="23"/>
          <w:szCs w:val="23"/>
          <w:highlight w:val="white"/>
        </w:rPr>
        <w:t xml:space="preserve"> à 130 heures pour les ETAM. Le contingent légal (actuellement fixé à 220 heures) s’applique aux Cadres.</w:t>
      </w:r>
    </w:p>
    <w:p w14:paraId="6304FED0"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jc w:val="both"/>
        <w:rPr>
          <w:color w:val="333333"/>
          <w:sz w:val="23"/>
          <w:szCs w:val="23"/>
          <w:highlight w:val="white"/>
        </w:rPr>
      </w:pPr>
    </w:p>
    <w:p w14:paraId="51B06134"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ind w:right="283"/>
        <w:jc w:val="both"/>
        <w:rPr>
          <w:color w:val="333333"/>
          <w:sz w:val="23"/>
          <w:szCs w:val="23"/>
          <w:highlight w:val="white"/>
        </w:rPr>
      </w:pPr>
      <w:r>
        <w:rPr>
          <w:color w:val="333333"/>
          <w:sz w:val="23"/>
          <w:szCs w:val="23"/>
          <w:highlight w:val="white"/>
        </w:rPr>
        <w:t xml:space="preserve">A compter de l’entrée en vigueur du présent accord, le contingent annuel d’heures supplémentaires est fixé à </w:t>
      </w:r>
      <w:r>
        <w:rPr>
          <w:b/>
          <w:color w:val="333333"/>
          <w:sz w:val="23"/>
          <w:szCs w:val="23"/>
          <w:highlight w:val="white"/>
        </w:rPr>
        <w:t>220 heures</w:t>
      </w:r>
      <w:r>
        <w:rPr>
          <w:color w:val="333333"/>
          <w:sz w:val="23"/>
          <w:szCs w:val="23"/>
          <w:highlight w:val="white"/>
        </w:rPr>
        <w:t xml:space="preserve"> pour l’ensemble des salariés de la société </w:t>
      </w:r>
      <w:proofErr w:type="gramStart"/>
      <w:r>
        <w:rPr>
          <w:color w:val="333333"/>
          <w:sz w:val="23"/>
          <w:szCs w:val="23"/>
          <w:highlight w:val="white"/>
        </w:rPr>
        <w:t>KACTUS ,</w:t>
      </w:r>
      <w:proofErr w:type="gramEnd"/>
      <w:r>
        <w:rPr>
          <w:color w:val="333333"/>
          <w:sz w:val="23"/>
          <w:szCs w:val="23"/>
          <w:highlight w:val="white"/>
        </w:rPr>
        <w:t xml:space="preserve"> ETAM et Cadres.</w:t>
      </w:r>
    </w:p>
    <w:p w14:paraId="768DFA74"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jc w:val="both"/>
        <w:rPr>
          <w:color w:val="333333"/>
          <w:sz w:val="23"/>
          <w:szCs w:val="23"/>
          <w:highlight w:val="white"/>
        </w:rPr>
      </w:pPr>
    </w:p>
    <w:p w14:paraId="3FCE29EE"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ind w:right="283"/>
        <w:jc w:val="both"/>
        <w:rPr>
          <w:color w:val="333333"/>
          <w:sz w:val="23"/>
          <w:szCs w:val="23"/>
          <w:highlight w:val="white"/>
        </w:rPr>
      </w:pPr>
      <w:r>
        <w:rPr>
          <w:color w:val="333333"/>
          <w:sz w:val="23"/>
          <w:szCs w:val="23"/>
        </w:rPr>
        <w:t>La période de référence pour le décompte du contingent annuel d’heures supplémentaires correspond à l’année civile soit du 1er janvier au 31 décembre de chaque année.</w:t>
      </w:r>
    </w:p>
    <w:p w14:paraId="632B579D"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jc w:val="both"/>
        <w:rPr>
          <w:color w:val="333333"/>
          <w:sz w:val="23"/>
          <w:szCs w:val="23"/>
          <w:highlight w:val="white"/>
        </w:rPr>
      </w:pPr>
    </w:p>
    <w:p w14:paraId="10CD1F2B"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jc w:val="both"/>
        <w:rPr>
          <w:color w:val="333333"/>
          <w:sz w:val="23"/>
          <w:szCs w:val="23"/>
          <w:highlight w:val="white"/>
        </w:rPr>
      </w:pPr>
    </w:p>
    <w:tbl>
      <w:tblPr>
        <w:tblStyle w:val="a3"/>
        <w:tblW w:type="dxa" w:w="9350"/>
        <w:tblInd w:type="dxa" w:w="-5"/>
        <w:tblBorders>
          <w:top w:val="nil"/>
          <w:left w:val="nil"/>
          <w:bottom w:val="nil"/>
          <w:right w:val="nil"/>
          <w:insideH w:val="nil"/>
          <w:insideV w:val="nil"/>
        </w:tblBorders>
        <w:tblLayout w:type="fixed"/>
        <w:tblLook w:firstColumn="0" w:firstRow="0" w:lastColumn="0" w:lastRow="0" w:noHBand="0" w:noVBand="1" w:val="0400"/>
      </w:tblPr>
      <w:tblGrid>
        <w:gridCol w:w="9350"/>
      </w:tblGrid>
      <w:tr w14:paraId="0C678241" w14:textId="77777777" w:rsidR="00D85401">
        <w:tc>
          <w:tcPr>
            <w:tcW w:type="dxa" w:w="9350"/>
            <w:shd w:color="auto" w:fill="DEEBF6" w:val="clear"/>
          </w:tcPr>
          <w:p w14:paraId="28317523" w14:textId="77777777" w:rsidR="00D85401" w:rsidRDefault="00000000">
            <w:pPr>
              <w:numPr>
                <w:ilvl w:val="0"/>
                <w:numId w:val="14"/>
              </w:numPr>
              <w:pBdr>
                <w:top w:color="000000" w:space="0" w:sz="0" w:val="none"/>
                <w:left w:color="000000" w:space="0" w:sz="0" w:val="none"/>
                <w:bottom w:color="000000" w:space="0" w:sz="0" w:val="none"/>
                <w:right w:color="000000" w:space="0" w:sz="0" w:val="none"/>
                <w:between w:color="000000" w:space="0" w:sz="0" w:val="none"/>
              </w:pBdr>
              <w:shd w:color="auto" w:fill="DEEBF6" w:val="clear"/>
              <w:spacing w:after="200" w:line="276" w:lineRule="auto"/>
              <w:jc w:val="both"/>
              <w:rPr>
                <w:b/>
                <w:sz w:val="28"/>
                <w:szCs w:val="28"/>
              </w:rPr>
            </w:pPr>
            <w:bookmarkStart w:colFirst="0" w:colLast="0" w:id="2" w:name="_1fob9te"/>
            <w:bookmarkEnd w:id="2"/>
            <w:r>
              <w:rPr>
                <w:rFonts w:ascii="Arial" w:cs="Arial" w:eastAsia="Arial" w:hAnsi="Arial"/>
                <w:b/>
                <w:color w:val="0070E1"/>
                <w:sz w:val="28"/>
                <w:szCs w:val="28"/>
              </w:rPr>
              <w:t>MODALITÉ 2 : FORFAIT EN HEURES</w:t>
            </w:r>
          </w:p>
        </w:tc>
      </w:tr>
    </w:tbl>
    <w:p w14:paraId="79FCB67A"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jc w:val="both"/>
        <w:rPr>
          <w:color w:val="333333"/>
          <w:sz w:val="23"/>
          <w:szCs w:val="23"/>
        </w:rPr>
      </w:pPr>
    </w:p>
    <w:p w14:paraId="6EF14F5E" w14:textId="77777777" w:rsidR="00D85401" w:rsidRDefault="00000000">
      <w:pPr>
        <w:numPr>
          <w:ilvl w:val="0"/>
          <w:numId w:val="3"/>
        </w:numPr>
        <w:pBdr>
          <w:top w:color="000000" w:space="0" w:sz="0" w:val="none"/>
          <w:left w:color="000000" w:space="0" w:sz="0" w:val="none"/>
          <w:bottom w:color="000000" w:space="0" w:sz="0" w:val="none"/>
          <w:right w:color="000000" w:space="0" w:sz="0" w:val="none"/>
          <w:between w:color="000000" w:space="0" w:sz="0" w:val="none"/>
        </w:pBdr>
        <w:ind w:right="283"/>
        <w:rPr>
          <w:b/>
          <w:color w:val="0070E1"/>
          <w:sz w:val="28"/>
          <w:szCs w:val="28"/>
        </w:rPr>
      </w:pPr>
      <w:r>
        <w:rPr>
          <w:b/>
          <w:color w:val="0070E1"/>
          <w:sz w:val="28"/>
          <w:szCs w:val="28"/>
        </w:rPr>
        <w:t>Qu’est-ce que le forfait en heures ?</w:t>
      </w:r>
    </w:p>
    <w:p w14:paraId="3A7EBC77"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jc w:val="both"/>
        <w:rPr>
          <w:color w:val="333333"/>
          <w:sz w:val="23"/>
          <w:szCs w:val="23"/>
        </w:rPr>
      </w:pPr>
    </w:p>
    <w:p w14:paraId="2B10E9B0"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ind w:right="283"/>
        <w:jc w:val="both"/>
        <w:rPr>
          <w:color w:val="333333"/>
          <w:sz w:val="23"/>
          <w:szCs w:val="23"/>
        </w:rPr>
      </w:pPr>
      <w:r>
        <w:rPr>
          <w:color w:val="333333"/>
          <w:sz w:val="23"/>
          <w:szCs w:val="23"/>
        </w:rPr>
        <w:t xml:space="preserve">La </w:t>
      </w:r>
      <w:r>
        <w:rPr>
          <w:b/>
          <w:color w:val="333333"/>
          <w:sz w:val="23"/>
          <w:szCs w:val="23"/>
        </w:rPr>
        <w:t>Convention collective SYNTEC</w:t>
      </w:r>
      <w:r>
        <w:rPr>
          <w:color w:val="333333"/>
          <w:sz w:val="23"/>
          <w:szCs w:val="23"/>
        </w:rPr>
        <w:t xml:space="preserve"> prévoit une modalité dite de « réalisation de missions » ou modalité 2 consistant en un forfait en heures sur la semaine assorti d’un plafond annuel en jours :</w:t>
      </w:r>
    </w:p>
    <w:p w14:paraId="42E1D137"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jc w:val="both"/>
        <w:rPr>
          <w:color w:val="333333"/>
          <w:sz w:val="23"/>
          <w:szCs w:val="23"/>
        </w:rPr>
      </w:pPr>
    </w:p>
    <w:p w14:paraId="6C24015F" w14:textId="77777777" w:rsidR="00D85401" w:rsidRDefault="00000000">
      <w:pPr>
        <w:numPr>
          <w:ilvl w:val="0"/>
          <w:numId w:val="5"/>
        </w:numPr>
        <w:pBdr>
          <w:top w:color="000000" w:space="0" w:sz="0" w:val="none"/>
          <w:left w:color="000000" w:space="0" w:sz="0" w:val="none"/>
          <w:bottom w:color="000000" w:space="0" w:sz="0" w:val="none"/>
          <w:right w:color="000000" w:space="0" w:sz="0" w:val="none"/>
          <w:between w:color="000000" w:space="0" w:sz="0" w:val="none"/>
        </w:pBdr>
        <w:ind w:right="283"/>
        <w:jc w:val="both"/>
        <w:rPr>
          <w:color w:val="333333"/>
          <w:sz w:val="23"/>
          <w:szCs w:val="23"/>
        </w:rPr>
      </w:pPr>
      <w:r>
        <w:rPr>
          <w:color w:val="333333"/>
          <w:sz w:val="23"/>
          <w:szCs w:val="23"/>
        </w:rPr>
        <w:t xml:space="preserve">L’horaire de travail hebdomadaire est de 35 heures, mais peut varier à la hausse dans la limite de </w:t>
      </w:r>
      <w:r>
        <w:rPr>
          <w:b/>
          <w:color w:val="333333"/>
          <w:sz w:val="23"/>
          <w:szCs w:val="23"/>
        </w:rPr>
        <w:t>10 %, soit jusqu'à 38h30</w:t>
      </w:r>
      <w:r>
        <w:rPr>
          <w:color w:val="333333"/>
          <w:sz w:val="23"/>
          <w:szCs w:val="23"/>
        </w:rPr>
        <w:t>, sans impacter la rémunération.</w:t>
      </w:r>
    </w:p>
    <w:p w14:paraId="3C5583E9" w14:textId="77777777" w:rsidR="00D85401" w:rsidRDefault="00000000">
      <w:pPr>
        <w:numPr>
          <w:ilvl w:val="0"/>
          <w:numId w:val="5"/>
        </w:numPr>
        <w:pBdr>
          <w:top w:color="000000" w:space="0" w:sz="0" w:val="none"/>
          <w:left w:color="000000" w:space="0" w:sz="0" w:val="none"/>
          <w:bottom w:color="000000" w:space="0" w:sz="0" w:val="none"/>
          <w:right w:color="000000" w:space="0" w:sz="0" w:val="none"/>
          <w:between w:color="000000" w:space="0" w:sz="0" w:val="none"/>
        </w:pBdr>
        <w:ind w:right="283"/>
        <w:jc w:val="both"/>
        <w:rPr>
          <w:color w:val="333333"/>
          <w:sz w:val="23"/>
          <w:szCs w:val="23"/>
        </w:rPr>
      </w:pPr>
      <w:r>
        <w:rPr>
          <w:color w:val="333333"/>
          <w:sz w:val="23"/>
          <w:szCs w:val="23"/>
        </w:rPr>
        <w:t xml:space="preserve">Le plafond annuel est de 219 jours </w:t>
      </w:r>
      <w:proofErr w:type="gramStart"/>
      <w:r>
        <w:rPr>
          <w:color w:val="333333"/>
          <w:sz w:val="23"/>
          <w:szCs w:val="23"/>
        </w:rPr>
        <w:t>travaillés</w:t>
      </w:r>
      <w:proofErr w:type="gramEnd"/>
      <w:r>
        <w:rPr>
          <w:color w:val="333333"/>
          <w:sz w:val="23"/>
          <w:szCs w:val="23"/>
        </w:rPr>
        <w:t xml:space="preserve">. </w:t>
      </w:r>
    </w:p>
    <w:p w14:paraId="37B258C9"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jc w:val="both"/>
        <w:rPr>
          <w:color w:val="333333"/>
          <w:sz w:val="23"/>
          <w:szCs w:val="23"/>
        </w:rPr>
      </w:pPr>
    </w:p>
    <w:p w14:paraId="5004FA60"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jc w:val="both"/>
        <w:rPr>
          <w:color w:val="333333"/>
          <w:sz w:val="23"/>
          <w:szCs w:val="23"/>
        </w:rPr>
      </w:pPr>
    </w:p>
    <w:p w14:paraId="6A06092B" w14:textId="77777777" w:rsidR="00D85401" w:rsidRDefault="00000000">
      <w:pPr>
        <w:numPr>
          <w:ilvl w:val="0"/>
          <w:numId w:val="3"/>
        </w:numPr>
        <w:pBdr>
          <w:top w:color="000000" w:space="0" w:sz="0" w:val="none"/>
          <w:left w:color="000000" w:space="0" w:sz="0" w:val="none"/>
          <w:bottom w:color="000000" w:space="0" w:sz="0" w:val="none"/>
          <w:right w:color="000000" w:space="0" w:sz="0" w:val="none"/>
          <w:between w:color="000000" w:space="0" w:sz="0" w:val="none"/>
        </w:pBdr>
        <w:ind w:right="283"/>
        <w:rPr>
          <w:b/>
          <w:color w:val="0070E1"/>
          <w:sz w:val="28"/>
          <w:szCs w:val="28"/>
        </w:rPr>
      </w:pPr>
      <w:r>
        <w:rPr>
          <w:b/>
          <w:color w:val="0070E1"/>
          <w:sz w:val="28"/>
          <w:szCs w:val="28"/>
        </w:rPr>
        <w:t>Quels sont les salariés concernés ?</w:t>
      </w:r>
    </w:p>
    <w:p w14:paraId="049A9DBA"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jc w:val="both"/>
        <w:rPr>
          <w:color w:val="333333"/>
          <w:sz w:val="23"/>
          <w:szCs w:val="23"/>
        </w:rPr>
      </w:pPr>
    </w:p>
    <w:p w14:paraId="3AA199A6"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ind w:right="283"/>
        <w:jc w:val="both"/>
        <w:rPr>
          <w:color w:val="333333"/>
          <w:sz w:val="23"/>
          <w:szCs w:val="23"/>
        </w:rPr>
      </w:pPr>
      <w:r>
        <w:rPr>
          <w:color w:val="333333"/>
          <w:sz w:val="23"/>
          <w:szCs w:val="23"/>
        </w:rPr>
        <w:lastRenderedPageBreak/>
        <w:t>Le présent accord vise à ouvrir l’accès à la modalité 2 aux salariés Cadres et Non Cadres dès lors qu’ils remplissent les conditions suivantes :</w:t>
      </w:r>
    </w:p>
    <w:p w14:paraId="64904E2B"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jc w:val="both"/>
        <w:rPr>
          <w:color w:val="333333"/>
          <w:sz w:val="23"/>
          <w:szCs w:val="23"/>
        </w:rPr>
      </w:pPr>
    </w:p>
    <w:p w14:paraId="0F13B1CC" w14:textId="77777777" w:rsidR="00D85401" w:rsidRDefault="00000000">
      <w:pPr>
        <w:numPr>
          <w:ilvl w:val="0"/>
          <w:numId w:val="2"/>
        </w:numPr>
        <w:pBdr>
          <w:top w:color="000000" w:space="0" w:sz="0" w:val="none"/>
          <w:left w:color="000000" w:space="0" w:sz="0" w:val="none"/>
          <w:bottom w:color="000000" w:space="0" w:sz="0" w:val="none"/>
          <w:right w:color="000000" w:space="0" w:sz="0" w:val="none"/>
          <w:between w:color="000000" w:space="0" w:sz="0" w:val="none"/>
        </w:pBdr>
        <w:ind w:right="283"/>
        <w:jc w:val="both"/>
        <w:rPr>
          <w:color w:val="333333"/>
          <w:sz w:val="23"/>
          <w:szCs w:val="23"/>
        </w:rPr>
      </w:pPr>
      <w:r>
        <w:rPr>
          <w:b/>
          <w:color w:val="333333"/>
          <w:sz w:val="23"/>
          <w:szCs w:val="23"/>
        </w:rPr>
        <w:t>Occuper une classification ETAM</w:t>
      </w:r>
      <w:r>
        <w:rPr>
          <w:color w:val="333333"/>
          <w:sz w:val="23"/>
          <w:szCs w:val="23"/>
        </w:rPr>
        <w:t xml:space="preserve"> position 2.3 a minima et percevoir </w:t>
      </w:r>
      <w:proofErr w:type="gramStart"/>
      <w:r>
        <w:rPr>
          <w:color w:val="333333"/>
          <w:sz w:val="23"/>
          <w:szCs w:val="23"/>
        </w:rPr>
        <w:t>a</w:t>
      </w:r>
      <w:proofErr w:type="gramEnd"/>
      <w:r>
        <w:rPr>
          <w:color w:val="333333"/>
          <w:sz w:val="23"/>
          <w:szCs w:val="23"/>
        </w:rPr>
        <w:t xml:space="preserve"> minima la salaire conventionnel correspondant à cette classification.</w:t>
      </w:r>
    </w:p>
    <w:p w14:paraId="0198A15A" w14:textId="77777777" w:rsidR="00D85401" w:rsidRDefault="00000000">
      <w:pPr>
        <w:numPr>
          <w:ilvl w:val="0"/>
          <w:numId w:val="2"/>
        </w:numPr>
        <w:pBdr>
          <w:top w:color="000000" w:space="0" w:sz="0" w:val="none"/>
          <w:left w:color="000000" w:space="0" w:sz="0" w:val="none"/>
          <w:bottom w:color="000000" w:space="0" w:sz="0" w:val="none"/>
          <w:right w:color="000000" w:space="0" w:sz="0" w:val="none"/>
          <w:between w:color="000000" w:space="0" w:sz="0" w:val="none"/>
        </w:pBdr>
        <w:ind w:right="283"/>
        <w:jc w:val="both"/>
        <w:rPr>
          <w:color w:val="333333"/>
          <w:sz w:val="23"/>
          <w:szCs w:val="23"/>
        </w:rPr>
      </w:pPr>
      <w:r>
        <w:rPr>
          <w:b/>
          <w:color w:val="333333"/>
          <w:sz w:val="23"/>
          <w:szCs w:val="23"/>
        </w:rPr>
        <w:t>Disposer d'une autonomie</w:t>
      </w:r>
      <w:r>
        <w:rPr>
          <w:color w:val="333333"/>
          <w:sz w:val="23"/>
          <w:szCs w:val="23"/>
        </w:rPr>
        <w:t xml:space="preserve"> liée à leur fonction dans l'organisation de leur emploi du temps et de leur travail.</w:t>
      </w:r>
    </w:p>
    <w:p w14:paraId="57729CB0"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jc w:val="both"/>
        <w:rPr>
          <w:color w:val="333333"/>
          <w:sz w:val="23"/>
          <w:szCs w:val="23"/>
        </w:rPr>
      </w:pPr>
    </w:p>
    <w:p w14:paraId="62F1DF1B"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jc w:val="both"/>
        <w:rPr>
          <w:color w:val="333333"/>
          <w:sz w:val="23"/>
          <w:szCs w:val="23"/>
        </w:rPr>
      </w:pPr>
    </w:p>
    <w:p w14:paraId="74090BF0" w14:textId="77777777" w:rsidR="00D85401" w:rsidRDefault="00000000">
      <w:pPr>
        <w:numPr>
          <w:ilvl w:val="0"/>
          <w:numId w:val="3"/>
        </w:numPr>
        <w:pBdr>
          <w:top w:color="000000" w:space="0" w:sz="0" w:val="none"/>
          <w:left w:color="000000" w:space="0" w:sz="0" w:val="none"/>
          <w:bottom w:color="000000" w:space="0" w:sz="0" w:val="none"/>
          <w:right w:color="000000" w:space="0" w:sz="0" w:val="none"/>
          <w:between w:color="000000" w:space="0" w:sz="0" w:val="none"/>
        </w:pBdr>
        <w:ind w:right="283"/>
        <w:rPr>
          <w:b/>
          <w:color w:val="0070E1"/>
          <w:sz w:val="28"/>
          <w:szCs w:val="28"/>
        </w:rPr>
      </w:pPr>
      <w:r>
        <w:rPr>
          <w:b/>
          <w:color w:val="0070E1"/>
          <w:sz w:val="28"/>
          <w:szCs w:val="28"/>
        </w:rPr>
        <w:t>Comment fonctionne le forfait en heures chez KACTUS ?</w:t>
      </w:r>
    </w:p>
    <w:p w14:paraId="1A1BDD11"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jc w:val="both"/>
        <w:rPr>
          <w:color w:val="333333"/>
          <w:sz w:val="23"/>
          <w:szCs w:val="23"/>
        </w:rPr>
      </w:pPr>
    </w:p>
    <w:p w14:paraId="39FC97CA"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ind w:right="283"/>
        <w:jc w:val="both"/>
        <w:rPr>
          <w:color w:val="333333"/>
          <w:sz w:val="23"/>
          <w:szCs w:val="23"/>
        </w:rPr>
      </w:pPr>
      <w:r>
        <w:rPr>
          <w:color w:val="333333"/>
          <w:sz w:val="23"/>
          <w:szCs w:val="23"/>
        </w:rPr>
        <w:t>Le présent accord vise à adapter les modalités de fonctionnement du forfait en heures.</w:t>
      </w:r>
    </w:p>
    <w:p w14:paraId="2A57E638"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jc w:val="both"/>
        <w:rPr>
          <w:color w:val="333333"/>
          <w:sz w:val="23"/>
          <w:szCs w:val="23"/>
        </w:rPr>
      </w:pPr>
    </w:p>
    <w:p w14:paraId="0927B0EA"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ind w:right="283"/>
        <w:jc w:val="both"/>
        <w:rPr>
          <w:sz w:val="23"/>
          <w:szCs w:val="23"/>
        </w:rPr>
      </w:pPr>
      <w:r>
        <w:rPr>
          <w:sz w:val="23"/>
          <w:szCs w:val="23"/>
        </w:rPr>
        <w:t xml:space="preserve">Les salariés relevant de la modalité 2 sont soumis à l’horaire collectif de travail en vigueur au sein de la société KACTUS, sur </w:t>
      </w:r>
      <w:proofErr w:type="gramStart"/>
      <w:r>
        <w:rPr>
          <w:sz w:val="23"/>
          <w:szCs w:val="23"/>
        </w:rPr>
        <w:t>une base de 35 heures hebdomadaires</w:t>
      </w:r>
      <w:proofErr w:type="gramEnd"/>
      <w:r>
        <w:rPr>
          <w:sz w:val="23"/>
          <w:szCs w:val="23"/>
        </w:rPr>
        <w:t xml:space="preserve"> qui pourront être dépassées dans la limite de 10% soit jusqu'à 38h30. </w:t>
      </w:r>
    </w:p>
    <w:p w14:paraId="52BAA7D2"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jc w:val="both"/>
        <w:rPr>
          <w:sz w:val="23"/>
          <w:szCs w:val="23"/>
        </w:rPr>
      </w:pPr>
    </w:p>
    <w:p w14:paraId="5DC50093"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ind w:right="283"/>
        <w:jc w:val="both"/>
        <w:rPr>
          <w:color w:val="333333"/>
          <w:sz w:val="23"/>
          <w:szCs w:val="23"/>
        </w:rPr>
      </w:pPr>
      <w:r>
        <w:rPr>
          <w:color w:val="333333"/>
          <w:sz w:val="23"/>
          <w:szCs w:val="23"/>
        </w:rPr>
        <w:t xml:space="preserve">Ils bénéficieront d’un plafond de </w:t>
      </w:r>
      <w:r>
        <w:rPr>
          <w:b/>
          <w:color w:val="333333"/>
          <w:sz w:val="23"/>
          <w:szCs w:val="23"/>
          <w:u w:val="single"/>
        </w:rPr>
        <w:t>218 jours</w:t>
      </w:r>
      <w:r>
        <w:rPr>
          <w:b/>
          <w:color w:val="333333"/>
          <w:sz w:val="23"/>
          <w:szCs w:val="23"/>
        </w:rPr>
        <w:t xml:space="preserve"> de travail</w:t>
      </w:r>
      <w:r>
        <w:rPr>
          <w:color w:val="333333"/>
          <w:sz w:val="23"/>
          <w:szCs w:val="23"/>
        </w:rPr>
        <w:t xml:space="preserve"> sur l’année et de jours de repos dans les mêmes conditions que les salariés relevant de la modalité 3 et exposées au III ci-après.</w:t>
      </w:r>
    </w:p>
    <w:p w14:paraId="69B3E6B5"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jc w:val="both"/>
        <w:rPr>
          <w:sz w:val="23"/>
          <w:szCs w:val="23"/>
        </w:rPr>
      </w:pPr>
    </w:p>
    <w:p w14:paraId="35A6AFC1"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ind w:right="283"/>
        <w:jc w:val="both"/>
        <w:rPr>
          <w:sz w:val="23"/>
          <w:szCs w:val="23"/>
        </w:rPr>
      </w:pPr>
      <w:r>
        <w:rPr>
          <w:sz w:val="23"/>
          <w:szCs w:val="23"/>
        </w:rPr>
        <w:t xml:space="preserve">Un contrôle du temps de travail hebdomadaire et du nombre des jours travaillés est mis en place au moyen de l'outil proposé par le SIRH de la société. Ils devront remplir leur suivi d’activité chaque fin de semaine.  Le manager </w:t>
      </w:r>
      <w:proofErr w:type="gramStart"/>
      <w:r>
        <w:rPr>
          <w:sz w:val="23"/>
          <w:szCs w:val="23"/>
        </w:rPr>
        <w:t>est en charge</w:t>
      </w:r>
      <w:proofErr w:type="gramEnd"/>
      <w:r>
        <w:rPr>
          <w:sz w:val="23"/>
          <w:szCs w:val="23"/>
        </w:rPr>
        <w:t xml:space="preserve"> du suivi de ce décompte.</w:t>
      </w:r>
    </w:p>
    <w:p w14:paraId="56B15E92"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jc w:val="both"/>
        <w:rPr>
          <w:sz w:val="23"/>
          <w:szCs w:val="23"/>
        </w:rPr>
      </w:pPr>
    </w:p>
    <w:p w14:paraId="6D85F09C"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ind w:right="283"/>
        <w:jc w:val="both"/>
        <w:rPr>
          <w:color w:val="333333"/>
          <w:sz w:val="23"/>
          <w:szCs w:val="23"/>
        </w:rPr>
      </w:pPr>
      <w:r>
        <w:rPr>
          <w:color w:val="333333"/>
          <w:sz w:val="23"/>
          <w:szCs w:val="23"/>
        </w:rPr>
        <w:t xml:space="preserve">Par dérogation aux dispositions de la Convention collective SYNTEC, les salariés relevant de la modalité 2 ne percevront pas obligatoirement de rémunération supérieure au salaire conventionnel correspondant à leur classification. </w:t>
      </w:r>
    </w:p>
    <w:p w14:paraId="466C8E40"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jc w:val="both"/>
        <w:rPr>
          <w:color w:val="333333"/>
          <w:sz w:val="23"/>
          <w:szCs w:val="23"/>
        </w:rPr>
      </w:pPr>
    </w:p>
    <w:p w14:paraId="4D9A1793"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jc w:val="both"/>
        <w:rPr>
          <w:color w:val="333333"/>
          <w:sz w:val="23"/>
          <w:szCs w:val="23"/>
        </w:rPr>
      </w:pPr>
    </w:p>
    <w:tbl>
      <w:tblPr>
        <w:tblStyle w:val="a4"/>
        <w:tblW w:type="dxa" w:w="9350"/>
        <w:tblInd w:type="dxa" w:w="-5"/>
        <w:tblBorders>
          <w:top w:val="nil"/>
          <w:left w:val="nil"/>
          <w:bottom w:val="nil"/>
          <w:right w:val="nil"/>
          <w:insideH w:val="nil"/>
          <w:insideV w:val="nil"/>
        </w:tblBorders>
        <w:tblLayout w:type="fixed"/>
        <w:tblLook w:firstColumn="0" w:firstRow="0" w:lastColumn="0" w:lastRow="0" w:noHBand="0" w:noVBand="1" w:val="0400"/>
      </w:tblPr>
      <w:tblGrid>
        <w:gridCol w:w="9350"/>
      </w:tblGrid>
      <w:tr w14:paraId="7CAC18E0" w14:textId="77777777" w:rsidR="00D85401">
        <w:tc>
          <w:tcPr>
            <w:tcW w:type="dxa" w:w="9350"/>
            <w:shd w:color="auto" w:fill="DEEBF6" w:val="clear"/>
          </w:tcPr>
          <w:p w14:paraId="2B873294" w14:textId="77777777" w:rsidR="00D85401" w:rsidRDefault="00000000">
            <w:pPr>
              <w:numPr>
                <w:ilvl w:val="0"/>
                <w:numId w:val="14"/>
              </w:numPr>
              <w:pBdr>
                <w:top w:color="000000" w:space="0" w:sz="0" w:val="none"/>
                <w:left w:color="000000" w:space="0" w:sz="0" w:val="none"/>
                <w:bottom w:color="000000" w:space="0" w:sz="0" w:val="none"/>
                <w:right w:color="000000" w:space="0" w:sz="0" w:val="none"/>
                <w:between w:color="000000" w:space="0" w:sz="0" w:val="none"/>
              </w:pBdr>
              <w:shd w:color="auto" w:fill="DEEBF6" w:val="clear"/>
              <w:spacing w:after="200" w:line="276" w:lineRule="auto"/>
              <w:jc w:val="both"/>
              <w:rPr>
                <w:b/>
                <w:sz w:val="28"/>
                <w:szCs w:val="28"/>
              </w:rPr>
            </w:pPr>
            <w:bookmarkStart w:colFirst="0" w:colLast="0" w:id="3" w:name="_3znysh7"/>
            <w:bookmarkEnd w:id="3"/>
            <w:r>
              <w:rPr>
                <w:rFonts w:ascii="Arial" w:cs="Arial" w:eastAsia="Arial" w:hAnsi="Arial"/>
                <w:b/>
                <w:color w:val="0070E1"/>
                <w:sz w:val="28"/>
                <w:szCs w:val="28"/>
              </w:rPr>
              <w:t>MODALITÉ 3 : FORFAIT- JOURS</w:t>
            </w:r>
          </w:p>
        </w:tc>
      </w:tr>
    </w:tbl>
    <w:p w14:paraId="714343A8"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jc w:val="both"/>
        <w:rPr>
          <w:color w:val="333333"/>
          <w:sz w:val="23"/>
          <w:szCs w:val="23"/>
        </w:rPr>
      </w:pPr>
    </w:p>
    <w:p w14:paraId="3C876EA8"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jc w:val="both"/>
        <w:rPr>
          <w:color w:val="333333"/>
          <w:sz w:val="23"/>
          <w:szCs w:val="23"/>
        </w:rPr>
      </w:pPr>
    </w:p>
    <w:p w14:paraId="32ACE8CA" w14:textId="77777777" w:rsidR="00D85401" w:rsidRDefault="00000000">
      <w:pPr>
        <w:numPr>
          <w:ilvl w:val="0"/>
          <w:numId w:val="10"/>
        </w:numPr>
        <w:pBdr>
          <w:top w:color="000000" w:space="0" w:sz="0" w:val="none"/>
          <w:left w:color="000000" w:space="0" w:sz="0" w:val="none"/>
          <w:bottom w:color="000000" w:space="0" w:sz="0" w:val="none"/>
          <w:right w:color="000000" w:space="0" w:sz="0" w:val="none"/>
          <w:between w:color="000000" w:space="0" w:sz="0" w:val="none"/>
        </w:pBdr>
        <w:ind w:right="283"/>
        <w:rPr>
          <w:b/>
          <w:color w:val="0070E1"/>
          <w:sz w:val="28"/>
          <w:szCs w:val="28"/>
        </w:rPr>
      </w:pPr>
      <w:bookmarkStart w:colFirst="0" w:colLast="0" w:id="4" w:name="_2et92p0"/>
      <w:bookmarkEnd w:id="4"/>
      <w:r>
        <w:rPr>
          <w:b/>
          <w:color w:val="0070E1"/>
          <w:sz w:val="28"/>
          <w:szCs w:val="28"/>
        </w:rPr>
        <w:t>Comment fonctionne le forfait-jours chez KACTUS ?</w:t>
      </w:r>
    </w:p>
    <w:p w14:paraId="2E6B6B58"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left="720" w:right="283"/>
        <w:rPr>
          <w:b/>
          <w:color w:val="0070E1"/>
          <w:sz w:val="24"/>
          <w:szCs w:val="24"/>
        </w:rPr>
      </w:pPr>
    </w:p>
    <w:p w14:paraId="6A01E044" w14:textId="77777777" w:rsidR="00D85401" w:rsidRDefault="00000000">
      <w:pPr>
        <w:numPr>
          <w:ilvl w:val="1"/>
          <w:numId w:val="18"/>
        </w:numPr>
        <w:pBdr>
          <w:top w:color="000000" w:space="0" w:sz="0" w:val="none"/>
          <w:left w:color="000000" w:space="0" w:sz="0" w:val="none"/>
          <w:bottom w:color="000000" w:space="0" w:sz="0" w:val="none"/>
          <w:right w:color="000000" w:space="0" w:sz="0" w:val="none"/>
          <w:between w:color="000000" w:space="0" w:sz="0" w:val="none"/>
        </w:pBdr>
        <w:ind w:right="283"/>
        <w:rPr>
          <w:color w:val="0070E1"/>
        </w:rPr>
      </w:pPr>
      <w:r>
        <w:rPr>
          <w:b/>
          <w:color w:val="0070E1"/>
          <w:sz w:val="24"/>
          <w:szCs w:val="24"/>
        </w:rPr>
        <w:t>Les salariés concernés</w:t>
      </w:r>
    </w:p>
    <w:p w14:paraId="65056D9D"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left="1082" w:right="283"/>
        <w:rPr>
          <w:color w:val="19808C"/>
        </w:rPr>
      </w:pPr>
    </w:p>
    <w:p w14:paraId="1C4B02DE"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pacing w:after="200"/>
        <w:ind w:right="283"/>
        <w:jc w:val="both"/>
        <w:rPr>
          <w:b/>
          <w:color w:val="333333"/>
          <w:sz w:val="23"/>
          <w:szCs w:val="23"/>
        </w:rPr>
      </w:pPr>
      <w:r>
        <w:rPr>
          <w:color w:val="333333"/>
          <w:sz w:val="23"/>
          <w:szCs w:val="23"/>
        </w:rPr>
        <w:t xml:space="preserve">Le mécanisme du forfait en jours sur l'année tel que défini dans le présent accord pourra être proposé aux </w:t>
      </w:r>
      <w:r>
        <w:rPr>
          <w:b/>
          <w:color w:val="333333"/>
          <w:sz w:val="23"/>
          <w:szCs w:val="23"/>
        </w:rPr>
        <w:t>salariés qui remplissent les deux conditions suivantes :</w:t>
      </w:r>
    </w:p>
    <w:p w14:paraId="04B9C888" w14:textId="77777777" w:rsidR="00D85401" w:rsidRDefault="00000000">
      <w:pPr>
        <w:numPr>
          <w:ilvl w:val="0"/>
          <w:numId w:val="13"/>
        </w:numPr>
        <w:pBdr>
          <w:top w:color="000000" w:space="0" w:sz="0" w:val="none"/>
          <w:left w:color="000000" w:space="0" w:sz="0" w:val="none"/>
          <w:bottom w:color="000000" w:space="0" w:sz="0" w:val="none"/>
          <w:right w:color="000000" w:space="0" w:sz="0" w:val="none"/>
          <w:between w:color="000000" w:space="0" w:sz="0" w:val="none"/>
        </w:pBdr>
        <w:ind w:right="283"/>
        <w:jc w:val="both"/>
        <w:rPr>
          <w:b/>
          <w:color w:val="333333"/>
          <w:sz w:val="23"/>
          <w:szCs w:val="23"/>
        </w:rPr>
      </w:pPr>
      <w:r>
        <w:rPr>
          <w:b/>
          <w:color w:val="333333"/>
          <w:sz w:val="23"/>
          <w:szCs w:val="23"/>
        </w:rPr>
        <w:t xml:space="preserve">Occuper </w:t>
      </w:r>
      <w:r>
        <w:rPr>
          <w:color w:val="333333"/>
          <w:sz w:val="23"/>
          <w:szCs w:val="23"/>
        </w:rPr>
        <w:t xml:space="preserve">une classification </w:t>
      </w:r>
      <w:proofErr w:type="gramStart"/>
      <w:r>
        <w:rPr>
          <w:color w:val="333333"/>
          <w:sz w:val="23"/>
          <w:szCs w:val="23"/>
        </w:rPr>
        <w:t>Cadre ,</w:t>
      </w:r>
      <w:proofErr w:type="gramEnd"/>
      <w:r>
        <w:rPr>
          <w:color w:val="333333"/>
          <w:sz w:val="23"/>
          <w:szCs w:val="23"/>
        </w:rPr>
        <w:t xml:space="preserve"> position 2.2 a minima</w:t>
      </w:r>
    </w:p>
    <w:p w14:paraId="664EC0A0" w14:textId="77777777" w:rsidR="00D85401" w:rsidRDefault="00000000">
      <w:pPr>
        <w:numPr>
          <w:ilvl w:val="0"/>
          <w:numId w:val="13"/>
        </w:numPr>
        <w:pBdr>
          <w:top w:color="000000" w:space="0" w:sz="0" w:val="none"/>
          <w:left w:color="000000" w:space="0" w:sz="0" w:val="none"/>
          <w:bottom w:color="000000" w:space="0" w:sz="0" w:val="none"/>
          <w:right w:color="000000" w:space="0" w:sz="0" w:val="none"/>
          <w:between w:color="000000" w:space="0" w:sz="0" w:val="none"/>
        </w:pBdr>
        <w:spacing w:after="200"/>
        <w:ind w:right="283"/>
        <w:jc w:val="both"/>
        <w:rPr>
          <w:b/>
          <w:color w:val="333333"/>
          <w:sz w:val="23"/>
          <w:szCs w:val="23"/>
        </w:rPr>
      </w:pPr>
      <w:r>
        <w:rPr>
          <w:b/>
          <w:color w:val="333333"/>
          <w:sz w:val="23"/>
          <w:szCs w:val="23"/>
        </w:rPr>
        <w:t>Disposer d'une autonomie</w:t>
      </w:r>
      <w:r>
        <w:rPr>
          <w:color w:val="333333"/>
          <w:sz w:val="23"/>
          <w:szCs w:val="23"/>
        </w:rPr>
        <w:t xml:space="preserve"> liée à leur fonction dans l'organisation de leur emploi du temps et de leur travail.</w:t>
      </w:r>
    </w:p>
    <w:p w14:paraId="7640B54E"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pacing w:after="200"/>
        <w:ind w:right="283"/>
        <w:jc w:val="both"/>
        <w:rPr>
          <w:sz w:val="23"/>
          <w:szCs w:val="23"/>
        </w:rPr>
      </w:pPr>
      <w:r>
        <w:rPr>
          <w:b/>
          <w:sz w:val="23"/>
          <w:szCs w:val="23"/>
        </w:rPr>
        <w:lastRenderedPageBreak/>
        <w:t>Les postes de la société KACTUS</w:t>
      </w:r>
      <w:r>
        <w:rPr>
          <w:sz w:val="23"/>
          <w:szCs w:val="23"/>
        </w:rPr>
        <w:t xml:space="preserve"> qui remplissent les conditions susvisées et qui peuvent bénéficier d'une convention de forfait en jours sur l'année, sont à la date du présent accord :</w:t>
      </w:r>
    </w:p>
    <w:p w14:paraId="2B7862DB" w14:textId="77777777" w:rsidR="00D85401" w:rsidRDefault="00000000">
      <w:pPr>
        <w:numPr>
          <w:ilvl w:val="0"/>
          <w:numId w:val="11"/>
        </w:numPr>
        <w:pBdr>
          <w:top w:color="000000" w:space="0" w:sz="0" w:val="none"/>
          <w:left w:color="000000" w:space="0" w:sz="0" w:val="none"/>
          <w:bottom w:color="000000" w:space="0" w:sz="0" w:val="none"/>
          <w:right w:color="000000" w:space="0" w:sz="0" w:val="none"/>
          <w:between w:color="000000" w:space="0" w:sz="0" w:val="none"/>
        </w:pBdr>
        <w:spacing w:line="240" w:lineRule="auto"/>
        <w:ind w:right="284"/>
        <w:jc w:val="both"/>
        <w:rPr>
          <w:sz w:val="23"/>
          <w:szCs w:val="23"/>
          <w:highlight w:val="white"/>
        </w:rPr>
      </w:pPr>
      <w:proofErr w:type="spellStart"/>
      <w:r>
        <w:rPr>
          <w:sz w:val="23"/>
          <w:szCs w:val="23"/>
          <w:highlight w:val="white"/>
        </w:rPr>
        <w:t>Supply</w:t>
      </w:r>
      <w:proofErr w:type="spellEnd"/>
      <w:r>
        <w:rPr>
          <w:sz w:val="23"/>
          <w:szCs w:val="23"/>
          <w:highlight w:val="white"/>
        </w:rPr>
        <w:t xml:space="preserve"> Manager</w:t>
      </w:r>
    </w:p>
    <w:p w14:paraId="4475263A" w14:textId="77777777" w:rsidR="00D85401" w:rsidRDefault="00000000">
      <w:pPr>
        <w:numPr>
          <w:ilvl w:val="0"/>
          <w:numId w:val="11"/>
        </w:numPr>
        <w:pBdr>
          <w:top w:color="000000" w:space="0" w:sz="0" w:val="none"/>
          <w:left w:color="000000" w:space="0" w:sz="0" w:val="none"/>
          <w:bottom w:color="000000" w:space="0" w:sz="0" w:val="none"/>
          <w:right w:color="000000" w:space="0" w:sz="0" w:val="none"/>
          <w:between w:color="000000" w:space="0" w:sz="0" w:val="none"/>
        </w:pBdr>
        <w:spacing w:line="240" w:lineRule="auto"/>
        <w:ind w:right="284"/>
        <w:jc w:val="both"/>
        <w:rPr>
          <w:sz w:val="23"/>
          <w:szCs w:val="23"/>
          <w:highlight w:val="white"/>
        </w:rPr>
      </w:pPr>
      <w:proofErr w:type="spellStart"/>
      <w:r>
        <w:rPr>
          <w:sz w:val="23"/>
          <w:szCs w:val="23"/>
          <w:highlight w:val="white"/>
        </w:rPr>
        <w:t>Event</w:t>
      </w:r>
      <w:proofErr w:type="spellEnd"/>
      <w:r>
        <w:rPr>
          <w:sz w:val="23"/>
          <w:szCs w:val="23"/>
          <w:highlight w:val="white"/>
        </w:rPr>
        <w:t xml:space="preserve"> Expert Manager</w:t>
      </w:r>
    </w:p>
    <w:p w14:paraId="5D486186" w14:textId="77777777" w:rsidR="00D85401" w:rsidRDefault="00000000">
      <w:pPr>
        <w:numPr>
          <w:ilvl w:val="0"/>
          <w:numId w:val="11"/>
        </w:numPr>
        <w:pBdr>
          <w:top w:color="000000" w:space="0" w:sz="0" w:val="none"/>
          <w:left w:color="000000" w:space="0" w:sz="0" w:val="none"/>
          <w:bottom w:color="000000" w:space="0" w:sz="0" w:val="none"/>
          <w:right w:color="000000" w:space="0" w:sz="0" w:val="none"/>
          <w:between w:color="000000" w:space="0" w:sz="0" w:val="none"/>
        </w:pBdr>
        <w:spacing w:line="240" w:lineRule="auto"/>
        <w:ind w:right="284"/>
        <w:jc w:val="both"/>
        <w:rPr>
          <w:sz w:val="23"/>
          <w:szCs w:val="23"/>
          <w:highlight w:val="white"/>
        </w:rPr>
      </w:pPr>
      <w:r>
        <w:rPr>
          <w:sz w:val="23"/>
          <w:szCs w:val="23"/>
          <w:highlight w:val="white"/>
        </w:rPr>
        <w:t>Customer and Partner Service Manager</w:t>
      </w:r>
    </w:p>
    <w:p w14:paraId="3CD24572"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spacing w:after="200"/>
        <w:ind w:right="283"/>
        <w:jc w:val="both"/>
        <w:rPr>
          <w:sz w:val="23"/>
          <w:szCs w:val="23"/>
        </w:rPr>
      </w:pPr>
    </w:p>
    <w:p w14:paraId="69BEF23D"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pacing w:after="200"/>
        <w:ind w:right="283"/>
        <w:jc w:val="both"/>
        <w:rPr>
          <w:sz w:val="23"/>
          <w:szCs w:val="23"/>
        </w:rPr>
      </w:pPr>
      <w:bookmarkStart w:colFirst="0" w:colLast="0" w:id="5" w:name="_tyjcwt"/>
      <w:bookmarkEnd w:id="5"/>
      <w:r>
        <w:rPr>
          <w:sz w:val="23"/>
          <w:szCs w:val="23"/>
        </w:rPr>
        <w:t>Tout autre poste de cadre autonome susceptible d'être créé pourrait bénéficier d'une convention individuelle de forfait jours.</w:t>
      </w:r>
    </w:p>
    <w:p w14:paraId="5D600778" w14:textId="77777777" w:rsidR="00D85401" w:rsidRDefault="00000000">
      <w:pPr>
        <w:numPr>
          <w:ilvl w:val="1"/>
          <w:numId w:val="18"/>
        </w:numPr>
        <w:pBdr>
          <w:top w:color="000000" w:space="0" w:sz="0" w:val="none"/>
          <w:left w:color="000000" w:space="0" w:sz="0" w:val="none"/>
          <w:bottom w:color="000000" w:space="0" w:sz="0" w:val="none"/>
          <w:right w:color="000000" w:space="0" w:sz="0" w:val="none"/>
          <w:between w:color="000000" w:space="0" w:sz="0" w:val="none"/>
        </w:pBdr>
        <w:ind w:right="283"/>
        <w:rPr>
          <w:color w:val="0070E1"/>
        </w:rPr>
      </w:pPr>
      <w:r>
        <w:rPr>
          <w:b/>
          <w:color w:val="0070E1"/>
          <w:sz w:val="24"/>
          <w:szCs w:val="24"/>
        </w:rPr>
        <w:t>Le mécanisme</w:t>
      </w:r>
    </w:p>
    <w:p w14:paraId="480B635B"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shd w:color="auto" w:fill="FFFFFF" w:val="clear"/>
        <w:spacing w:line="240" w:lineRule="auto"/>
        <w:ind w:right="283"/>
        <w:jc w:val="both"/>
        <w:rPr>
          <w:color w:val="333333"/>
          <w:sz w:val="23"/>
          <w:szCs w:val="23"/>
        </w:rPr>
      </w:pPr>
    </w:p>
    <w:p w14:paraId="77EF6EF3"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hd w:color="auto" w:fill="FFFFFF" w:val="clear"/>
        <w:spacing w:line="240" w:lineRule="auto"/>
        <w:ind w:right="283"/>
        <w:jc w:val="both"/>
        <w:rPr>
          <w:color w:val="333333"/>
          <w:sz w:val="23"/>
          <w:szCs w:val="23"/>
        </w:rPr>
      </w:pPr>
      <w:r>
        <w:rPr>
          <w:color w:val="333333"/>
          <w:sz w:val="23"/>
          <w:szCs w:val="23"/>
        </w:rPr>
        <w:t xml:space="preserve">Le forfait annuel en jours est un mode d’organisation du temps de travail qui permet de décompter la durée du travail en </w:t>
      </w:r>
      <w:r>
        <w:rPr>
          <w:b/>
          <w:color w:val="333333"/>
          <w:sz w:val="23"/>
          <w:szCs w:val="23"/>
        </w:rPr>
        <w:t>nombre de jours sur l’année</w:t>
      </w:r>
      <w:r>
        <w:rPr>
          <w:color w:val="333333"/>
          <w:sz w:val="23"/>
          <w:szCs w:val="23"/>
        </w:rPr>
        <w:t>, et non plus en heures sur la semaine comme le prévoit le système légal des 35 heures.</w:t>
      </w:r>
    </w:p>
    <w:p w14:paraId="378058C3"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shd w:color="auto" w:fill="FFFFFF" w:val="clear"/>
        <w:spacing w:line="240" w:lineRule="auto"/>
        <w:ind w:right="283"/>
        <w:jc w:val="both"/>
        <w:rPr>
          <w:color w:val="333333"/>
          <w:sz w:val="23"/>
          <w:szCs w:val="23"/>
        </w:rPr>
      </w:pPr>
    </w:p>
    <w:p w14:paraId="51DA0DAD"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hd w:color="auto" w:fill="FFFFFF" w:val="clear"/>
        <w:spacing w:line="240" w:lineRule="auto"/>
        <w:ind w:right="283"/>
        <w:jc w:val="both"/>
        <w:rPr>
          <w:color w:val="333333"/>
          <w:sz w:val="23"/>
          <w:szCs w:val="23"/>
        </w:rPr>
      </w:pPr>
      <w:r>
        <w:rPr>
          <w:color w:val="333333"/>
          <w:sz w:val="23"/>
          <w:szCs w:val="23"/>
        </w:rPr>
        <w:t xml:space="preserve">Le forfait-jour proposé par la société KACTUS est un forfait de </w:t>
      </w:r>
      <w:r>
        <w:rPr>
          <w:b/>
          <w:color w:val="333333"/>
          <w:sz w:val="23"/>
          <w:szCs w:val="23"/>
        </w:rPr>
        <w:t>218 jours de travail par an</w:t>
      </w:r>
      <w:r>
        <w:rPr>
          <w:color w:val="333333"/>
          <w:sz w:val="23"/>
          <w:szCs w:val="23"/>
        </w:rPr>
        <w:t>. La période de référence est l’année civile, donc du 1</w:t>
      </w:r>
      <w:r>
        <w:rPr>
          <w:color w:val="333333"/>
          <w:sz w:val="23"/>
          <w:szCs w:val="23"/>
          <w:vertAlign w:val="superscript"/>
        </w:rPr>
        <w:t>er</w:t>
      </w:r>
      <w:r>
        <w:rPr>
          <w:color w:val="333333"/>
          <w:sz w:val="23"/>
          <w:szCs w:val="23"/>
        </w:rPr>
        <w:t xml:space="preserve"> janvier au 31 décembre de chaque année. Ce forfait de 218 jours correspond à une année complète de travail et est déterminé sur la base d'un droit intégral à congés payés. La journée de solidarité est incluse dans le forfait.</w:t>
      </w:r>
    </w:p>
    <w:p w14:paraId="354B81B6"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shd w:color="auto" w:fill="FFFFFF" w:val="clear"/>
        <w:spacing w:line="240" w:lineRule="auto"/>
        <w:ind w:right="283"/>
        <w:jc w:val="both"/>
        <w:rPr>
          <w:color w:val="333333"/>
          <w:sz w:val="23"/>
          <w:szCs w:val="23"/>
        </w:rPr>
      </w:pPr>
    </w:p>
    <w:p w14:paraId="2CBBF11E"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hd w:color="auto" w:fill="FFFFFF" w:val="clear"/>
        <w:spacing w:line="240" w:lineRule="auto"/>
        <w:ind w:right="283"/>
        <w:jc w:val="both"/>
        <w:rPr>
          <w:color w:val="333333"/>
          <w:sz w:val="23"/>
          <w:szCs w:val="23"/>
        </w:rPr>
      </w:pPr>
      <w:r>
        <w:rPr>
          <w:color w:val="333333"/>
          <w:sz w:val="23"/>
          <w:szCs w:val="23"/>
        </w:rPr>
        <w:t xml:space="preserve">Ce plafond de 218 jours de travail par an génère en contrepartie l’octroi d’un certain nombre de jours non travaillés, </w:t>
      </w:r>
      <w:r>
        <w:rPr>
          <w:b/>
          <w:color w:val="333333"/>
          <w:sz w:val="23"/>
          <w:szCs w:val="23"/>
        </w:rPr>
        <w:t>les jours de repos</w:t>
      </w:r>
      <w:r>
        <w:rPr>
          <w:color w:val="333333"/>
          <w:sz w:val="23"/>
          <w:szCs w:val="23"/>
        </w:rPr>
        <w:t>, dont le nombre est calculé chaque année au début de la période de référence.</w:t>
      </w:r>
    </w:p>
    <w:p w14:paraId="411DE91C"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rPr>
          <w:color w:val="333333"/>
          <w:sz w:val="23"/>
          <w:szCs w:val="23"/>
        </w:rPr>
      </w:pPr>
    </w:p>
    <w:p w14:paraId="3384AF83"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ind w:right="283"/>
        <w:jc w:val="both"/>
        <w:rPr>
          <w:color w:val="333333"/>
          <w:sz w:val="23"/>
          <w:szCs w:val="23"/>
        </w:rPr>
      </w:pPr>
      <w:bookmarkStart w:colFirst="0" w:colLast="0" w:id="6" w:name="_3dy6vkm"/>
      <w:bookmarkEnd w:id="6"/>
      <w:r>
        <w:rPr>
          <w:color w:val="333333"/>
          <w:sz w:val="23"/>
          <w:szCs w:val="23"/>
        </w:rPr>
        <w:t xml:space="preserve">La rémunération mensuelle est déconnectée du nombre de jours travaillés dans le mois. Elle est fixée pour une année complète de travail et versée par douzième. </w:t>
      </w:r>
      <w:r>
        <w:rPr>
          <w:sz w:val="23"/>
          <w:szCs w:val="23"/>
        </w:rPr>
        <w:t>Le bulletin de paie fait apparaître le nombre de jours fixés dans la convention individuelle ainsi que la rémunération mensuelle forfaitaire lissée.</w:t>
      </w:r>
    </w:p>
    <w:p w14:paraId="044E145A"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spacing w:after="200"/>
        <w:ind w:right="283"/>
      </w:pPr>
    </w:p>
    <w:p w14:paraId="426F796B" w14:textId="77777777" w:rsidR="00D85401" w:rsidRDefault="00000000">
      <w:pPr>
        <w:numPr>
          <w:ilvl w:val="1"/>
          <w:numId w:val="18"/>
        </w:numPr>
        <w:pBdr>
          <w:top w:color="000000" w:space="0" w:sz="0" w:val="none"/>
          <w:left w:color="000000" w:space="0" w:sz="0" w:val="none"/>
          <w:bottom w:color="000000" w:space="0" w:sz="0" w:val="none"/>
          <w:right w:color="000000" w:space="0" w:sz="0" w:val="none"/>
          <w:between w:color="000000" w:space="0" w:sz="0" w:val="none"/>
        </w:pBdr>
        <w:ind w:right="283"/>
        <w:rPr>
          <w:color w:val="0070E1"/>
          <w:sz w:val="24"/>
          <w:szCs w:val="24"/>
        </w:rPr>
      </w:pPr>
      <w:r>
        <w:rPr>
          <w:b/>
          <w:color w:val="0070E1"/>
          <w:sz w:val="24"/>
          <w:szCs w:val="24"/>
        </w:rPr>
        <w:t>Les jours de repos</w:t>
      </w:r>
    </w:p>
    <w:p w14:paraId="4991C49A"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left="1440" w:right="283"/>
        <w:rPr>
          <w:b/>
          <w:color w:val="1D72B2"/>
          <w:sz w:val="24"/>
          <w:szCs w:val="24"/>
        </w:rPr>
      </w:pPr>
    </w:p>
    <w:p w14:paraId="783033C4"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pacing w:after="200"/>
        <w:ind w:right="283"/>
        <w:jc w:val="both"/>
        <w:rPr>
          <w:sz w:val="23"/>
          <w:szCs w:val="23"/>
        </w:rPr>
      </w:pPr>
      <w:r>
        <w:rPr>
          <w:sz w:val="23"/>
          <w:szCs w:val="23"/>
        </w:rPr>
        <w:t>Le nombre de jours de repos est calculé chaque année au début de la période de référence. Il est susceptible de changer d'une période annuelle de décompte à l'autre, en fonction des variations du calendrier (notamment le nombre de jours fériés).</w:t>
      </w:r>
    </w:p>
    <w:p w14:paraId="6C3ECEA7"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pacing w:after="200"/>
        <w:ind w:right="283"/>
        <w:jc w:val="both"/>
        <w:rPr>
          <w:sz w:val="23"/>
          <w:szCs w:val="23"/>
        </w:rPr>
      </w:pPr>
      <w:r>
        <w:rPr>
          <w:sz w:val="23"/>
          <w:szCs w:val="23"/>
        </w:rPr>
        <w:t>Le nombre de jours de repos est ainsi déterminé en fonction du nombre de jours travaillés sur la période de référence, selon la méthode de calcul suivante :</w:t>
      </w:r>
    </w:p>
    <w:p w14:paraId="408ABE99"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pacing w:after="200"/>
        <w:ind w:right="283"/>
        <w:jc w:val="both"/>
        <w:rPr>
          <w:sz w:val="23"/>
          <w:szCs w:val="23"/>
        </w:rPr>
      </w:pPr>
      <w:r>
        <w:rPr>
          <w:sz w:val="23"/>
          <w:szCs w:val="23"/>
        </w:rPr>
        <w:t>Nombre de jours calendaires sur la période de référence </w:t>
      </w:r>
      <w:r>
        <w:rPr>
          <w:i/>
          <w:sz w:val="23"/>
          <w:szCs w:val="23"/>
        </w:rPr>
        <w:t>(365)</w:t>
      </w:r>
    </w:p>
    <w:p w14:paraId="25BEDD02" w14:textId="77777777" w:rsidR="00D85401" w:rsidRDefault="00000000">
      <w:pPr>
        <w:numPr>
          <w:ilvl w:val="0"/>
          <w:numId w:val="6"/>
        </w:numPr>
        <w:pBdr>
          <w:top w:color="000000" w:space="0" w:sz="0" w:val="none"/>
          <w:left w:color="000000" w:space="0" w:sz="0" w:val="none"/>
          <w:bottom w:color="000000" w:space="0" w:sz="0" w:val="none"/>
          <w:right w:color="000000" w:space="0" w:sz="0" w:val="none"/>
          <w:between w:color="000000" w:space="0" w:sz="0" w:val="none"/>
        </w:pBdr>
        <w:spacing w:line="240" w:lineRule="auto"/>
        <w:ind w:right="283"/>
        <w:jc w:val="both"/>
        <w:rPr>
          <w:sz w:val="23"/>
          <w:szCs w:val="23"/>
        </w:rPr>
      </w:pPr>
      <w:r>
        <w:rPr>
          <w:sz w:val="23"/>
          <w:szCs w:val="23"/>
        </w:rPr>
        <w:t>Nombre de jours ouvrés de congés payés</w:t>
      </w:r>
      <w:r>
        <w:rPr>
          <w:i/>
          <w:sz w:val="23"/>
          <w:szCs w:val="23"/>
        </w:rPr>
        <w:t> (25 pour un droit acquis complet)</w:t>
      </w:r>
    </w:p>
    <w:p w14:paraId="26315F02" w14:textId="77777777" w:rsidR="00D85401" w:rsidRDefault="00000000">
      <w:pPr>
        <w:numPr>
          <w:ilvl w:val="0"/>
          <w:numId w:val="6"/>
        </w:numPr>
        <w:pBdr>
          <w:top w:color="000000" w:space="0" w:sz="0" w:val="none"/>
          <w:left w:color="000000" w:space="0" w:sz="0" w:val="none"/>
          <w:bottom w:color="000000" w:space="0" w:sz="0" w:val="none"/>
          <w:right w:color="000000" w:space="0" w:sz="0" w:val="none"/>
          <w:between w:color="000000" w:space="0" w:sz="0" w:val="none"/>
        </w:pBdr>
        <w:spacing w:line="240" w:lineRule="auto"/>
        <w:ind w:right="283"/>
        <w:jc w:val="both"/>
        <w:rPr>
          <w:sz w:val="23"/>
          <w:szCs w:val="23"/>
        </w:rPr>
      </w:pPr>
      <w:r>
        <w:rPr>
          <w:sz w:val="23"/>
          <w:szCs w:val="23"/>
        </w:rPr>
        <w:t>Nombre de jours fériés chômés </w:t>
      </w:r>
      <w:r>
        <w:rPr>
          <w:i/>
          <w:sz w:val="23"/>
          <w:szCs w:val="23"/>
        </w:rPr>
        <w:t>(peut varier en fonction des aléas du calendrier)</w:t>
      </w:r>
    </w:p>
    <w:p w14:paraId="4F169BEE" w14:textId="77777777" w:rsidR="00D85401" w:rsidRDefault="00000000">
      <w:pPr>
        <w:numPr>
          <w:ilvl w:val="0"/>
          <w:numId w:val="6"/>
        </w:numPr>
        <w:pBdr>
          <w:top w:color="000000" w:space="0" w:sz="0" w:val="none"/>
          <w:left w:color="000000" w:space="0" w:sz="0" w:val="none"/>
          <w:bottom w:color="000000" w:space="0" w:sz="0" w:val="none"/>
          <w:right w:color="000000" w:space="0" w:sz="0" w:val="none"/>
          <w:between w:color="000000" w:space="0" w:sz="0" w:val="none"/>
        </w:pBdr>
        <w:spacing w:line="240" w:lineRule="auto"/>
        <w:ind w:right="283"/>
        <w:jc w:val="both"/>
        <w:rPr>
          <w:i/>
          <w:sz w:val="23"/>
          <w:szCs w:val="23"/>
        </w:rPr>
      </w:pPr>
      <w:r>
        <w:rPr>
          <w:sz w:val="23"/>
          <w:szCs w:val="23"/>
        </w:rPr>
        <w:t xml:space="preserve">Nombre de jours de repos hebdomadaires </w:t>
      </w:r>
      <w:r>
        <w:rPr>
          <w:i/>
          <w:sz w:val="23"/>
          <w:szCs w:val="23"/>
        </w:rPr>
        <w:t xml:space="preserve">(104) </w:t>
      </w:r>
    </w:p>
    <w:p w14:paraId="3168C8E3" w14:textId="77777777" w:rsidR="00D85401" w:rsidRDefault="00000000">
      <w:pPr>
        <w:numPr>
          <w:ilvl w:val="0"/>
          <w:numId w:val="6"/>
        </w:numPr>
        <w:pBdr>
          <w:top w:color="000000" w:space="0" w:sz="0" w:val="none"/>
          <w:left w:color="000000" w:space="0" w:sz="0" w:val="none"/>
          <w:bottom w:color="000000" w:space="0" w:sz="0" w:val="none"/>
          <w:right w:color="000000" w:space="0" w:sz="0" w:val="none"/>
          <w:between w:color="000000" w:space="0" w:sz="0" w:val="none"/>
        </w:pBdr>
        <w:spacing w:line="240" w:lineRule="auto"/>
        <w:ind w:right="283"/>
        <w:jc w:val="both"/>
        <w:rPr>
          <w:i/>
          <w:sz w:val="23"/>
          <w:szCs w:val="23"/>
        </w:rPr>
      </w:pPr>
      <w:r>
        <w:rPr>
          <w:sz w:val="23"/>
          <w:szCs w:val="23"/>
        </w:rPr>
        <w:t>Nombre de jours travaillés du forfait</w:t>
      </w:r>
      <w:r>
        <w:rPr>
          <w:i/>
          <w:sz w:val="23"/>
          <w:szCs w:val="23"/>
        </w:rPr>
        <w:t xml:space="preserve"> (218)</w:t>
      </w:r>
    </w:p>
    <w:p w14:paraId="1BEF74A0"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spacing w:line="240" w:lineRule="auto"/>
        <w:ind w:left="720" w:right="283"/>
        <w:jc w:val="both"/>
        <w:rPr>
          <w:sz w:val="23"/>
          <w:szCs w:val="23"/>
        </w:rPr>
      </w:pPr>
    </w:p>
    <w:p w14:paraId="4C59CE87"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pacing w:after="200"/>
        <w:ind w:right="283"/>
        <w:jc w:val="both"/>
        <w:rPr>
          <w:b/>
          <w:sz w:val="23"/>
          <w:szCs w:val="23"/>
        </w:rPr>
      </w:pPr>
      <w:r>
        <w:rPr>
          <w:sz w:val="23"/>
          <w:szCs w:val="23"/>
        </w:rPr>
        <w:t>= </w:t>
      </w:r>
      <w:r>
        <w:rPr>
          <w:b/>
          <w:sz w:val="23"/>
          <w:szCs w:val="23"/>
        </w:rPr>
        <w:t>nombre de jours de repos sur l’année</w:t>
      </w:r>
    </w:p>
    <w:p w14:paraId="2C54F7EC"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pacing w:after="200"/>
        <w:ind w:right="283"/>
        <w:jc w:val="both"/>
        <w:rPr>
          <w:sz w:val="23"/>
          <w:szCs w:val="23"/>
        </w:rPr>
      </w:pPr>
      <w:r>
        <w:rPr>
          <w:sz w:val="23"/>
          <w:szCs w:val="23"/>
        </w:rPr>
        <w:lastRenderedPageBreak/>
        <w:t>Les jours de repos s'acquièrent mensuellement à due proportion du nombre de jours de repos dus sur la période de référence.</w:t>
      </w:r>
    </w:p>
    <w:p w14:paraId="52B7DB45"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rPr>
          <w:b/>
          <w:color w:val="1D72B2"/>
          <w:sz w:val="24"/>
          <w:szCs w:val="24"/>
        </w:rPr>
      </w:pPr>
    </w:p>
    <w:p w14:paraId="7263CB4B" w14:textId="77777777" w:rsidR="00D85401" w:rsidRDefault="00000000">
      <w:pPr>
        <w:numPr>
          <w:ilvl w:val="1"/>
          <w:numId w:val="18"/>
        </w:numPr>
        <w:pBdr>
          <w:top w:color="000000" w:space="0" w:sz="0" w:val="none"/>
          <w:left w:color="000000" w:space="0" w:sz="0" w:val="none"/>
          <w:bottom w:color="000000" w:space="0" w:sz="0" w:val="none"/>
          <w:right w:color="000000" w:space="0" w:sz="0" w:val="none"/>
          <w:between w:color="000000" w:space="0" w:sz="0" w:val="none"/>
        </w:pBdr>
        <w:ind w:right="283"/>
        <w:rPr>
          <w:color w:val="0070E1"/>
          <w:sz w:val="24"/>
          <w:szCs w:val="24"/>
        </w:rPr>
      </w:pPr>
      <w:r>
        <w:rPr>
          <w:b/>
          <w:color w:val="0070E1"/>
          <w:sz w:val="24"/>
          <w:szCs w:val="24"/>
        </w:rPr>
        <w:t>Les modalités de prise des jours de repos</w:t>
      </w:r>
    </w:p>
    <w:p w14:paraId="797AE54B"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rPr>
          <w:b/>
          <w:color w:val="1D72B2"/>
          <w:sz w:val="24"/>
          <w:szCs w:val="24"/>
        </w:rPr>
      </w:pPr>
    </w:p>
    <w:p w14:paraId="7ABB618F"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pacing w:after="200"/>
        <w:ind w:right="283"/>
        <w:jc w:val="both"/>
        <w:rPr>
          <w:sz w:val="23"/>
          <w:szCs w:val="23"/>
        </w:rPr>
      </w:pPr>
      <w:r>
        <w:rPr>
          <w:sz w:val="23"/>
          <w:szCs w:val="23"/>
        </w:rPr>
        <w:t>Les jours de repos sont pris par demi-journée ou par journée entière. Le positionnement des jours de repos se fait pour moitié au choix du salarié, pour moitié par décision de l’employeur, en tenant compte des besoins et des impératifs liés au bon fonctionnement de l’entreprise.</w:t>
      </w:r>
    </w:p>
    <w:p w14:paraId="019A99C6"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pacing w:after="200"/>
        <w:ind w:right="283"/>
        <w:jc w:val="both"/>
        <w:rPr>
          <w:sz w:val="23"/>
          <w:szCs w:val="23"/>
        </w:rPr>
      </w:pPr>
      <w:r>
        <w:rPr>
          <w:sz w:val="23"/>
          <w:szCs w:val="23"/>
        </w:rPr>
        <w:t xml:space="preserve">Le salarié doit déposer sa demande de jour de repos via le Système d'information de gestion des ressources humaines (SIRH) utilisé par la société en respectant un délai de prévenance de </w:t>
      </w:r>
      <w:r>
        <w:rPr>
          <w:b/>
          <w:sz w:val="23"/>
          <w:szCs w:val="23"/>
        </w:rPr>
        <w:t>7 jours ouvrés</w:t>
      </w:r>
      <w:r>
        <w:rPr>
          <w:sz w:val="23"/>
          <w:szCs w:val="23"/>
        </w:rPr>
        <w:t>.</w:t>
      </w:r>
    </w:p>
    <w:p w14:paraId="2309E6EC"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pacing w:after="200"/>
        <w:ind w:right="283"/>
        <w:jc w:val="both"/>
        <w:rPr>
          <w:sz w:val="23"/>
          <w:szCs w:val="23"/>
        </w:rPr>
      </w:pPr>
      <w:r>
        <w:rPr>
          <w:sz w:val="23"/>
          <w:szCs w:val="23"/>
        </w:rPr>
        <w:t xml:space="preserve">La demande est ensuite validée par le manager dans un délai de </w:t>
      </w:r>
      <w:r>
        <w:rPr>
          <w:b/>
          <w:sz w:val="23"/>
          <w:szCs w:val="23"/>
        </w:rPr>
        <w:t>5 jours ouvrés</w:t>
      </w:r>
      <w:r>
        <w:rPr>
          <w:sz w:val="23"/>
          <w:szCs w:val="23"/>
        </w:rPr>
        <w:t>. La société se réserve la possibilité, pour des considérations de charge de travail ponctuelle, de demander au salarié de différer la prise des jours de repos demandés.</w:t>
      </w:r>
    </w:p>
    <w:p w14:paraId="4DECA2BB"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pacing w:after="200"/>
        <w:ind w:right="283"/>
        <w:jc w:val="both"/>
        <w:rPr>
          <w:sz w:val="23"/>
          <w:szCs w:val="23"/>
        </w:rPr>
      </w:pPr>
      <w:r>
        <w:rPr>
          <w:sz w:val="23"/>
          <w:szCs w:val="23"/>
        </w:rPr>
        <w:t>Les jours de repos doivent être pris sur la période de référence. Le report sur l'année suivante n’est pas possible (sauf cas légaux de report obligatoires) ; les jours de repos non pris à la fin de l’année civile sont en principe perdus, et ne donnent pas lieu à rémunération.</w:t>
      </w:r>
    </w:p>
    <w:p w14:paraId="0A2BD1B7"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pacing w:after="200"/>
        <w:ind w:right="283"/>
        <w:jc w:val="both"/>
        <w:rPr>
          <w:sz w:val="23"/>
          <w:szCs w:val="23"/>
        </w:rPr>
      </w:pPr>
      <w:r>
        <w:rPr>
          <w:sz w:val="23"/>
          <w:szCs w:val="23"/>
        </w:rPr>
        <w:t xml:space="preserve">Néanmoins, à titre exceptionnel, et sous réserve pour le salarié de former une </w:t>
      </w:r>
      <w:r>
        <w:rPr>
          <w:b/>
          <w:sz w:val="23"/>
          <w:szCs w:val="23"/>
        </w:rPr>
        <w:t>demande motivée</w:t>
      </w:r>
      <w:r>
        <w:rPr>
          <w:sz w:val="23"/>
          <w:szCs w:val="23"/>
        </w:rPr>
        <w:t xml:space="preserve"> auprès de son manager qui doit être acceptée par ce dernier, un maximum de 2 jours de repos peuvent être pris après le terme de la période de référence, au plus tard à la fin du mois de février de chaque année.</w:t>
      </w:r>
    </w:p>
    <w:p w14:paraId="4E191952"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pacing w:after="200"/>
        <w:ind w:right="283"/>
        <w:jc w:val="both"/>
        <w:rPr>
          <w:sz w:val="23"/>
          <w:szCs w:val="23"/>
        </w:rPr>
      </w:pPr>
      <w:r>
        <w:rPr>
          <w:sz w:val="23"/>
          <w:szCs w:val="23"/>
        </w:rPr>
        <w:t>Un bilan est effectué lors des entretiens de suivi semestriels sur le nombre de jours pris et le nombre de jours restant à prendre sur l’année.</w:t>
      </w:r>
    </w:p>
    <w:p w14:paraId="33ED2F57"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rPr>
          <w:b/>
          <w:color w:val="1D72B2"/>
          <w:sz w:val="24"/>
          <w:szCs w:val="24"/>
        </w:rPr>
      </w:pPr>
    </w:p>
    <w:p w14:paraId="2D3DDA33" w14:textId="77777777" w:rsidR="00D85401" w:rsidRDefault="00000000">
      <w:pPr>
        <w:numPr>
          <w:ilvl w:val="1"/>
          <w:numId w:val="18"/>
        </w:numPr>
        <w:pBdr>
          <w:top w:color="000000" w:space="0" w:sz="0" w:val="none"/>
          <w:left w:color="000000" w:space="0" w:sz="0" w:val="none"/>
          <w:bottom w:color="000000" w:space="0" w:sz="0" w:val="none"/>
          <w:right w:color="000000" w:space="0" w:sz="0" w:val="none"/>
          <w:between w:color="000000" w:space="0" w:sz="0" w:val="none"/>
        </w:pBdr>
        <w:ind w:right="283"/>
        <w:rPr>
          <w:color w:val="0070E1"/>
          <w:sz w:val="24"/>
          <w:szCs w:val="24"/>
        </w:rPr>
      </w:pPr>
      <w:r>
        <w:rPr>
          <w:b/>
          <w:color w:val="0070E1"/>
          <w:sz w:val="24"/>
          <w:szCs w:val="24"/>
        </w:rPr>
        <w:t>L'incidence des absences en cours d'année</w:t>
      </w:r>
    </w:p>
    <w:p w14:paraId="38E895D8"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jc w:val="both"/>
        <w:rPr>
          <w:color w:val="333333"/>
          <w:sz w:val="23"/>
          <w:szCs w:val="23"/>
          <w:highlight w:val="white"/>
        </w:rPr>
      </w:pPr>
    </w:p>
    <w:p w14:paraId="4DC9459A"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ind w:right="283"/>
        <w:jc w:val="both"/>
        <w:rPr>
          <w:b/>
          <w:color w:val="1D72B2"/>
          <w:sz w:val="23"/>
          <w:szCs w:val="23"/>
        </w:rPr>
      </w:pPr>
      <w:r>
        <w:rPr>
          <w:color w:val="333333"/>
          <w:sz w:val="23"/>
          <w:szCs w:val="23"/>
          <w:highlight w:val="white"/>
        </w:rPr>
        <w:t xml:space="preserve">Les jours d’absences assimilés à du temps de travail effectif sont déduits du forfait de 218 jours annuel de travail. Les autres jours d’absences non rémunérés sont déduits du nombre de jours de repos annuel et sont le cas échéant susceptibles d’entraîner une retenue sur le montant mensuel de la rémunération. </w:t>
      </w:r>
    </w:p>
    <w:p w14:paraId="3D7FFF62"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rPr>
          <w:b/>
          <w:color w:val="19808C"/>
          <w:sz w:val="24"/>
          <w:szCs w:val="24"/>
        </w:rPr>
      </w:pPr>
    </w:p>
    <w:p w14:paraId="727535A7" w14:textId="77777777" w:rsidR="00D85401" w:rsidRDefault="00000000">
      <w:pPr>
        <w:numPr>
          <w:ilvl w:val="1"/>
          <w:numId w:val="18"/>
        </w:numPr>
        <w:pBdr>
          <w:top w:color="000000" w:space="0" w:sz="0" w:val="none"/>
          <w:left w:color="000000" w:space="0" w:sz="0" w:val="none"/>
          <w:bottom w:color="000000" w:space="0" w:sz="0" w:val="none"/>
          <w:right w:color="000000" w:space="0" w:sz="0" w:val="none"/>
          <w:between w:color="000000" w:space="0" w:sz="0" w:val="none"/>
        </w:pBdr>
        <w:ind w:right="283"/>
        <w:rPr>
          <w:color w:val="0070E1"/>
        </w:rPr>
      </w:pPr>
      <w:r>
        <w:rPr>
          <w:b/>
          <w:color w:val="0070E1"/>
          <w:sz w:val="24"/>
          <w:szCs w:val="24"/>
        </w:rPr>
        <w:t>L'incidence de l'embauche/du départ en cours d'année</w:t>
      </w:r>
    </w:p>
    <w:p w14:paraId="15984CD2"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shd w:color="auto" w:fill="FFFFFF" w:val="clear"/>
        <w:spacing w:after="180" w:before="120"/>
        <w:ind w:right="283"/>
        <w:jc w:val="both"/>
        <w:rPr>
          <w:color w:val="333333"/>
          <w:sz w:val="23"/>
          <w:szCs w:val="23"/>
        </w:rPr>
      </w:pPr>
    </w:p>
    <w:p w14:paraId="0EC7BF3A"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hd w:color="auto" w:fill="FFFFFF" w:val="clear"/>
        <w:spacing w:after="180" w:before="120"/>
        <w:ind w:right="283"/>
        <w:jc w:val="both"/>
        <w:rPr>
          <w:color w:val="333333"/>
          <w:sz w:val="23"/>
          <w:szCs w:val="23"/>
        </w:rPr>
      </w:pPr>
      <w:r>
        <w:rPr>
          <w:color w:val="333333"/>
          <w:sz w:val="23"/>
          <w:szCs w:val="23"/>
        </w:rPr>
        <w:t>En cas d'embauche ou de conclusion d'une convention individuelle en jours en cours d’année, la convention individuelle de forfait définit le nombre de jours restant à travailler au cours de l’année civile. Il est tenu compte de l'absence de droits complets à congés payés et du nombre de jours fériés chômés situés pendant la période restant à courir.</w:t>
      </w:r>
    </w:p>
    <w:p w14:paraId="1FFFCA9F"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hd w:color="auto" w:fill="FFFFFF" w:val="clear"/>
        <w:spacing w:after="180" w:before="120"/>
        <w:ind w:right="283"/>
        <w:jc w:val="both"/>
        <w:rPr>
          <w:color w:val="333333"/>
          <w:sz w:val="23"/>
          <w:szCs w:val="23"/>
        </w:rPr>
      </w:pPr>
      <w:r>
        <w:rPr>
          <w:color w:val="333333"/>
          <w:sz w:val="23"/>
          <w:szCs w:val="23"/>
        </w:rPr>
        <w:lastRenderedPageBreak/>
        <w:t>En cas de départ en cours de période, le nombre de jours à effectuer jusqu'au départ effectif est évalué en prenant en compte le nombre de congés payés acquis et pris.</w:t>
      </w:r>
    </w:p>
    <w:p w14:paraId="330CF23B"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hd w:color="auto" w:fill="FFFFFF" w:val="clear"/>
        <w:spacing w:after="180" w:before="120"/>
        <w:ind w:right="283"/>
        <w:jc w:val="both"/>
        <w:rPr>
          <w:color w:val="333333"/>
          <w:sz w:val="23"/>
          <w:szCs w:val="23"/>
        </w:rPr>
      </w:pPr>
      <w:r>
        <w:rPr>
          <w:color w:val="333333"/>
          <w:sz w:val="23"/>
          <w:szCs w:val="23"/>
        </w:rPr>
        <w:t>Dans les deux cas, la méthode de calcul est la suivante. Le nombre de jours de travail à effectuer sur la période restante est calculé en fonction du nombre de semaines restantes jusqu'à la fin de l'année civile :</w:t>
      </w:r>
    </w:p>
    <w:p w14:paraId="12B58B51"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hd w:color="auto" w:fill="FFFFFF" w:val="clear"/>
        <w:spacing w:after="180" w:before="120"/>
        <w:ind w:right="283"/>
        <w:jc w:val="both"/>
        <w:rPr>
          <w:color w:val="333333"/>
          <w:sz w:val="23"/>
          <w:szCs w:val="23"/>
        </w:rPr>
      </w:pPr>
      <w:r>
        <w:rPr>
          <w:color w:val="333333"/>
          <w:sz w:val="23"/>
          <w:szCs w:val="23"/>
        </w:rPr>
        <w:t>[</w:t>
      </w:r>
      <w:proofErr w:type="gramStart"/>
      <w:r>
        <w:rPr>
          <w:color w:val="333333"/>
          <w:sz w:val="23"/>
          <w:szCs w:val="23"/>
        </w:rPr>
        <w:t>forfait</w:t>
      </w:r>
      <w:proofErr w:type="gramEnd"/>
      <w:r>
        <w:rPr>
          <w:color w:val="333333"/>
          <w:sz w:val="23"/>
          <w:szCs w:val="23"/>
        </w:rPr>
        <w:t xml:space="preserve"> annuel] x [nombre de semaines restantes sur l’année] / [47].</w:t>
      </w:r>
    </w:p>
    <w:p w14:paraId="59AE59A6"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rPr>
          <w:color w:val="19808C"/>
        </w:rPr>
      </w:pPr>
    </w:p>
    <w:p w14:paraId="10B20A20" w14:textId="77777777" w:rsidR="00D85401" w:rsidRDefault="00000000">
      <w:pPr>
        <w:numPr>
          <w:ilvl w:val="1"/>
          <w:numId w:val="18"/>
        </w:numPr>
        <w:pBdr>
          <w:top w:color="000000" w:space="0" w:sz="0" w:val="none"/>
          <w:left w:color="000000" w:space="0" w:sz="0" w:val="none"/>
          <w:bottom w:color="000000" w:space="0" w:sz="0" w:val="none"/>
          <w:right w:color="000000" w:space="0" w:sz="0" w:val="none"/>
          <w:between w:color="000000" w:space="0" w:sz="0" w:val="none"/>
        </w:pBdr>
        <w:ind w:right="283"/>
        <w:rPr>
          <w:color w:val="0070E1"/>
        </w:rPr>
      </w:pPr>
      <w:r>
        <w:rPr>
          <w:b/>
          <w:color w:val="0070E1"/>
          <w:sz w:val="24"/>
          <w:szCs w:val="24"/>
        </w:rPr>
        <w:t>La convention individuelle de forfait</w:t>
      </w:r>
    </w:p>
    <w:p w14:paraId="193B38C8"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shd w:color="auto" w:fill="FFFFFF" w:val="clear"/>
        <w:spacing w:after="180" w:before="120"/>
        <w:ind w:right="283"/>
        <w:jc w:val="both"/>
        <w:rPr>
          <w:color w:val="333333"/>
          <w:sz w:val="23"/>
          <w:szCs w:val="23"/>
        </w:rPr>
      </w:pPr>
    </w:p>
    <w:p w14:paraId="0FFE0B41"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hd w:color="auto" w:fill="FFFFFF" w:val="clear"/>
        <w:spacing w:after="180" w:before="120"/>
        <w:ind w:right="283"/>
        <w:jc w:val="both"/>
        <w:rPr>
          <w:color w:val="333333"/>
          <w:sz w:val="23"/>
          <w:szCs w:val="23"/>
        </w:rPr>
      </w:pPr>
      <w:r>
        <w:rPr>
          <w:color w:val="333333"/>
          <w:sz w:val="23"/>
          <w:szCs w:val="23"/>
        </w:rPr>
        <w:t>La mise en œuvre du </w:t>
      </w:r>
      <w:r>
        <w:rPr>
          <w:sz w:val="23"/>
          <w:szCs w:val="23"/>
        </w:rPr>
        <w:t>forfait annuel en jours</w:t>
      </w:r>
      <w:r>
        <w:rPr>
          <w:color w:val="333333"/>
          <w:sz w:val="23"/>
          <w:szCs w:val="23"/>
        </w:rPr>
        <w:t> fait l'objet de la conclusion d'une convention individuelle de forfait avec chaque salarié concerné.</w:t>
      </w:r>
    </w:p>
    <w:p w14:paraId="200271BD"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hd w:color="auto" w:fill="FFFFFF" w:val="clear"/>
        <w:spacing w:after="180" w:before="120"/>
        <w:ind w:right="283"/>
        <w:jc w:val="both"/>
        <w:rPr>
          <w:color w:val="333333"/>
          <w:sz w:val="23"/>
          <w:szCs w:val="23"/>
        </w:rPr>
      </w:pPr>
      <w:r>
        <w:rPr>
          <w:color w:val="333333"/>
          <w:sz w:val="23"/>
          <w:szCs w:val="23"/>
        </w:rPr>
        <w:t>Cette convention individuelle :</w:t>
      </w:r>
    </w:p>
    <w:p w14:paraId="18D2312F" w14:textId="77777777" w:rsidR="00D85401" w:rsidRDefault="00000000">
      <w:pPr>
        <w:numPr>
          <w:ilvl w:val="0"/>
          <w:numId w:val="12"/>
        </w:numPr>
        <w:pBdr>
          <w:top w:color="000000" w:space="0" w:sz="0" w:val="none"/>
          <w:left w:color="000000" w:space="0" w:sz="0" w:val="none"/>
          <w:bottom w:color="000000" w:space="0" w:sz="0" w:val="none"/>
          <w:right w:color="000000" w:space="0" w:sz="0" w:val="none"/>
          <w:between w:color="000000" w:space="0" w:sz="0" w:val="none"/>
        </w:pBdr>
        <w:shd w:color="auto" w:fill="FFFFFF" w:val="clear"/>
        <w:spacing w:after="120" w:before="120" w:line="240" w:lineRule="auto"/>
        <w:ind w:hanging="358" w:left="1032" w:right="283"/>
        <w:jc w:val="both"/>
        <w:rPr>
          <w:color w:val="333333"/>
          <w:sz w:val="23"/>
          <w:szCs w:val="23"/>
        </w:rPr>
      </w:pPr>
      <w:proofErr w:type="gramStart"/>
      <w:r>
        <w:rPr>
          <w:color w:val="333333"/>
          <w:sz w:val="23"/>
          <w:szCs w:val="23"/>
        </w:rPr>
        <w:t>précise</w:t>
      </w:r>
      <w:proofErr w:type="gramEnd"/>
      <w:r>
        <w:rPr>
          <w:color w:val="333333"/>
          <w:sz w:val="23"/>
          <w:szCs w:val="23"/>
        </w:rPr>
        <w:t xml:space="preserve"> les </w:t>
      </w:r>
      <w:r>
        <w:rPr>
          <w:b/>
          <w:color w:val="333333"/>
          <w:sz w:val="23"/>
          <w:szCs w:val="23"/>
        </w:rPr>
        <w:t>caractéristiques de l'emploi occupé</w:t>
      </w:r>
      <w:r>
        <w:rPr>
          <w:color w:val="333333"/>
          <w:sz w:val="23"/>
          <w:szCs w:val="23"/>
        </w:rPr>
        <w:t xml:space="preserve"> par le salarié justifiant qu'il puisse conclure une convention de </w:t>
      </w:r>
      <w:r>
        <w:rPr>
          <w:sz w:val="23"/>
          <w:szCs w:val="23"/>
        </w:rPr>
        <w:t>forfait en jours</w:t>
      </w:r>
      <w:r>
        <w:rPr>
          <w:color w:val="333333"/>
          <w:sz w:val="23"/>
          <w:szCs w:val="23"/>
        </w:rPr>
        <w:t> ;</w:t>
      </w:r>
    </w:p>
    <w:p w14:paraId="52B5A387" w14:textId="77777777" w:rsidR="00D85401" w:rsidRDefault="00000000">
      <w:pPr>
        <w:numPr>
          <w:ilvl w:val="0"/>
          <w:numId w:val="12"/>
        </w:numPr>
        <w:pBdr>
          <w:top w:color="000000" w:space="0" w:sz="0" w:val="none"/>
          <w:left w:color="000000" w:space="0" w:sz="0" w:val="none"/>
          <w:bottom w:color="000000" w:space="0" w:sz="0" w:val="none"/>
          <w:right w:color="000000" w:space="0" w:sz="0" w:val="none"/>
          <w:between w:color="000000" w:space="0" w:sz="0" w:val="none"/>
        </w:pBdr>
        <w:shd w:color="auto" w:fill="FFFFFF" w:val="clear"/>
        <w:spacing w:after="120" w:before="120" w:line="240" w:lineRule="auto"/>
        <w:ind w:hanging="358" w:left="1032" w:right="283"/>
        <w:jc w:val="both"/>
        <w:rPr>
          <w:color w:val="333333"/>
          <w:sz w:val="23"/>
          <w:szCs w:val="23"/>
        </w:rPr>
      </w:pPr>
      <w:proofErr w:type="gramStart"/>
      <w:r>
        <w:rPr>
          <w:color w:val="333333"/>
          <w:sz w:val="23"/>
          <w:szCs w:val="23"/>
        </w:rPr>
        <w:t>rappelle</w:t>
      </w:r>
      <w:proofErr w:type="gramEnd"/>
      <w:r>
        <w:rPr>
          <w:color w:val="333333"/>
          <w:sz w:val="23"/>
          <w:szCs w:val="23"/>
        </w:rPr>
        <w:t xml:space="preserve"> les </w:t>
      </w:r>
      <w:r>
        <w:rPr>
          <w:b/>
          <w:color w:val="333333"/>
          <w:sz w:val="23"/>
          <w:szCs w:val="23"/>
        </w:rPr>
        <w:t>modalités générales de fonctionnement du forfait-jours</w:t>
      </w:r>
      <w:r>
        <w:rPr>
          <w:color w:val="333333"/>
          <w:sz w:val="23"/>
          <w:szCs w:val="23"/>
        </w:rPr>
        <w:t xml:space="preserve"> : période de référence,  nombre de jours, garanties offertes au salariés, etc. </w:t>
      </w:r>
    </w:p>
    <w:p w14:paraId="1D4F4883" w14:textId="77777777" w:rsidR="00D85401" w:rsidRDefault="00000000">
      <w:pPr>
        <w:numPr>
          <w:ilvl w:val="0"/>
          <w:numId w:val="12"/>
        </w:numPr>
        <w:pBdr>
          <w:top w:color="000000" w:space="0" w:sz="0" w:val="none"/>
          <w:left w:color="000000" w:space="0" w:sz="0" w:val="none"/>
          <w:bottom w:color="000000" w:space="0" w:sz="0" w:val="none"/>
          <w:right w:color="000000" w:space="0" w:sz="0" w:val="none"/>
          <w:between w:color="000000" w:space="0" w:sz="0" w:val="none"/>
        </w:pBdr>
        <w:shd w:color="auto" w:fill="FFFFFF" w:val="clear"/>
        <w:spacing w:after="120" w:before="120" w:line="240" w:lineRule="auto"/>
        <w:ind w:hanging="358" w:left="1032" w:right="283"/>
        <w:jc w:val="both"/>
        <w:rPr>
          <w:color w:val="333333"/>
          <w:sz w:val="23"/>
          <w:szCs w:val="23"/>
        </w:rPr>
      </w:pPr>
      <w:proofErr w:type="gramStart"/>
      <w:r>
        <w:rPr>
          <w:color w:val="333333"/>
          <w:sz w:val="23"/>
          <w:szCs w:val="23"/>
        </w:rPr>
        <w:t>indique</w:t>
      </w:r>
      <w:proofErr w:type="gramEnd"/>
      <w:r>
        <w:rPr>
          <w:color w:val="333333"/>
          <w:sz w:val="23"/>
          <w:szCs w:val="23"/>
        </w:rPr>
        <w:t xml:space="preserve"> les caractéristiques individuelles de la convention : rémunération mensuelle, caractéristiques particulière.</w:t>
      </w:r>
    </w:p>
    <w:p w14:paraId="059D9499"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rPr>
          <w:i/>
          <w:sz w:val="18"/>
          <w:szCs w:val="18"/>
        </w:rPr>
      </w:pPr>
    </w:p>
    <w:p w14:paraId="095A5E3E"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rPr>
          <w:i/>
          <w:sz w:val="18"/>
          <w:szCs w:val="18"/>
        </w:rPr>
      </w:pPr>
    </w:p>
    <w:p w14:paraId="6ADE2DE3" w14:textId="77777777" w:rsidR="00D85401" w:rsidRDefault="00000000">
      <w:pPr>
        <w:numPr>
          <w:ilvl w:val="0"/>
          <w:numId w:val="10"/>
        </w:numPr>
        <w:pBdr>
          <w:top w:color="000000" w:space="0" w:sz="0" w:val="none"/>
          <w:left w:color="000000" w:space="0" w:sz="0" w:val="none"/>
          <w:bottom w:color="000000" w:space="0" w:sz="0" w:val="none"/>
          <w:right w:color="000000" w:space="0" w:sz="0" w:val="none"/>
          <w:between w:color="000000" w:space="0" w:sz="0" w:val="none"/>
        </w:pBdr>
        <w:ind w:right="283"/>
        <w:rPr>
          <w:b/>
          <w:color w:val="0070E1"/>
          <w:sz w:val="28"/>
          <w:szCs w:val="28"/>
        </w:rPr>
      </w:pPr>
      <w:r>
        <w:rPr>
          <w:b/>
          <w:color w:val="0070E1"/>
          <w:sz w:val="28"/>
          <w:szCs w:val="28"/>
        </w:rPr>
        <w:t>Quels sont les avantages du forfait-jours ?</w:t>
      </w:r>
    </w:p>
    <w:p w14:paraId="68935499"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rPr>
          <w:b/>
          <w:color w:val="1D72B2"/>
          <w:sz w:val="30"/>
          <w:szCs w:val="30"/>
        </w:rPr>
      </w:pPr>
    </w:p>
    <w:p w14:paraId="77216A97"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pacing w:after="200"/>
        <w:rPr>
          <w:sz w:val="23"/>
          <w:szCs w:val="23"/>
        </w:rPr>
      </w:pPr>
      <w:r>
        <w:rPr>
          <w:sz w:val="23"/>
          <w:szCs w:val="23"/>
        </w:rPr>
        <w:t>L'ensemble des mesures prévues dans le présent accord s'inscrit dans une démarche qui cherche à :</w:t>
      </w:r>
    </w:p>
    <w:p w14:paraId="58030A1B" w14:textId="77777777" w:rsidR="00D85401" w:rsidRDefault="00000000">
      <w:pPr>
        <w:numPr>
          <w:ilvl w:val="0"/>
          <w:numId w:val="4"/>
        </w:numPr>
        <w:pBdr>
          <w:top w:color="000000" w:space="0" w:sz="0" w:val="none"/>
          <w:left w:color="000000" w:space="0" w:sz="0" w:val="none"/>
          <w:bottom w:color="000000" w:space="0" w:sz="0" w:val="none"/>
          <w:right w:color="000000" w:space="0" w:sz="0" w:val="none"/>
          <w:between w:color="000000" w:space="0" w:sz="0" w:val="none"/>
        </w:pBdr>
        <w:spacing w:line="240" w:lineRule="auto"/>
        <w:jc w:val="both"/>
        <w:rPr>
          <w:sz w:val="23"/>
          <w:szCs w:val="23"/>
        </w:rPr>
      </w:pPr>
      <w:proofErr w:type="gramStart"/>
      <w:r>
        <w:rPr>
          <w:sz w:val="23"/>
          <w:szCs w:val="23"/>
        </w:rPr>
        <w:t>concilier</w:t>
      </w:r>
      <w:proofErr w:type="gramEnd"/>
      <w:r>
        <w:rPr>
          <w:sz w:val="23"/>
          <w:szCs w:val="23"/>
        </w:rPr>
        <w:t xml:space="preserve"> les intérêts de la société KACTUS et les aspirations des salariés quant à un </w:t>
      </w:r>
      <w:r>
        <w:rPr>
          <w:b/>
          <w:sz w:val="23"/>
          <w:szCs w:val="23"/>
        </w:rPr>
        <w:t>équilibre de leur vie professionnelle et de leur vie personnelle</w:t>
      </w:r>
      <w:r>
        <w:rPr>
          <w:sz w:val="23"/>
          <w:szCs w:val="23"/>
        </w:rPr>
        <w:t xml:space="preserve"> ;</w:t>
      </w:r>
    </w:p>
    <w:p w14:paraId="07A79357" w14:textId="77777777" w:rsidR="00D85401" w:rsidRDefault="00000000">
      <w:pPr>
        <w:numPr>
          <w:ilvl w:val="0"/>
          <w:numId w:val="4"/>
        </w:numPr>
        <w:pBdr>
          <w:top w:color="000000" w:space="0" w:sz="0" w:val="none"/>
          <w:left w:color="000000" w:space="0" w:sz="0" w:val="none"/>
          <w:bottom w:color="000000" w:space="0" w:sz="0" w:val="none"/>
          <w:right w:color="000000" w:space="0" w:sz="0" w:val="none"/>
          <w:between w:color="000000" w:space="0" w:sz="0" w:val="none"/>
        </w:pBdr>
        <w:spacing w:line="240" w:lineRule="auto"/>
        <w:jc w:val="both"/>
        <w:rPr>
          <w:sz w:val="23"/>
          <w:szCs w:val="23"/>
        </w:rPr>
      </w:pPr>
      <w:proofErr w:type="gramStart"/>
      <w:r>
        <w:rPr>
          <w:sz w:val="23"/>
          <w:szCs w:val="23"/>
        </w:rPr>
        <w:t>prévenir</w:t>
      </w:r>
      <w:proofErr w:type="gramEnd"/>
      <w:r>
        <w:rPr>
          <w:sz w:val="23"/>
          <w:szCs w:val="23"/>
        </w:rPr>
        <w:t xml:space="preserve"> les dépassements de temps de travail préjudiciables à la santé des salariés et au bon fonctionnement de l'entreprise.</w:t>
      </w:r>
    </w:p>
    <w:p w14:paraId="42CC28CD"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spacing w:line="240" w:lineRule="auto"/>
        <w:ind w:left="720"/>
        <w:jc w:val="both"/>
        <w:rPr>
          <w:sz w:val="23"/>
          <w:szCs w:val="23"/>
        </w:rPr>
      </w:pPr>
    </w:p>
    <w:p w14:paraId="2D462328"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pacing w:line="240" w:lineRule="auto"/>
        <w:jc w:val="both"/>
        <w:rPr>
          <w:sz w:val="23"/>
          <w:szCs w:val="23"/>
        </w:rPr>
      </w:pPr>
      <w:r>
        <w:rPr>
          <w:sz w:val="23"/>
          <w:szCs w:val="23"/>
        </w:rPr>
        <w:t>Cela présente plusieurs avantages pour les salariés.</w:t>
      </w:r>
    </w:p>
    <w:p w14:paraId="76BF7179"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rPr>
          <w:b/>
          <w:color w:val="19808C"/>
          <w:sz w:val="30"/>
          <w:szCs w:val="30"/>
        </w:rPr>
      </w:pPr>
    </w:p>
    <w:p w14:paraId="297114C9" w14:textId="77777777" w:rsidR="00D85401" w:rsidRDefault="00000000">
      <w:pPr>
        <w:numPr>
          <w:ilvl w:val="1"/>
          <w:numId w:val="17"/>
        </w:numPr>
        <w:pBdr>
          <w:top w:color="000000" w:space="0" w:sz="0" w:val="none"/>
          <w:left w:color="000000" w:space="0" w:sz="0" w:val="none"/>
          <w:bottom w:color="000000" w:space="0" w:sz="0" w:val="none"/>
          <w:right w:color="000000" w:space="0" w:sz="0" w:val="none"/>
          <w:between w:color="000000" w:space="0" w:sz="0" w:val="none"/>
        </w:pBdr>
        <w:ind w:right="283"/>
        <w:rPr>
          <w:color w:val="0070E1"/>
          <w:sz w:val="24"/>
          <w:szCs w:val="24"/>
        </w:rPr>
      </w:pPr>
      <w:r>
        <w:rPr>
          <w:b/>
          <w:color w:val="0070E1"/>
          <w:sz w:val="24"/>
          <w:szCs w:val="24"/>
        </w:rPr>
        <w:t>Plus d'autonomie</w:t>
      </w:r>
    </w:p>
    <w:p w14:paraId="72373729"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spacing w:line="240" w:lineRule="auto"/>
        <w:jc w:val="both"/>
        <w:rPr>
          <w:sz w:val="23"/>
          <w:szCs w:val="23"/>
        </w:rPr>
      </w:pPr>
    </w:p>
    <w:p w14:paraId="4B4C1F6C"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pacing w:line="240" w:lineRule="auto"/>
        <w:jc w:val="both"/>
        <w:rPr>
          <w:sz w:val="23"/>
          <w:szCs w:val="23"/>
        </w:rPr>
      </w:pPr>
      <w:r>
        <w:rPr>
          <w:sz w:val="23"/>
          <w:szCs w:val="23"/>
        </w:rPr>
        <w:t xml:space="preserve">La conclusion d’une convention de forfait permet de formaliser </w:t>
      </w:r>
      <w:r>
        <w:rPr>
          <w:b/>
          <w:sz w:val="23"/>
          <w:szCs w:val="23"/>
        </w:rPr>
        <w:t>l’autonomie octroyée au salarié</w:t>
      </w:r>
      <w:r>
        <w:rPr>
          <w:sz w:val="23"/>
          <w:szCs w:val="23"/>
        </w:rPr>
        <w:t xml:space="preserve"> dans :</w:t>
      </w:r>
    </w:p>
    <w:p w14:paraId="425E5211"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spacing w:line="240" w:lineRule="auto"/>
        <w:jc w:val="both"/>
        <w:rPr>
          <w:sz w:val="23"/>
          <w:szCs w:val="23"/>
        </w:rPr>
      </w:pPr>
    </w:p>
    <w:p w14:paraId="377F3C3B" w14:textId="77777777" w:rsidR="00D85401" w:rsidRDefault="00000000">
      <w:pPr>
        <w:numPr>
          <w:ilvl w:val="0"/>
          <w:numId w:val="7"/>
        </w:numPr>
        <w:pBdr>
          <w:top w:color="000000" w:space="0" w:sz="0" w:val="none"/>
          <w:left w:color="000000" w:space="0" w:sz="0" w:val="none"/>
          <w:bottom w:color="000000" w:space="0" w:sz="0" w:val="none"/>
          <w:right w:color="000000" w:space="0" w:sz="0" w:val="none"/>
          <w:between w:color="000000" w:space="0" w:sz="0" w:val="none"/>
        </w:pBdr>
        <w:spacing w:line="240" w:lineRule="auto"/>
        <w:jc w:val="both"/>
        <w:rPr>
          <w:sz w:val="23"/>
          <w:szCs w:val="23"/>
        </w:rPr>
      </w:pPr>
      <w:proofErr w:type="gramStart"/>
      <w:r>
        <w:rPr>
          <w:sz w:val="23"/>
          <w:szCs w:val="23"/>
        </w:rPr>
        <w:t>l’organisation</w:t>
      </w:r>
      <w:proofErr w:type="gramEnd"/>
      <w:r>
        <w:rPr>
          <w:sz w:val="23"/>
          <w:szCs w:val="23"/>
        </w:rPr>
        <w:t xml:space="preserve"> de son temps de travail,</w:t>
      </w:r>
    </w:p>
    <w:p w14:paraId="2736660C" w14:textId="77777777" w:rsidR="00D85401" w:rsidRDefault="00000000">
      <w:pPr>
        <w:numPr>
          <w:ilvl w:val="0"/>
          <w:numId w:val="7"/>
        </w:numPr>
        <w:pBdr>
          <w:top w:color="000000" w:space="0" w:sz="0" w:val="none"/>
          <w:left w:color="000000" w:space="0" w:sz="0" w:val="none"/>
          <w:bottom w:color="000000" w:space="0" w:sz="0" w:val="none"/>
          <w:right w:color="000000" w:space="0" w:sz="0" w:val="none"/>
          <w:between w:color="000000" w:space="0" w:sz="0" w:val="none"/>
        </w:pBdr>
        <w:spacing w:line="240" w:lineRule="auto"/>
        <w:jc w:val="both"/>
        <w:rPr>
          <w:sz w:val="23"/>
          <w:szCs w:val="23"/>
        </w:rPr>
      </w:pPr>
      <w:proofErr w:type="gramStart"/>
      <w:r>
        <w:rPr>
          <w:sz w:val="23"/>
          <w:szCs w:val="23"/>
        </w:rPr>
        <w:t>le</w:t>
      </w:r>
      <w:proofErr w:type="gramEnd"/>
      <w:r>
        <w:rPr>
          <w:sz w:val="23"/>
          <w:szCs w:val="23"/>
        </w:rPr>
        <w:t xml:space="preserve"> contenu de ses journées de travail,</w:t>
      </w:r>
    </w:p>
    <w:p w14:paraId="6CF5A031" w14:textId="77777777" w:rsidR="00D85401" w:rsidRDefault="00000000">
      <w:pPr>
        <w:numPr>
          <w:ilvl w:val="0"/>
          <w:numId w:val="7"/>
        </w:numPr>
        <w:pBdr>
          <w:top w:color="000000" w:space="0" w:sz="0" w:val="none"/>
          <w:left w:color="000000" w:space="0" w:sz="0" w:val="none"/>
          <w:bottom w:color="000000" w:space="0" w:sz="0" w:val="none"/>
          <w:right w:color="000000" w:space="0" w:sz="0" w:val="none"/>
          <w:between w:color="000000" w:space="0" w:sz="0" w:val="none"/>
        </w:pBdr>
        <w:spacing w:line="240" w:lineRule="auto"/>
        <w:jc w:val="both"/>
        <w:rPr>
          <w:sz w:val="23"/>
          <w:szCs w:val="23"/>
        </w:rPr>
      </w:pPr>
      <w:proofErr w:type="gramStart"/>
      <w:r>
        <w:rPr>
          <w:sz w:val="23"/>
          <w:szCs w:val="23"/>
        </w:rPr>
        <w:t>ses</w:t>
      </w:r>
      <w:proofErr w:type="gramEnd"/>
      <w:r>
        <w:rPr>
          <w:sz w:val="23"/>
          <w:szCs w:val="23"/>
        </w:rPr>
        <w:t xml:space="preserve"> déplacements professionnels,</w:t>
      </w:r>
    </w:p>
    <w:p w14:paraId="260F5CBB" w14:textId="77777777" w:rsidR="00D85401" w:rsidRDefault="00000000">
      <w:pPr>
        <w:numPr>
          <w:ilvl w:val="0"/>
          <w:numId w:val="7"/>
        </w:numPr>
        <w:pBdr>
          <w:top w:color="000000" w:space="0" w:sz="0" w:val="none"/>
          <w:left w:color="000000" w:space="0" w:sz="0" w:val="none"/>
          <w:bottom w:color="000000" w:space="0" w:sz="0" w:val="none"/>
          <w:right w:color="000000" w:space="0" w:sz="0" w:val="none"/>
          <w:between w:color="000000" w:space="0" w:sz="0" w:val="none"/>
        </w:pBdr>
        <w:spacing w:line="240" w:lineRule="auto"/>
        <w:jc w:val="both"/>
        <w:rPr>
          <w:sz w:val="23"/>
          <w:szCs w:val="23"/>
        </w:rPr>
      </w:pPr>
      <w:proofErr w:type="gramStart"/>
      <w:r>
        <w:rPr>
          <w:sz w:val="23"/>
          <w:szCs w:val="23"/>
        </w:rPr>
        <w:t>ses</w:t>
      </w:r>
      <w:proofErr w:type="gramEnd"/>
      <w:r>
        <w:rPr>
          <w:sz w:val="23"/>
          <w:szCs w:val="23"/>
        </w:rPr>
        <w:t xml:space="preserve"> rendez-vous commerciaux.</w:t>
      </w:r>
    </w:p>
    <w:p w14:paraId="36653F30"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spacing w:line="240" w:lineRule="auto"/>
        <w:jc w:val="both"/>
        <w:rPr>
          <w:sz w:val="23"/>
          <w:szCs w:val="23"/>
        </w:rPr>
      </w:pPr>
    </w:p>
    <w:p w14:paraId="6535D254" w14:textId="77777777" w:rsidR="00D85401" w:rsidRDefault="00000000">
      <w:pPr>
        <w:numPr>
          <w:ilvl w:val="1"/>
          <w:numId w:val="17"/>
        </w:numPr>
        <w:pBdr>
          <w:top w:color="000000" w:space="0" w:sz="0" w:val="none"/>
          <w:left w:color="000000" w:space="0" w:sz="0" w:val="none"/>
          <w:bottom w:color="000000" w:space="0" w:sz="0" w:val="none"/>
          <w:right w:color="000000" w:space="0" w:sz="0" w:val="none"/>
          <w:between w:color="000000" w:space="0" w:sz="0" w:val="none"/>
        </w:pBdr>
        <w:ind w:right="283"/>
        <w:rPr>
          <w:color w:val="0070E1"/>
        </w:rPr>
      </w:pPr>
      <w:r>
        <w:rPr>
          <w:b/>
          <w:color w:val="0070E1"/>
          <w:sz w:val="24"/>
          <w:szCs w:val="24"/>
        </w:rPr>
        <w:t>Plus de visibilité</w:t>
      </w:r>
    </w:p>
    <w:p w14:paraId="5CD2BBB4"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spacing w:line="240" w:lineRule="auto"/>
        <w:jc w:val="both"/>
        <w:rPr>
          <w:b/>
          <w:color w:val="1D72B2"/>
          <w:sz w:val="30"/>
          <w:szCs w:val="30"/>
        </w:rPr>
      </w:pPr>
    </w:p>
    <w:p w14:paraId="1B77C468"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pacing w:after="200"/>
        <w:jc w:val="both"/>
        <w:rPr>
          <w:sz w:val="23"/>
          <w:szCs w:val="23"/>
        </w:rPr>
      </w:pPr>
      <w:r>
        <w:rPr>
          <w:sz w:val="23"/>
          <w:szCs w:val="23"/>
        </w:rPr>
        <w:t xml:space="preserve">Chaque salarié connaît dès le début de la période de référence </w:t>
      </w:r>
      <w:r>
        <w:rPr>
          <w:b/>
          <w:sz w:val="23"/>
          <w:szCs w:val="23"/>
        </w:rPr>
        <w:t>le nombre de jours de repos</w:t>
      </w:r>
      <w:r>
        <w:rPr>
          <w:sz w:val="23"/>
          <w:szCs w:val="23"/>
        </w:rPr>
        <w:t xml:space="preserve"> dont il pourra disposer sur cette année et il connaît par avance le montant de sa rémunération sur chaque mois de l’année.</w:t>
      </w:r>
    </w:p>
    <w:p w14:paraId="5CB67F5B"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rPr>
          <w:b/>
          <w:color w:val="1D72B2"/>
          <w:sz w:val="30"/>
          <w:szCs w:val="30"/>
        </w:rPr>
      </w:pPr>
    </w:p>
    <w:p w14:paraId="60409B07" w14:textId="77777777" w:rsidR="00D85401" w:rsidRDefault="00000000">
      <w:pPr>
        <w:numPr>
          <w:ilvl w:val="0"/>
          <w:numId w:val="10"/>
        </w:numPr>
        <w:pBdr>
          <w:top w:color="000000" w:space="0" w:sz="0" w:val="none"/>
          <w:left w:color="000000" w:space="0" w:sz="0" w:val="none"/>
          <w:bottom w:color="000000" w:space="0" w:sz="0" w:val="none"/>
          <w:right w:color="000000" w:space="0" w:sz="0" w:val="none"/>
          <w:between w:color="000000" w:space="0" w:sz="0" w:val="none"/>
        </w:pBdr>
        <w:ind w:right="283"/>
        <w:rPr>
          <w:b/>
          <w:color w:val="0070E1"/>
          <w:sz w:val="28"/>
          <w:szCs w:val="28"/>
        </w:rPr>
      </w:pPr>
      <w:r>
        <w:rPr>
          <w:b/>
          <w:color w:val="0070E1"/>
          <w:sz w:val="28"/>
          <w:szCs w:val="28"/>
        </w:rPr>
        <w:t>Quels sont les engagements du salarié soumis au forfait-jours ?</w:t>
      </w:r>
    </w:p>
    <w:p w14:paraId="298834A2"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rPr>
          <w:b/>
          <w:color w:val="19808C"/>
          <w:sz w:val="30"/>
          <w:szCs w:val="30"/>
        </w:rPr>
      </w:pPr>
    </w:p>
    <w:p w14:paraId="69580391" w14:textId="77777777" w:rsidR="00D85401" w:rsidRDefault="00000000">
      <w:pPr>
        <w:numPr>
          <w:ilvl w:val="1"/>
          <w:numId w:val="10"/>
        </w:numPr>
        <w:pBdr>
          <w:top w:color="000000" w:space="0" w:sz="0" w:val="none"/>
          <w:left w:color="000000" w:space="0" w:sz="0" w:val="none"/>
          <w:bottom w:color="000000" w:space="0" w:sz="0" w:val="none"/>
          <w:right w:color="000000" w:space="0" w:sz="0" w:val="none"/>
          <w:between w:color="000000" w:space="0" w:sz="0" w:val="none"/>
        </w:pBdr>
        <w:ind w:right="283"/>
        <w:rPr>
          <w:b/>
          <w:color w:val="0070E1"/>
          <w:sz w:val="24"/>
          <w:szCs w:val="24"/>
        </w:rPr>
      </w:pPr>
      <w:r>
        <w:rPr>
          <w:b/>
          <w:color w:val="0070E1"/>
          <w:sz w:val="24"/>
          <w:szCs w:val="24"/>
        </w:rPr>
        <w:t>Déclarer ses jours de travail/repos</w:t>
      </w:r>
    </w:p>
    <w:p w14:paraId="708DADE9"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spacing w:after="200"/>
      </w:pPr>
    </w:p>
    <w:p w14:paraId="0655B47E"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pacing w:after="200"/>
        <w:jc w:val="both"/>
        <w:rPr>
          <w:sz w:val="23"/>
          <w:szCs w:val="23"/>
        </w:rPr>
      </w:pPr>
      <w:r>
        <w:rPr>
          <w:sz w:val="23"/>
          <w:szCs w:val="23"/>
        </w:rPr>
        <w:t>Un contrôle du nombre des jours travaillés et des jours de repos est mis en place au moyen de l'outil proposé par le SIRH de la société.</w:t>
      </w:r>
    </w:p>
    <w:p w14:paraId="20F9E82B"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pacing w:after="200"/>
        <w:jc w:val="both"/>
        <w:rPr>
          <w:sz w:val="23"/>
          <w:szCs w:val="23"/>
        </w:rPr>
      </w:pPr>
      <w:r>
        <w:rPr>
          <w:sz w:val="23"/>
          <w:szCs w:val="23"/>
        </w:rPr>
        <w:t>Ce suivi ne remet pas en cause l'autonomie dont dispose le salarié dans l'organisation de son emploi du temps, et son objet porte uniquement :</w:t>
      </w:r>
    </w:p>
    <w:p w14:paraId="2E4C7B69" w14:textId="77777777" w:rsidR="00D85401" w:rsidRDefault="00000000">
      <w:pPr>
        <w:numPr>
          <w:ilvl w:val="0"/>
          <w:numId w:val="19"/>
        </w:numPr>
        <w:pBdr>
          <w:top w:color="000000" w:space="0" w:sz="0" w:val="none"/>
          <w:left w:color="000000" w:space="0" w:sz="0" w:val="none"/>
          <w:bottom w:color="000000" w:space="0" w:sz="0" w:val="none"/>
          <w:right w:color="000000" w:space="0" w:sz="0" w:val="none"/>
          <w:between w:color="000000" w:space="0" w:sz="0" w:val="none"/>
        </w:pBdr>
        <w:spacing w:line="240" w:lineRule="auto"/>
        <w:jc w:val="both"/>
        <w:rPr>
          <w:sz w:val="23"/>
          <w:szCs w:val="23"/>
        </w:rPr>
      </w:pPr>
      <w:proofErr w:type="gramStart"/>
      <w:r>
        <w:rPr>
          <w:sz w:val="23"/>
          <w:szCs w:val="23"/>
        </w:rPr>
        <w:t>sur</w:t>
      </w:r>
      <w:proofErr w:type="gramEnd"/>
      <w:r>
        <w:rPr>
          <w:sz w:val="23"/>
          <w:szCs w:val="23"/>
        </w:rPr>
        <w:t xml:space="preserve"> le décompte des journées ou demi-journées de travail au titre du forfait ;</w:t>
      </w:r>
    </w:p>
    <w:p w14:paraId="4727310D" w14:textId="77777777" w:rsidR="00D85401" w:rsidRDefault="00000000">
      <w:pPr>
        <w:numPr>
          <w:ilvl w:val="0"/>
          <w:numId w:val="19"/>
        </w:numPr>
        <w:pBdr>
          <w:top w:color="000000" w:space="0" w:sz="0" w:val="none"/>
          <w:left w:color="000000" w:space="0" w:sz="0" w:val="none"/>
          <w:bottom w:color="000000" w:space="0" w:sz="0" w:val="none"/>
          <w:right w:color="000000" w:space="0" w:sz="0" w:val="none"/>
          <w:between w:color="000000" w:space="0" w:sz="0" w:val="none"/>
        </w:pBdr>
        <w:spacing w:line="240" w:lineRule="auto"/>
        <w:jc w:val="both"/>
        <w:rPr>
          <w:sz w:val="23"/>
          <w:szCs w:val="23"/>
        </w:rPr>
      </w:pPr>
      <w:proofErr w:type="gramStart"/>
      <w:r>
        <w:rPr>
          <w:sz w:val="23"/>
          <w:szCs w:val="23"/>
        </w:rPr>
        <w:t>sur</w:t>
      </w:r>
      <w:proofErr w:type="gramEnd"/>
      <w:r>
        <w:rPr>
          <w:sz w:val="23"/>
          <w:szCs w:val="23"/>
        </w:rPr>
        <w:t xml:space="preserve"> le respect des garanties applicables au forfait annuel en jours en matière notamment de santé, de sécurité, de repos et d'articulation entre la vie professionnelle et personnelle du salarié.</w:t>
      </w:r>
    </w:p>
    <w:p w14:paraId="4591AB9F"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spacing w:line="240" w:lineRule="auto"/>
        <w:ind w:left="720"/>
        <w:jc w:val="both"/>
        <w:rPr>
          <w:sz w:val="23"/>
          <w:szCs w:val="23"/>
        </w:rPr>
      </w:pPr>
    </w:p>
    <w:p w14:paraId="0071BBD2"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pacing w:after="200"/>
        <w:jc w:val="both"/>
        <w:rPr>
          <w:sz w:val="23"/>
          <w:szCs w:val="23"/>
        </w:rPr>
      </w:pPr>
      <w:r>
        <w:rPr>
          <w:sz w:val="23"/>
          <w:szCs w:val="23"/>
        </w:rPr>
        <w:t>Ce suivi fera apparaître :</w:t>
      </w:r>
    </w:p>
    <w:p w14:paraId="263F1E97" w14:textId="77777777" w:rsidR="00D85401" w:rsidRDefault="00000000">
      <w:pPr>
        <w:numPr>
          <w:ilvl w:val="0"/>
          <w:numId w:val="9"/>
        </w:numPr>
        <w:pBdr>
          <w:top w:color="000000" w:space="0" w:sz="0" w:val="none"/>
          <w:left w:color="000000" w:space="0" w:sz="0" w:val="none"/>
          <w:bottom w:color="000000" w:space="0" w:sz="0" w:val="none"/>
          <w:right w:color="000000" w:space="0" w:sz="0" w:val="none"/>
          <w:between w:color="000000" w:space="0" w:sz="0" w:val="none"/>
        </w:pBdr>
        <w:spacing w:line="240" w:lineRule="auto"/>
        <w:jc w:val="both"/>
        <w:rPr>
          <w:sz w:val="23"/>
          <w:szCs w:val="23"/>
        </w:rPr>
      </w:pPr>
      <w:proofErr w:type="gramStart"/>
      <w:r>
        <w:rPr>
          <w:sz w:val="23"/>
          <w:szCs w:val="23"/>
        </w:rPr>
        <w:t>le</w:t>
      </w:r>
      <w:proofErr w:type="gramEnd"/>
      <w:r>
        <w:rPr>
          <w:sz w:val="23"/>
          <w:szCs w:val="23"/>
        </w:rPr>
        <w:t xml:space="preserve"> nombre et la date des journées travaillées ;</w:t>
      </w:r>
    </w:p>
    <w:p w14:paraId="5E853C47" w14:textId="77777777" w:rsidR="00D85401" w:rsidRDefault="00000000">
      <w:pPr>
        <w:numPr>
          <w:ilvl w:val="0"/>
          <w:numId w:val="9"/>
        </w:numPr>
        <w:pBdr>
          <w:top w:color="000000" w:space="0" w:sz="0" w:val="none"/>
          <w:left w:color="000000" w:space="0" w:sz="0" w:val="none"/>
          <w:bottom w:color="000000" w:space="0" w:sz="0" w:val="none"/>
          <w:right w:color="000000" w:space="0" w:sz="0" w:val="none"/>
          <w:between w:color="000000" w:space="0" w:sz="0" w:val="none"/>
        </w:pBdr>
        <w:spacing w:line="240" w:lineRule="auto"/>
        <w:jc w:val="both"/>
        <w:rPr>
          <w:sz w:val="23"/>
          <w:szCs w:val="23"/>
        </w:rPr>
      </w:pPr>
      <w:proofErr w:type="gramStart"/>
      <w:r>
        <w:rPr>
          <w:sz w:val="23"/>
          <w:szCs w:val="23"/>
        </w:rPr>
        <w:t>le</w:t>
      </w:r>
      <w:proofErr w:type="gramEnd"/>
      <w:r>
        <w:rPr>
          <w:sz w:val="23"/>
          <w:szCs w:val="23"/>
        </w:rPr>
        <w:t xml:space="preserve"> nombre, la date et la nature des jours non travaillés (repos hebdomadaire, congés payés, congés conventionnels, jours fériés chômés, jours de repos, absences (maladie, etc.)</w:t>
      </w:r>
    </w:p>
    <w:p w14:paraId="386668B1"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spacing w:line="240" w:lineRule="auto"/>
        <w:ind w:left="720"/>
        <w:jc w:val="both"/>
        <w:rPr>
          <w:sz w:val="23"/>
          <w:szCs w:val="23"/>
        </w:rPr>
      </w:pPr>
    </w:p>
    <w:p w14:paraId="4BCB17E1"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ind w:right="283"/>
        <w:jc w:val="both"/>
        <w:rPr>
          <w:sz w:val="23"/>
          <w:szCs w:val="23"/>
        </w:rPr>
      </w:pPr>
      <w:r>
        <w:rPr>
          <w:sz w:val="23"/>
          <w:szCs w:val="23"/>
        </w:rPr>
        <w:t xml:space="preserve">Les salariés soumis au forfait-jours devront remplir leur suivi d’activité chaque fin de mois. Le manager </w:t>
      </w:r>
      <w:proofErr w:type="gramStart"/>
      <w:r>
        <w:rPr>
          <w:sz w:val="23"/>
          <w:szCs w:val="23"/>
        </w:rPr>
        <w:t>est en charge</w:t>
      </w:r>
      <w:proofErr w:type="gramEnd"/>
      <w:r>
        <w:rPr>
          <w:sz w:val="23"/>
          <w:szCs w:val="23"/>
        </w:rPr>
        <w:t xml:space="preserve"> du suivi de ce décompte.</w:t>
      </w:r>
    </w:p>
    <w:p w14:paraId="495FFAD0"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jc w:val="both"/>
        <w:rPr>
          <w:sz w:val="23"/>
          <w:szCs w:val="23"/>
        </w:rPr>
      </w:pPr>
    </w:p>
    <w:p w14:paraId="0225E2DF"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jc w:val="both"/>
        <w:rPr>
          <w:b/>
          <w:color w:val="1D72B2"/>
          <w:sz w:val="24"/>
          <w:szCs w:val="24"/>
        </w:rPr>
      </w:pPr>
    </w:p>
    <w:p w14:paraId="027D284F" w14:textId="77777777" w:rsidR="00D85401" w:rsidRDefault="00000000">
      <w:pPr>
        <w:numPr>
          <w:ilvl w:val="1"/>
          <w:numId w:val="10"/>
        </w:numPr>
        <w:pBdr>
          <w:top w:color="000000" w:space="0" w:sz="0" w:val="none"/>
          <w:left w:color="000000" w:space="0" w:sz="0" w:val="none"/>
          <w:bottom w:color="000000" w:space="0" w:sz="0" w:val="none"/>
          <w:right w:color="000000" w:space="0" w:sz="0" w:val="none"/>
          <w:between w:color="000000" w:space="0" w:sz="0" w:val="none"/>
        </w:pBdr>
        <w:ind w:right="283"/>
        <w:rPr>
          <w:b/>
          <w:color w:val="0070E1"/>
          <w:sz w:val="24"/>
          <w:szCs w:val="24"/>
        </w:rPr>
      </w:pPr>
      <w:r>
        <w:rPr>
          <w:b/>
          <w:color w:val="0070E1"/>
          <w:sz w:val="24"/>
          <w:szCs w:val="24"/>
        </w:rPr>
        <w:t>Respecter les temps de repos obligatoires</w:t>
      </w:r>
    </w:p>
    <w:p w14:paraId="16800106"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left="720" w:right="283"/>
        <w:rPr>
          <w:b/>
          <w:color w:val="19808C"/>
          <w:sz w:val="24"/>
          <w:szCs w:val="24"/>
        </w:rPr>
      </w:pPr>
    </w:p>
    <w:p w14:paraId="47B3EEA2"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pacing w:after="200"/>
        <w:rPr>
          <w:sz w:val="23"/>
          <w:szCs w:val="23"/>
        </w:rPr>
      </w:pPr>
      <w:r>
        <w:rPr>
          <w:sz w:val="23"/>
          <w:szCs w:val="23"/>
        </w:rPr>
        <w:t>Afin de garantir une amplitude de travail raisonnable de ses jours de travail, le salarié en forfait-jours est tenu de respecter les dispositions suivantes :</w:t>
      </w:r>
    </w:p>
    <w:p w14:paraId="5CD69C8D" w14:textId="77777777" w:rsidR="00D85401" w:rsidRDefault="00000000">
      <w:pPr>
        <w:numPr>
          <w:ilvl w:val="0"/>
          <w:numId w:val="15"/>
        </w:numPr>
        <w:pBdr>
          <w:top w:color="000000" w:space="0" w:sz="0" w:val="none"/>
          <w:left w:color="000000" w:space="0" w:sz="0" w:val="none"/>
          <w:bottom w:color="000000" w:space="0" w:sz="0" w:val="none"/>
          <w:right w:color="000000" w:space="0" w:sz="0" w:val="none"/>
          <w:between w:color="000000" w:space="0" w:sz="0" w:val="none"/>
        </w:pBdr>
        <w:spacing w:line="240" w:lineRule="auto"/>
        <w:jc w:val="both"/>
        <w:rPr>
          <w:sz w:val="23"/>
          <w:szCs w:val="23"/>
        </w:rPr>
      </w:pPr>
      <w:proofErr w:type="gramStart"/>
      <w:r>
        <w:rPr>
          <w:b/>
          <w:sz w:val="23"/>
          <w:szCs w:val="23"/>
        </w:rPr>
        <w:t>un</w:t>
      </w:r>
      <w:proofErr w:type="gramEnd"/>
      <w:r>
        <w:rPr>
          <w:sz w:val="23"/>
          <w:szCs w:val="23"/>
        </w:rPr>
        <w:t xml:space="preserve"> </w:t>
      </w:r>
      <w:r>
        <w:rPr>
          <w:b/>
          <w:sz w:val="23"/>
          <w:szCs w:val="23"/>
        </w:rPr>
        <w:t>repos minimal de 11 heures consécutives</w:t>
      </w:r>
      <w:r>
        <w:rPr>
          <w:sz w:val="23"/>
          <w:szCs w:val="23"/>
        </w:rPr>
        <w:t xml:space="preserve"> entre deux journées de travail ;</w:t>
      </w:r>
    </w:p>
    <w:p w14:paraId="3040C3D6"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spacing w:line="240" w:lineRule="auto"/>
        <w:ind w:left="720"/>
        <w:jc w:val="both"/>
        <w:rPr>
          <w:sz w:val="23"/>
          <w:szCs w:val="23"/>
        </w:rPr>
      </w:pPr>
    </w:p>
    <w:p w14:paraId="3FA5B0D3" w14:textId="77777777" w:rsidR="00D85401" w:rsidRDefault="00000000">
      <w:pPr>
        <w:numPr>
          <w:ilvl w:val="0"/>
          <w:numId w:val="15"/>
        </w:numPr>
        <w:pBdr>
          <w:top w:color="000000" w:space="0" w:sz="0" w:val="none"/>
          <w:left w:color="000000" w:space="0" w:sz="0" w:val="none"/>
          <w:bottom w:color="000000" w:space="0" w:sz="0" w:val="none"/>
          <w:right w:color="000000" w:space="0" w:sz="0" w:val="none"/>
          <w:between w:color="000000" w:space="0" w:sz="0" w:val="none"/>
        </w:pBdr>
        <w:spacing w:line="240" w:lineRule="auto"/>
        <w:jc w:val="both"/>
        <w:rPr>
          <w:sz w:val="23"/>
          <w:szCs w:val="23"/>
        </w:rPr>
      </w:pPr>
      <w:proofErr w:type="gramStart"/>
      <w:r>
        <w:rPr>
          <w:b/>
          <w:sz w:val="23"/>
          <w:szCs w:val="23"/>
        </w:rPr>
        <w:t>un</w:t>
      </w:r>
      <w:proofErr w:type="gramEnd"/>
      <w:r>
        <w:rPr>
          <w:sz w:val="23"/>
          <w:szCs w:val="23"/>
        </w:rPr>
        <w:t xml:space="preserve"> </w:t>
      </w:r>
      <w:r>
        <w:rPr>
          <w:b/>
          <w:sz w:val="23"/>
          <w:szCs w:val="23"/>
        </w:rPr>
        <w:t>repos minimal hebdomadaire de 48 heures</w:t>
      </w:r>
      <w:r>
        <w:rPr>
          <w:sz w:val="23"/>
          <w:szCs w:val="23"/>
        </w:rPr>
        <w:t xml:space="preserve">, de préférence le samedi et le dimanche. Si le salarié devait, pour des raisons d'impératifs commerciaux, décider de travailler un samedi, il </w:t>
      </w:r>
      <w:proofErr w:type="gramStart"/>
      <w:r>
        <w:rPr>
          <w:sz w:val="23"/>
          <w:szCs w:val="23"/>
        </w:rPr>
        <w:t>devra</w:t>
      </w:r>
      <w:proofErr w:type="gramEnd"/>
      <w:r>
        <w:rPr>
          <w:sz w:val="23"/>
          <w:szCs w:val="23"/>
        </w:rPr>
        <w:t xml:space="preserve"> en informer préalablement son manager. </w:t>
      </w:r>
    </w:p>
    <w:p w14:paraId="527D5E73"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spacing w:line="240" w:lineRule="auto"/>
        <w:jc w:val="both"/>
        <w:rPr>
          <w:sz w:val="23"/>
          <w:szCs w:val="23"/>
        </w:rPr>
      </w:pPr>
    </w:p>
    <w:p w14:paraId="2E9D4CC7" w14:textId="77777777" w:rsidR="00D85401" w:rsidRDefault="00000000">
      <w:pPr>
        <w:numPr>
          <w:ilvl w:val="0"/>
          <w:numId w:val="15"/>
        </w:numPr>
        <w:pBdr>
          <w:top w:color="000000" w:space="0" w:sz="0" w:val="none"/>
          <w:left w:color="000000" w:space="0" w:sz="0" w:val="none"/>
          <w:bottom w:color="000000" w:space="0" w:sz="0" w:val="none"/>
          <w:right w:color="000000" w:space="0" w:sz="0" w:val="none"/>
          <w:between w:color="000000" w:space="0" w:sz="0" w:val="none"/>
        </w:pBdr>
        <w:spacing w:line="240" w:lineRule="auto"/>
        <w:jc w:val="both"/>
        <w:rPr>
          <w:sz w:val="23"/>
          <w:szCs w:val="23"/>
        </w:rPr>
      </w:pPr>
      <w:proofErr w:type="gramStart"/>
      <w:r>
        <w:rPr>
          <w:b/>
          <w:sz w:val="23"/>
          <w:szCs w:val="23"/>
        </w:rPr>
        <w:t>une</w:t>
      </w:r>
      <w:proofErr w:type="gramEnd"/>
      <w:r>
        <w:rPr>
          <w:b/>
          <w:sz w:val="23"/>
          <w:szCs w:val="23"/>
        </w:rPr>
        <w:t xml:space="preserve"> pause minimale de 20 minutes</w:t>
      </w:r>
      <w:r>
        <w:rPr>
          <w:sz w:val="23"/>
          <w:szCs w:val="23"/>
        </w:rPr>
        <w:t xml:space="preserve"> pour toute journée de travail d'au moins 6 heures.</w:t>
      </w:r>
    </w:p>
    <w:p w14:paraId="63973074"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spacing w:line="240" w:lineRule="auto"/>
        <w:jc w:val="both"/>
        <w:rPr>
          <w:sz w:val="23"/>
          <w:szCs w:val="23"/>
        </w:rPr>
      </w:pPr>
    </w:p>
    <w:p w14:paraId="3A2ABAE4"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pacing w:after="200"/>
        <w:jc w:val="both"/>
        <w:rPr>
          <w:sz w:val="23"/>
          <w:szCs w:val="23"/>
        </w:rPr>
      </w:pPr>
      <w:r>
        <w:rPr>
          <w:sz w:val="23"/>
          <w:szCs w:val="23"/>
        </w:rPr>
        <w:lastRenderedPageBreak/>
        <w:t>Les jours fériés sont en principe chômés. Si pour des raisons d'impératifs commerciaux, un salarié devait être amené à travailler un jour férié, il devra en informer préalablement son manager. Chaque jour férié travaillé sera décompté du forfait annuel, sans rémunération supplémentaire.</w:t>
      </w:r>
    </w:p>
    <w:p w14:paraId="1450941F"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pacing w:after="200"/>
        <w:rPr>
          <w:sz w:val="23"/>
          <w:szCs w:val="23"/>
        </w:rPr>
      </w:pPr>
      <w:r>
        <w:rPr>
          <w:sz w:val="23"/>
          <w:szCs w:val="23"/>
        </w:rPr>
        <w:t>Dans tous les cas, le 1</w:t>
      </w:r>
      <w:r>
        <w:rPr>
          <w:sz w:val="23"/>
          <w:szCs w:val="23"/>
          <w:vertAlign w:val="superscript"/>
        </w:rPr>
        <w:t>er</w:t>
      </w:r>
      <w:r>
        <w:rPr>
          <w:sz w:val="23"/>
          <w:szCs w:val="23"/>
        </w:rPr>
        <w:t> mai sera nécessairement chômé.</w:t>
      </w:r>
    </w:p>
    <w:p w14:paraId="724F3430"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rPr>
          <w:b/>
          <w:color w:val="1D72B2"/>
          <w:sz w:val="24"/>
          <w:szCs w:val="24"/>
        </w:rPr>
      </w:pPr>
    </w:p>
    <w:p w14:paraId="639207DA" w14:textId="77777777" w:rsidR="00D85401" w:rsidRDefault="00000000">
      <w:pPr>
        <w:numPr>
          <w:ilvl w:val="1"/>
          <w:numId w:val="10"/>
        </w:numPr>
        <w:pBdr>
          <w:top w:color="000000" w:space="0" w:sz="0" w:val="none"/>
          <w:left w:color="000000" w:space="0" w:sz="0" w:val="none"/>
          <w:bottom w:color="000000" w:space="0" w:sz="0" w:val="none"/>
          <w:right w:color="000000" w:space="0" w:sz="0" w:val="none"/>
          <w:between w:color="000000" w:space="0" w:sz="0" w:val="none"/>
        </w:pBdr>
        <w:ind w:right="283"/>
        <w:rPr>
          <w:b/>
          <w:color w:val="0070E1"/>
          <w:sz w:val="24"/>
          <w:szCs w:val="24"/>
        </w:rPr>
      </w:pPr>
      <w:r>
        <w:rPr>
          <w:b/>
          <w:color w:val="0070E1"/>
          <w:sz w:val="24"/>
          <w:szCs w:val="24"/>
        </w:rPr>
        <w:t>Alerter sa direction en cas de surcharge de travail</w:t>
      </w:r>
    </w:p>
    <w:p w14:paraId="74441E1E"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rPr>
          <w:b/>
          <w:color w:val="1D72B2"/>
          <w:sz w:val="24"/>
          <w:szCs w:val="24"/>
        </w:rPr>
      </w:pPr>
    </w:p>
    <w:p w14:paraId="744462A0"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pacing w:after="200"/>
        <w:jc w:val="both"/>
        <w:rPr>
          <w:sz w:val="23"/>
          <w:szCs w:val="23"/>
        </w:rPr>
      </w:pPr>
      <w:r>
        <w:rPr>
          <w:sz w:val="23"/>
          <w:szCs w:val="23"/>
        </w:rPr>
        <w:t xml:space="preserve">En cas de </w:t>
      </w:r>
      <w:r>
        <w:rPr>
          <w:b/>
          <w:sz w:val="23"/>
          <w:szCs w:val="23"/>
        </w:rPr>
        <w:t>surcharge anormale de travail</w:t>
      </w:r>
      <w:r>
        <w:rPr>
          <w:sz w:val="23"/>
          <w:szCs w:val="23"/>
        </w:rPr>
        <w:t xml:space="preserve"> et/ou de difficulté inhabituelle portant sur des aspects d'organisation et de charge de travail, et au-delà des entretiens annuels de suivi du forfait-jours, le salarié s’engage à alerter sa hiérarchie et pourra demander à s'entretenir avec son manager.</w:t>
      </w:r>
    </w:p>
    <w:p w14:paraId="7E888C88"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pacing w:after="200"/>
        <w:jc w:val="both"/>
        <w:rPr>
          <w:sz w:val="23"/>
          <w:szCs w:val="23"/>
        </w:rPr>
      </w:pPr>
      <w:r>
        <w:rPr>
          <w:b/>
          <w:sz w:val="23"/>
          <w:szCs w:val="23"/>
        </w:rPr>
        <w:t>Les élus du CSE</w:t>
      </w:r>
      <w:r>
        <w:rPr>
          <w:sz w:val="23"/>
          <w:szCs w:val="23"/>
        </w:rPr>
        <w:t xml:space="preserve"> peuvent également être des interlocuteurs privilégiés du salarié en cas de difficulté.</w:t>
      </w:r>
    </w:p>
    <w:p w14:paraId="578439B6"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pacing w:after="200"/>
        <w:jc w:val="both"/>
        <w:rPr>
          <w:sz w:val="23"/>
          <w:szCs w:val="23"/>
        </w:rPr>
      </w:pPr>
      <w:r>
        <w:rPr>
          <w:sz w:val="23"/>
          <w:szCs w:val="23"/>
        </w:rPr>
        <w:t>Le salarié dispose par ailleurs d'un droit d'alerte auprès du service RH, via l'envoi d'un mail portant l'objet "URGENT- charge de travail"</w:t>
      </w:r>
    </w:p>
    <w:p w14:paraId="06A6E226"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pacing w:after="200"/>
        <w:jc w:val="both"/>
        <w:rPr>
          <w:sz w:val="23"/>
          <w:szCs w:val="23"/>
        </w:rPr>
      </w:pPr>
      <w:r>
        <w:rPr>
          <w:sz w:val="23"/>
          <w:szCs w:val="23"/>
        </w:rPr>
        <w:t>A</w:t>
      </w:r>
      <w:r>
        <w:t xml:space="preserve"> </w:t>
      </w:r>
      <w:r>
        <w:rPr>
          <w:sz w:val="23"/>
          <w:szCs w:val="23"/>
        </w:rPr>
        <w:t>réception de ce mail, le service RH organisera un entretien sous 15 jours pour évoquer la charge de travail du salarié.</w:t>
      </w:r>
    </w:p>
    <w:p w14:paraId="4B3E75EA"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pacing w:after="200"/>
        <w:jc w:val="both"/>
        <w:rPr>
          <w:sz w:val="23"/>
          <w:szCs w:val="23"/>
        </w:rPr>
      </w:pPr>
      <w:r>
        <w:rPr>
          <w:sz w:val="23"/>
          <w:szCs w:val="23"/>
        </w:rPr>
        <w:t>Cet entretien lui permettra de discuter de sa surcharge de travail ou des difficultés dans l'organisation de son travail, des causes - structurelles ou conjoncturelles - pouvant expliquer celle-ci et de définir, le cas échéant, un ajustement de l'organisation de la charge de travail et de l'emploi du temps du salarié.</w:t>
      </w:r>
    </w:p>
    <w:p w14:paraId="363E6EFF"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pacing w:after="200"/>
        <w:jc w:val="both"/>
        <w:rPr>
          <w:sz w:val="23"/>
          <w:szCs w:val="23"/>
        </w:rPr>
      </w:pPr>
      <w:r>
        <w:rPr>
          <w:sz w:val="23"/>
          <w:szCs w:val="23"/>
        </w:rPr>
        <w:t>Cet entretien ayant pour objet de permettre le rétablissement d'une durée raisonnable du travail, un compte rendu sera établi pour consigner les causes identifiées de la surcharge de travail et des mesures qui ont été décidées afin de remédier à celle-ci.</w:t>
      </w:r>
    </w:p>
    <w:p w14:paraId="1434F013"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pacing w:after="200"/>
        <w:jc w:val="both"/>
        <w:rPr>
          <w:sz w:val="23"/>
          <w:szCs w:val="23"/>
        </w:rPr>
      </w:pPr>
      <w:r>
        <w:rPr>
          <w:sz w:val="23"/>
          <w:szCs w:val="23"/>
        </w:rPr>
        <w:t>Le salarié s’engage à ne pas abuser de ce dispositif d’alerte et à ne pas le détourner de son objectif : ce processus d’alerte ne pourra pas être utilisé pour faire valoir des griefs totalement étrangers à la charge excessive de travail.</w:t>
      </w:r>
    </w:p>
    <w:p w14:paraId="4DEACEA9"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left="720" w:right="283"/>
        <w:rPr>
          <w:b/>
          <w:color w:val="1D72B2"/>
          <w:sz w:val="24"/>
          <w:szCs w:val="24"/>
        </w:rPr>
      </w:pPr>
    </w:p>
    <w:p w14:paraId="4407075B" w14:textId="77777777" w:rsidR="00D85401" w:rsidRDefault="00000000">
      <w:pPr>
        <w:numPr>
          <w:ilvl w:val="0"/>
          <w:numId w:val="10"/>
        </w:numPr>
        <w:pBdr>
          <w:top w:color="000000" w:space="0" w:sz="0" w:val="none"/>
          <w:left w:color="000000" w:space="0" w:sz="0" w:val="none"/>
          <w:bottom w:color="000000" w:space="0" w:sz="0" w:val="none"/>
          <w:right w:color="000000" w:space="0" w:sz="0" w:val="none"/>
          <w:between w:color="000000" w:space="0" w:sz="0" w:val="none"/>
        </w:pBdr>
        <w:ind w:right="283"/>
        <w:rPr>
          <w:b/>
          <w:color w:val="0070E1"/>
          <w:sz w:val="28"/>
          <w:szCs w:val="28"/>
        </w:rPr>
      </w:pPr>
      <w:r>
        <w:rPr>
          <w:b/>
          <w:color w:val="0070E1"/>
          <w:sz w:val="28"/>
          <w:szCs w:val="28"/>
        </w:rPr>
        <w:t>Quelles sont les garanties proposées par l’entreprise ?</w:t>
      </w:r>
    </w:p>
    <w:p w14:paraId="5CB1FF5B"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rPr>
          <w:b/>
          <w:color w:val="0070E1"/>
          <w:sz w:val="24"/>
          <w:szCs w:val="24"/>
        </w:rPr>
      </w:pPr>
    </w:p>
    <w:p w14:paraId="339E22F9" w14:textId="77777777" w:rsidR="00D85401" w:rsidRDefault="00000000">
      <w:pPr>
        <w:numPr>
          <w:ilvl w:val="1"/>
          <w:numId w:val="10"/>
        </w:numPr>
        <w:pBdr>
          <w:top w:color="000000" w:space="0" w:sz="0" w:val="none"/>
          <w:left w:color="000000" w:space="0" w:sz="0" w:val="none"/>
          <w:bottom w:color="000000" w:space="0" w:sz="0" w:val="none"/>
          <w:right w:color="000000" w:space="0" w:sz="0" w:val="none"/>
          <w:between w:color="000000" w:space="0" w:sz="0" w:val="none"/>
        </w:pBdr>
        <w:ind w:right="283"/>
        <w:rPr>
          <w:b/>
          <w:color w:val="0070E1"/>
          <w:sz w:val="24"/>
          <w:szCs w:val="24"/>
        </w:rPr>
      </w:pPr>
      <w:r>
        <w:rPr>
          <w:b/>
          <w:color w:val="0070E1"/>
          <w:sz w:val="24"/>
          <w:szCs w:val="24"/>
        </w:rPr>
        <w:t>Le suivi de la charge de travail</w:t>
      </w:r>
    </w:p>
    <w:p w14:paraId="54B066EC"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rPr>
          <w:b/>
          <w:color w:val="1D72B2"/>
          <w:sz w:val="24"/>
          <w:szCs w:val="24"/>
        </w:rPr>
      </w:pPr>
    </w:p>
    <w:p w14:paraId="0E695BFB"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pacing w:after="200"/>
        <w:jc w:val="both"/>
        <w:rPr>
          <w:sz w:val="23"/>
          <w:szCs w:val="23"/>
        </w:rPr>
      </w:pPr>
      <w:r>
        <w:rPr>
          <w:sz w:val="23"/>
          <w:szCs w:val="23"/>
        </w:rPr>
        <w:t>Deux entretiens seront organisés chaque année sur la période de référence. Ces entretiens sont distincts des entretiens professionnels et individuels.</w:t>
      </w:r>
    </w:p>
    <w:p w14:paraId="7AFA6367"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pacing w:after="200"/>
        <w:jc w:val="both"/>
        <w:rPr>
          <w:sz w:val="23"/>
          <w:szCs w:val="23"/>
        </w:rPr>
      </w:pPr>
      <w:r>
        <w:rPr>
          <w:sz w:val="23"/>
          <w:szCs w:val="23"/>
        </w:rPr>
        <w:t>À l'occasion de ces entretiens, seront abordés avec le salarié les points suivants :</w:t>
      </w:r>
    </w:p>
    <w:p w14:paraId="72C46199" w14:textId="77777777" w:rsidR="00D85401" w:rsidRDefault="00000000">
      <w:pPr>
        <w:numPr>
          <w:ilvl w:val="0"/>
          <w:numId w:val="1"/>
        </w:numPr>
        <w:pBdr>
          <w:top w:color="000000" w:space="0" w:sz="0" w:val="none"/>
          <w:left w:color="000000" w:space="0" w:sz="0" w:val="none"/>
          <w:bottom w:color="000000" w:space="0" w:sz="0" w:val="none"/>
          <w:right w:color="000000" w:space="0" w:sz="0" w:val="none"/>
          <w:between w:color="000000" w:space="0" w:sz="0" w:val="none"/>
        </w:pBdr>
        <w:spacing w:line="240" w:lineRule="auto"/>
        <w:jc w:val="both"/>
        <w:rPr>
          <w:b/>
          <w:sz w:val="23"/>
          <w:szCs w:val="23"/>
        </w:rPr>
      </w:pPr>
      <w:proofErr w:type="gramStart"/>
      <w:r>
        <w:rPr>
          <w:sz w:val="23"/>
          <w:szCs w:val="23"/>
        </w:rPr>
        <w:t>la</w:t>
      </w:r>
      <w:proofErr w:type="gramEnd"/>
      <w:r>
        <w:rPr>
          <w:sz w:val="23"/>
          <w:szCs w:val="23"/>
        </w:rPr>
        <w:t xml:space="preserve"> </w:t>
      </w:r>
      <w:r>
        <w:rPr>
          <w:b/>
          <w:sz w:val="23"/>
          <w:szCs w:val="23"/>
        </w:rPr>
        <w:t>charge de travail du salarié</w:t>
      </w:r>
    </w:p>
    <w:p w14:paraId="72E11C18" w14:textId="77777777" w:rsidR="00D85401" w:rsidRDefault="00000000">
      <w:pPr>
        <w:numPr>
          <w:ilvl w:val="0"/>
          <w:numId w:val="1"/>
        </w:numPr>
        <w:pBdr>
          <w:top w:color="000000" w:space="0" w:sz="0" w:val="none"/>
          <w:left w:color="000000" w:space="0" w:sz="0" w:val="none"/>
          <w:bottom w:color="000000" w:space="0" w:sz="0" w:val="none"/>
          <w:right w:color="000000" w:space="0" w:sz="0" w:val="none"/>
          <w:between w:color="000000" w:space="0" w:sz="0" w:val="none"/>
        </w:pBdr>
        <w:spacing w:line="240" w:lineRule="auto"/>
        <w:jc w:val="both"/>
        <w:rPr>
          <w:sz w:val="23"/>
          <w:szCs w:val="23"/>
        </w:rPr>
      </w:pPr>
      <w:proofErr w:type="gramStart"/>
      <w:r>
        <w:rPr>
          <w:sz w:val="23"/>
          <w:szCs w:val="23"/>
        </w:rPr>
        <w:t>l'organisation</w:t>
      </w:r>
      <w:proofErr w:type="gramEnd"/>
      <w:r>
        <w:rPr>
          <w:sz w:val="23"/>
          <w:szCs w:val="23"/>
        </w:rPr>
        <w:t xml:space="preserve"> du travail</w:t>
      </w:r>
    </w:p>
    <w:p w14:paraId="40FFCC1D" w14:textId="77777777" w:rsidR="00D85401" w:rsidRDefault="00000000">
      <w:pPr>
        <w:numPr>
          <w:ilvl w:val="0"/>
          <w:numId w:val="1"/>
        </w:numPr>
        <w:pBdr>
          <w:top w:color="000000" w:space="0" w:sz="0" w:val="none"/>
          <w:left w:color="000000" w:space="0" w:sz="0" w:val="none"/>
          <w:bottom w:color="000000" w:space="0" w:sz="0" w:val="none"/>
          <w:right w:color="000000" w:space="0" w:sz="0" w:val="none"/>
          <w:between w:color="000000" w:space="0" w:sz="0" w:val="none"/>
        </w:pBdr>
        <w:spacing w:line="240" w:lineRule="auto"/>
        <w:jc w:val="both"/>
        <w:rPr>
          <w:sz w:val="23"/>
          <w:szCs w:val="23"/>
        </w:rPr>
      </w:pPr>
      <w:proofErr w:type="gramStart"/>
      <w:r>
        <w:rPr>
          <w:sz w:val="23"/>
          <w:szCs w:val="23"/>
        </w:rPr>
        <w:lastRenderedPageBreak/>
        <w:t>l'amplitude</w:t>
      </w:r>
      <w:proofErr w:type="gramEnd"/>
      <w:r>
        <w:rPr>
          <w:sz w:val="23"/>
          <w:szCs w:val="23"/>
        </w:rPr>
        <w:t xml:space="preserve"> de ses journées de travail</w:t>
      </w:r>
    </w:p>
    <w:p w14:paraId="30465711" w14:textId="77777777" w:rsidR="00D85401" w:rsidRDefault="00000000">
      <w:pPr>
        <w:numPr>
          <w:ilvl w:val="0"/>
          <w:numId w:val="1"/>
        </w:numPr>
        <w:pBdr>
          <w:top w:color="000000" w:space="0" w:sz="0" w:val="none"/>
          <w:left w:color="000000" w:space="0" w:sz="0" w:val="none"/>
          <w:bottom w:color="000000" w:space="0" w:sz="0" w:val="none"/>
          <w:right w:color="000000" w:space="0" w:sz="0" w:val="none"/>
          <w:between w:color="000000" w:space="0" w:sz="0" w:val="none"/>
        </w:pBdr>
        <w:spacing w:line="240" w:lineRule="auto"/>
        <w:jc w:val="both"/>
        <w:rPr>
          <w:sz w:val="23"/>
          <w:szCs w:val="23"/>
        </w:rPr>
      </w:pPr>
      <w:proofErr w:type="gramStart"/>
      <w:r>
        <w:rPr>
          <w:sz w:val="23"/>
          <w:szCs w:val="23"/>
        </w:rPr>
        <w:t>la</w:t>
      </w:r>
      <w:proofErr w:type="gramEnd"/>
      <w:r>
        <w:rPr>
          <w:sz w:val="23"/>
          <w:szCs w:val="23"/>
        </w:rPr>
        <w:t xml:space="preserve"> durée de ses trajets professionnels</w:t>
      </w:r>
    </w:p>
    <w:p w14:paraId="1586FB8C" w14:textId="77777777" w:rsidR="00D85401" w:rsidRDefault="00000000">
      <w:pPr>
        <w:numPr>
          <w:ilvl w:val="0"/>
          <w:numId w:val="1"/>
        </w:numPr>
        <w:pBdr>
          <w:top w:color="000000" w:space="0" w:sz="0" w:val="none"/>
          <w:left w:color="000000" w:space="0" w:sz="0" w:val="none"/>
          <w:bottom w:color="000000" w:space="0" w:sz="0" w:val="none"/>
          <w:right w:color="000000" w:space="0" w:sz="0" w:val="none"/>
          <w:between w:color="000000" w:space="0" w:sz="0" w:val="none"/>
        </w:pBdr>
        <w:spacing w:line="240" w:lineRule="auto"/>
        <w:jc w:val="both"/>
        <w:rPr>
          <w:sz w:val="23"/>
          <w:szCs w:val="23"/>
        </w:rPr>
      </w:pPr>
      <w:proofErr w:type="gramStart"/>
      <w:r>
        <w:rPr>
          <w:sz w:val="23"/>
          <w:szCs w:val="23"/>
        </w:rPr>
        <w:t>le</w:t>
      </w:r>
      <w:proofErr w:type="gramEnd"/>
      <w:r>
        <w:rPr>
          <w:sz w:val="23"/>
          <w:szCs w:val="23"/>
        </w:rPr>
        <w:t xml:space="preserve"> suivi de la prise des jours de repos et des congés</w:t>
      </w:r>
    </w:p>
    <w:p w14:paraId="766CF190" w14:textId="77777777" w:rsidR="00D85401" w:rsidRDefault="00000000">
      <w:pPr>
        <w:numPr>
          <w:ilvl w:val="0"/>
          <w:numId w:val="1"/>
        </w:numPr>
        <w:pBdr>
          <w:top w:color="000000" w:space="0" w:sz="0" w:val="none"/>
          <w:left w:color="000000" w:space="0" w:sz="0" w:val="none"/>
          <w:bottom w:color="000000" w:space="0" w:sz="0" w:val="none"/>
          <w:right w:color="000000" w:space="0" w:sz="0" w:val="none"/>
          <w:between w:color="000000" w:space="0" w:sz="0" w:val="none"/>
        </w:pBdr>
        <w:spacing w:line="240" w:lineRule="auto"/>
        <w:jc w:val="both"/>
        <w:rPr>
          <w:sz w:val="23"/>
          <w:szCs w:val="23"/>
        </w:rPr>
      </w:pPr>
      <w:proofErr w:type="gramStart"/>
      <w:r>
        <w:rPr>
          <w:sz w:val="23"/>
          <w:szCs w:val="23"/>
        </w:rPr>
        <w:t>l'articulation</w:t>
      </w:r>
      <w:proofErr w:type="gramEnd"/>
      <w:r>
        <w:rPr>
          <w:sz w:val="23"/>
          <w:szCs w:val="23"/>
        </w:rPr>
        <w:t xml:space="preserve"> entre son activité professionnelle et sa vie personnelle</w:t>
      </w:r>
    </w:p>
    <w:p w14:paraId="4C7C1AFF" w14:textId="77777777" w:rsidR="00D85401" w:rsidRDefault="00000000">
      <w:pPr>
        <w:numPr>
          <w:ilvl w:val="0"/>
          <w:numId w:val="1"/>
        </w:numPr>
        <w:pBdr>
          <w:top w:color="000000" w:space="0" w:sz="0" w:val="none"/>
          <w:left w:color="000000" w:space="0" w:sz="0" w:val="none"/>
          <w:bottom w:color="000000" w:space="0" w:sz="0" w:val="none"/>
          <w:right w:color="000000" w:space="0" w:sz="0" w:val="none"/>
          <w:between w:color="000000" w:space="0" w:sz="0" w:val="none"/>
        </w:pBdr>
        <w:spacing w:line="240" w:lineRule="auto"/>
        <w:jc w:val="both"/>
        <w:rPr>
          <w:sz w:val="23"/>
          <w:szCs w:val="23"/>
        </w:rPr>
      </w:pPr>
      <w:proofErr w:type="gramStart"/>
      <w:r>
        <w:rPr>
          <w:sz w:val="23"/>
          <w:szCs w:val="23"/>
        </w:rPr>
        <w:t>sa</w:t>
      </w:r>
      <w:proofErr w:type="gramEnd"/>
      <w:r>
        <w:rPr>
          <w:sz w:val="23"/>
          <w:szCs w:val="23"/>
        </w:rPr>
        <w:t xml:space="preserve"> rémunération</w:t>
      </w:r>
    </w:p>
    <w:p w14:paraId="502481E0"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spacing w:line="240" w:lineRule="auto"/>
        <w:jc w:val="both"/>
        <w:rPr>
          <w:sz w:val="23"/>
          <w:szCs w:val="23"/>
        </w:rPr>
      </w:pPr>
    </w:p>
    <w:p w14:paraId="23975507"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pacing w:after="200"/>
        <w:jc w:val="both"/>
        <w:rPr>
          <w:sz w:val="23"/>
          <w:szCs w:val="23"/>
        </w:rPr>
      </w:pPr>
      <w:r>
        <w:rPr>
          <w:sz w:val="23"/>
          <w:szCs w:val="23"/>
        </w:rPr>
        <w:t>Ces entretiens feront l'objet d'un compte rendu communiqué au salarié faisant état des échanges intervenus et des éventuelles mesures à mettre en œuvre pour les six mois à venir.</w:t>
      </w:r>
    </w:p>
    <w:p w14:paraId="7FA5C189"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pacing w:after="200"/>
        <w:jc w:val="both"/>
        <w:rPr>
          <w:sz w:val="23"/>
          <w:szCs w:val="23"/>
        </w:rPr>
      </w:pPr>
      <w:r>
        <w:rPr>
          <w:sz w:val="23"/>
          <w:szCs w:val="23"/>
        </w:rPr>
        <w:t>Les deux entretiens seront ainsi organisés à environ 6 mois d’intervalle.</w:t>
      </w:r>
    </w:p>
    <w:p w14:paraId="14FE965D"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rPr>
          <w:b/>
          <w:color w:val="1D72B2"/>
          <w:sz w:val="24"/>
          <w:szCs w:val="24"/>
        </w:rPr>
      </w:pPr>
    </w:p>
    <w:p w14:paraId="05DB2F5A" w14:textId="77777777" w:rsidR="00D85401" w:rsidRDefault="00000000">
      <w:pPr>
        <w:numPr>
          <w:ilvl w:val="1"/>
          <w:numId w:val="10"/>
        </w:numPr>
        <w:pBdr>
          <w:top w:color="000000" w:space="0" w:sz="0" w:val="none"/>
          <w:left w:color="000000" w:space="0" w:sz="0" w:val="none"/>
          <w:bottom w:color="000000" w:space="0" w:sz="0" w:val="none"/>
          <w:right w:color="000000" w:space="0" w:sz="0" w:val="none"/>
          <w:between w:color="000000" w:space="0" w:sz="0" w:val="none"/>
        </w:pBdr>
        <w:ind w:right="283"/>
        <w:rPr>
          <w:b/>
          <w:color w:val="0070E1"/>
          <w:sz w:val="24"/>
          <w:szCs w:val="24"/>
        </w:rPr>
      </w:pPr>
      <w:r>
        <w:rPr>
          <w:b/>
          <w:color w:val="0070E1"/>
          <w:sz w:val="24"/>
          <w:szCs w:val="24"/>
        </w:rPr>
        <w:t>Le droit à la déconnexion</w:t>
      </w:r>
    </w:p>
    <w:p w14:paraId="44B440B3"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left="1440" w:right="283"/>
        <w:rPr>
          <w:b/>
          <w:color w:val="0070E1"/>
          <w:sz w:val="24"/>
          <w:szCs w:val="24"/>
        </w:rPr>
      </w:pPr>
    </w:p>
    <w:p w14:paraId="5222E4EC"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pacing w:after="200"/>
        <w:jc w:val="both"/>
        <w:rPr>
          <w:sz w:val="23"/>
          <w:szCs w:val="23"/>
        </w:rPr>
      </w:pPr>
      <w:r>
        <w:rPr>
          <w:sz w:val="23"/>
          <w:szCs w:val="23"/>
        </w:rPr>
        <w:t>Afin de garantir un équilibre entre la vie professionnelle et la vie privée du salarié et ainsi assurer une protection de la santé de celui-ci, il est nécessaire que la charge de travail confiée par l'entreprise et que l'organisation autonome par le salarié de son emploi du temps soient réalisées dans des limites raisonnables.</w:t>
      </w:r>
    </w:p>
    <w:p w14:paraId="1FB52008"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pacing w:after="200"/>
        <w:jc w:val="both"/>
        <w:rPr>
          <w:sz w:val="23"/>
          <w:szCs w:val="23"/>
        </w:rPr>
      </w:pPr>
      <w:r>
        <w:rPr>
          <w:sz w:val="23"/>
          <w:szCs w:val="23"/>
        </w:rPr>
        <w:t>L'utilisation des outils de communication mis à disposition des salariés bénéficiant d'une convention de forfait en jours sur l'année doit respecter leur vie personnelle. Ils bénéficient d'un droit à déconnexion les soirs, les weekends et pendant leurs congés, ainsi que l'ensemble des périodes de suspension de leur contrat de travail, sauf circonstances exceptionnelles.</w:t>
      </w:r>
    </w:p>
    <w:p w14:paraId="029A94C6"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pacing w:after="200"/>
        <w:jc w:val="both"/>
        <w:rPr>
          <w:sz w:val="23"/>
          <w:szCs w:val="23"/>
        </w:rPr>
      </w:pPr>
      <w:r>
        <w:rPr>
          <w:sz w:val="23"/>
          <w:szCs w:val="23"/>
        </w:rPr>
        <w:t xml:space="preserve">Ce droit à la déconnexion consiste à éteindre et/ou désactiver les outils de communication mis à leur disposition comme le téléphone portable, l'ordinateur portable et la messagerie électronique professionnelle en dehors des heures habituelles de travail. </w:t>
      </w:r>
    </w:p>
    <w:p w14:paraId="7F4A1670"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pacing w:after="200"/>
        <w:jc w:val="both"/>
        <w:rPr>
          <w:sz w:val="23"/>
          <w:szCs w:val="23"/>
        </w:rPr>
      </w:pPr>
      <w:r>
        <w:rPr>
          <w:sz w:val="23"/>
          <w:szCs w:val="23"/>
        </w:rPr>
        <w:t xml:space="preserve">Les salariés ne sont pas tenus de consulter et de répondre aux courriels, messages ou appels téléphoniques professionnels pendant ces horaires, et lors de leurs jours de repos. Il ne pourra donc pas leur être reproché de ne pas avoir répondu à un </w:t>
      </w:r>
      <w:proofErr w:type="gramStart"/>
      <w:r>
        <w:rPr>
          <w:sz w:val="23"/>
          <w:szCs w:val="23"/>
        </w:rPr>
        <w:t>e-mail</w:t>
      </w:r>
      <w:proofErr w:type="gramEnd"/>
      <w:r>
        <w:rPr>
          <w:sz w:val="23"/>
          <w:szCs w:val="23"/>
        </w:rPr>
        <w:t xml:space="preserve"> ou un message sur ces périodes et ils ne pourront faire l’objet d’aucune sanction à ce titre.</w:t>
      </w:r>
    </w:p>
    <w:p w14:paraId="584BD4D4"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pacing w:after="200"/>
        <w:jc w:val="both"/>
        <w:rPr>
          <w:sz w:val="23"/>
          <w:szCs w:val="23"/>
        </w:rPr>
      </w:pPr>
      <w:r>
        <w:rPr>
          <w:sz w:val="23"/>
          <w:szCs w:val="23"/>
        </w:rPr>
        <w:t xml:space="preserve">Il est également demandé aux salariés, pendant ces périodes, de limiter au strict nécessaire et à l'exceptionnel, l'envoi </w:t>
      </w:r>
      <w:proofErr w:type="gramStart"/>
      <w:r>
        <w:rPr>
          <w:sz w:val="23"/>
          <w:szCs w:val="23"/>
        </w:rPr>
        <w:t>d’e-mails</w:t>
      </w:r>
      <w:proofErr w:type="gramEnd"/>
      <w:r>
        <w:rPr>
          <w:sz w:val="23"/>
          <w:szCs w:val="23"/>
        </w:rPr>
        <w:t xml:space="preserve"> ou les appels téléphoniques. Des actions de sensibilisation seront menées dans l’entreprise sur l’importance du respect des temps de repos pour l’ensemble des collaborateurs, ainsi que sur les bonnes pratiques de communication :</w:t>
      </w:r>
    </w:p>
    <w:p w14:paraId="7030A972" w14:textId="77777777" w:rsidR="00D85401" w:rsidRDefault="00000000">
      <w:pPr>
        <w:numPr>
          <w:ilvl w:val="0"/>
          <w:numId w:val="8"/>
        </w:numPr>
        <w:pBdr>
          <w:top w:color="000000" w:space="0" w:sz="0" w:val="none"/>
          <w:left w:color="000000" w:space="0" w:sz="0" w:val="none"/>
          <w:bottom w:color="000000" w:space="0" w:sz="0" w:val="none"/>
          <w:right w:color="000000" w:space="0" w:sz="0" w:val="none"/>
          <w:between w:color="000000" w:space="0" w:sz="0" w:val="none"/>
        </w:pBdr>
        <w:spacing w:line="240" w:lineRule="auto"/>
        <w:jc w:val="both"/>
        <w:rPr>
          <w:sz w:val="23"/>
          <w:szCs w:val="23"/>
        </w:rPr>
      </w:pPr>
      <w:r>
        <w:rPr>
          <w:sz w:val="23"/>
          <w:szCs w:val="23"/>
        </w:rPr>
        <w:t>Éviter les envois groupés et cibler au mieux les destinataires d’un mail</w:t>
      </w:r>
    </w:p>
    <w:p w14:paraId="15E171DA" w14:textId="77777777" w:rsidR="00D85401" w:rsidRDefault="00000000">
      <w:pPr>
        <w:numPr>
          <w:ilvl w:val="0"/>
          <w:numId w:val="8"/>
        </w:numPr>
        <w:pBdr>
          <w:top w:color="000000" w:space="0" w:sz="0" w:val="none"/>
          <w:left w:color="000000" w:space="0" w:sz="0" w:val="none"/>
          <w:bottom w:color="000000" w:space="0" w:sz="0" w:val="none"/>
          <w:right w:color="000000" w:space="0" w:sz="0" w:val="none"/>
          <w:between w:color="000000" w:space="0" w:sz="0" w:val="none"/>
        </w:pBdr>
        <w:spacing w:line="240" w:lineRule="auto"/>
        <w:jc w:val="both"/>
        <w:rPr>
          <w:sz w:val="23"/>
          <w:szCs w:val="23"/>
        </w:rPr>
      </w:pPr>
      <w:r>
        <w:rPr>
          <w:sz w:val="23"/>
          <w:szCs w:val="23"/>
        </w:rPr>
        <w:t>Utiliser les fonctions d’envoi différés (Mail et Slack) pendant les temps de repos des interlocuteurs</w:t>
      </w:r>
    </w:p>
    <w:p w14:paraId="04D9805B" w14:textId="77777777" w:rsidR="00D85401" w:rsidRDefault="00000000">
      <w:pPr>
        <w:numPr>
          <w:ilvl w:val="0"/>
          <w:numId w:val="8"/>
        </w:numPr>
        <w:pBdr>
          <w:top w:color="000000" w:space="0" w:sz="0" w:val="none"/>
          <w:left w:color="000000" w:space="0" w:sz="0" w:val="none"/>
          <w:bottom w:color="000000" w:space="0" w:sz="0" w:val="none"/>
          <w:right w:color="000000" w:space="0" w:sz="0" w:val="none"/>
          <w:between w:color="000000" w:space="0" w:sz="0" w:val="none"/>
        </w:pBdr>
        <w:spacing w:line="240" w:lineRule="auto"/>
        <w:jc w:val="both"/>
        <w:rPr>
          <w:sz w:val="23"/>
          <w:szCs w:val="23"/>
        </w:rPr>
      </w:pPr>
      <w:r>
        <w:rPr>
          <w:sz w:val="23"/>
          <w:szCs w:val="23"/>
        </w:rPr>
        <w:t xml:space="preserve">Utiliser un message d’absence pendant les jours de repos contenant les coordonnées des personnes à contacter en cas d’urgence </w:t>
      </w:r>
    </w:p>
    <w:p w14:paraId="271DD377"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spacing w:line="240" w:lineRule="auto"/>
        <w:ind w:left="720"/>
        <w:jc w:val="both"/>
        <w:rPr>
          <w:sz w:val="23"/>
          <w:szCs w:val="23"/>
        </w:rPr>
      </w:pPr>
    </w:p>
    <w:p w14:paraId="3E463CBF"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pacing w:after="200"/>
        <w:jc w:val="both"/>
        <w:rPr>
          <w:sz w:val="23"/>
          <w:szCs w:val="23"/>
        </w:rPr>
      </w:pPr>
      <w:r>
        <w:rPr>
          <w:sz w:val="23"/>
          <w:szCs w:val="23"/>
        </w:rPr>
        <w:t>A titre exceptionnel, les salariés pourront être contactés sur ces temps de repos en cas d’urgence impérative dépassant le cadre de travail habituel.</w:t>
      </w:r>
    </w:p>
    <w:p w14:paraId="27952DED" w14:textId="77777777" w:rsidR="00D85401" w:rsidRDefault="00000000">
      <w:pPr>
        <w:numPr>
          <w:ilvl w:val="1"/>
          <w:numId w:val="10"/>
        </w:numPr>
        <w:pBdr>
          <w:top w:color="000000" w:space="0" w:sz="0" w:val="none"/>
          <w:left w:color="000000" w:space="0" w:sz="0" w:val="none"/>
          <w:bottom w:color="000000" w:space="0" w:sz="0" w:val="none"/>
          <w:right w:color="000000" w:space="0" w:sz="0" w:val="none"/>
          <w:between w:color="000000" w:space="0" w:sz="0" w:val="none"/>
        </w:pBdr>
        <w:ind w:right="283"/>
        <w:rPr>
          <w:b/>
          <w:color w:val="0070E1"/>
          <w:sz w:val="24"/>
          <w:szCs w:val="24"/>
        </w:rPr>
      </w:pPr>
      <w:r>
        <w:rPr>
          <w:b/>
          <w:color w:val="0070E1"/>
          <w:sz w:val="24"/>
          <w:szCs w:val="24"/>
        </w:rPr>
        <w:lastRenderedPageBreak/>
        <w:t>Précisions sur la rémunération</w:t>
      </w:r>
    </w:p>
    <w:p w14:paraId="210F9BF7"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spacing w:line="240" w:lineRule="auto"/>
        <w:ind w:left="720"/>
        <w:jc w:val="both"/>
        <w:rPr>
          <w:sz w:val="23"/>
          <w:szCs w:val="23"/>
        </w:rPr>
      </w:pPr>
    </w:p>
    <w:p w14:paraId="6EDF156A"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ind w:right="283"/>
        <w:jc w:val="both"/>
        <w:rPr>
          <w:color w:val="333333"/>
          <w:sz w:val="23"/>
          <w:szCs w:val="23"/>
        </w:rPr>
      </w:pPr>
      <w:r>
        <w:rPr>
          <w:color w:val="333333"/>
          <w:sz w:val="23"/>
          <w:szCs w:val="23"/>
        </w:rPr>
        <w:t xml:space="preserve">Par dérogation aux dispositions de la Convention collective SYNTEC, les salariés relevant de la modalité 3 ne percevront pas obligatoirement de rémunération supérieure au salaire conventionnel correspondant à leur classification. </w:t>
      </w:r>
    </w:p>
    <w:p w14:paraId="7F4576AB"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spacing w:line="240" w:lineRule="auto"/>
        <w:ind w:left="720"/>
        <w:jc w:val="both"/>
        <w:rPr>
          <w:sz w:val="23"/>
          <w:szCs w:val="23"/>
        </w:rPr>
      </w:pPr>
    </w:p>
    <w:p w14:paraId="26E6855E"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spacing w:line="240" w:lineRule="auto"/>
        <w:jc w:val="both"/>
        <w:rPr>
          <w:sz w:val="23"/>
          <w:szCs w:val="23"/>
        </w:rPr>
      </w:pPr>
    </w:p>
    <w:p w14:paraId="74973BBD"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spacing w:line="240" w:lineRule="auto"/>
        <w:ind w:left="720"/>
        <w:jc w:val="both"/>
        <w:rPr>
          <w:sz w:val="23"/>
          <w:szCs w:val="23"/>
        </w:rPr>
      </w:pPr>
    </w:p>
    <w:tbl>
      <w:tblPr>
        <w:tblStyle w:val="a5"/>
        <w:tblW w:type="dxa" w:w="9350"/>
        <w:tblInd w:type="dxa" w:w="-5"/>
        <w:tblBorders>
          <w:top w:val="nil"/>
          <w:left w:val="nil"/>
          <w:bottom w:val="nil"/>
          <w:right w:val="nil"/>
          <w:insideH w:val="nil"/>
          <w:insideV w:val="nil"/>
        </w:tblBorders>
        <w:tblLayout w:type="fixed"/>
        <w:tblLook w:firstColumn="0" w:firstRow="0" w:lastColumn="0" w:lastRow="0" w:noHBand="0" w:noVBand="1" w:val="0400"/>
      </w:tblPr>
      <w:tblGrid>
        <w:gridCol w:w="9350"/>
      </w:tblGrid>
      <w:tr w14:paraId="5213682C" w14:textId="77777777" w:rsidR="00D85401">
        <w:tc>
          <w:tcPr>
            <w:tcW w:type="dxa" w:w="9350"/>
            <w:shd w:color="auto" w:fill="DEEBF6" w:val="clear"/>
          </w:tcPr>
          <w:p w14:paraId="68DBC4A2" w14:textId="77777777" w:rsidR="00D85401" w:rsidRDefault="00000000">
            <w:pPr>
              <w:numPr>
                <w:ilvl w:val="0"/>
                <w:numId w:val="14"/>
              </w:numPr>
              <w:pBdr>
                <w:top w:color="000000" w:space="0" w:sz="0" w:val="none"/>
                <w:left w:color="000000" w:space="0" w:sz="0" w:val="none"/>
                <w:bottom w:color="000000" w:space="0" w:sz="0" w:val="none"/>
                <w:right w:color="000000" w:space="0" w:sz="0" w:val="none"/>
                <w:between w:color="000000" w:space="0" w:sz="0" w:val="none"/>
              </w:pBdr>
              <w:shd w:color="auto" w:fill="DEEBF6" w:val="clear"/>
              <w:spacing w:after="200" w:line="276" w:lineRule="auto"/>
              <w:jc w:val="both"/>
              <w:rPr>
                <w:b/>
                <w:sz w:val="28"/>
                <w:szCs w:val="28"/>
              </w:rPr>
            </w:pPr>
            <w:r>
              <w:rPr>
                <w:rFonts w:ascii="Arial" w:cs="Arial" w:eastAsia="Arial" w:hAnsi="Arial"/>
                <w:b/>
                <w:color w:val="0070E1"/>
                <w:sz w:val="28"/>
                <w:szCs w:val="28"/>
              </w:rPr>
              <w:t>INFORMATIONS SUR LE PRESENT ACCORD</w:t>
            </w:r>
          </w:p>
        </w:tc>
      </w:tr>
    </w:tbl>
    <w:p w14:paraId="4D903A59"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spacing w:after="200"/>
        <w:jc w:val="both"/>
        <w:rPr>
          <w:sz w:val="23"/>
          <w:szCs w:val="23"/>
        </w:rPr>
      </w:pPr>
    </w:p>
    <w:p w14:paraId="311B446C"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pacing w:after="200"/>
        <w:jc w:val="both"/>
        <w:rPr>
          <w:sz w:val="23"/>
          <w:szCs w:val="23"/>
        </w:rPr>
      </w:pPr>
      <w:r>
        <w:rPr>
          <w:sz w:val="23"/>
          <w:szCs w:val="23"/>
        </w:rPr>
        <w:t xml:space="preserve">Les termes du présent accord ont été négociés et arrêtés avec </w:t>
      </w:r>
      <w:proofErr w:type="gramStart"/>
      <w:r>
        <w:rPr>
          <w:sz w:val="23"/>
          <w:szCs w:val="23"/>
        </w:rPr>
        <w:t>Madame,  élu</w:t>
      </w:r>
      <w:proofErr w:type="gramEnd"/>
      <w:r>
        <w:rPr>
          <w:sz w:val="23"/>
          <w:szCs w:val="23"/>
        </w:rPr>
        <w:t xml:space="preserve"> au Comité Social et économique (CSE) de la société KACTUS, lors de la réunion qui s’est tenue le 16 mars 2023. </w:t>
      </w:r>
      <w:proofErr w:type="gramStart"/>
      <w:r>
        <w:rPr>
          <w:sz w:val="23"/>
          <w:szCs w:val="23"/>
        </w:rPr>
        <w:t>Madame,  est</w:t>
      </w:r>
      <w:proofErr w:type="gramEnd"/>
      <w:r>
        <w:rPr>
          <w:sz w:val="23"/>
          <w:szCs w:val="23"/>
        </w:rPr>
        <w:t xml:space="preserve"> élu titulaire du CSE, et a obtenu la majorité des suffrages exprimés lors des dernières élections professionnelles.</w:t>
      </w:r>
    </w:p>
    <w:p w14:paraId="7E1C9FC6"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pacing w:after="200"/>
        <w:jc w:val="both"/>
        <w:rPr>
          <w:sz w:val="23"/>
          <w:szCs w:val="23"/>
        </w:rPr>
      </w:pPr>
      <w:r>
        <w:rPr>
          <w:sz w:val="23"/>
          <w:szCs w:val="23"/>
        </w:rPr>
        <w:t xml:space="preserve">L’accord d’entreprise est conclu pour une durée indéterminée. Il entrera en vigueur à compter du 01/04/2023. Il pourra être dénoncé ou révisé, à tout moment, en respectant la procédure légale applicable. Le présent accord sera déposé sur la plateforme de télé-procédure en ligne </w:t>
      </w:r>
      <w:hyperlink r:id="rId7">
        <w:r>
          <w:rPr>
            <w:color w:val="0563C1"/>
            <w:sz w:val="23"/>
            <w:szCs w:val="23"/>
            <w:u w:val="single"/>
          </w:rPr>
          <w:t>www.teleaccords.travail-emploi.gouv.fr</w:t>
        </w:r>
      </w:hyperlink>
      <w:r>
        <w:rPr>
          <w:sz w:val="23"/>
          <w:szCs w:val="23"/>
          <w:vertAlign w:val="superscript"/>
        </w:rPr>
        <w:footnoteReference w:id="2"/>
      </w:r>
      <w:r>
        <w:rPr>
          <w:sz w:val="23"/>
          <w:szCs w:val="23"/>
        </w:rPr>
        <w:t>. Il sera également adressé par l'entreprise au greffe du Conseil de Prud'hommes de Paris et à la Commission paritaire permanente de négociation et d’interprétation (CPPNI) de la branche Syntec.</w:t>
      </w:r>
    </w:p>
    <w:p w14:paraId="2B2A6624"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pacing w:after="200"/>
        <w:jc w:val="both"/>
        <w:rPr>
          <w:sz w:val="23"/>
          <w:szCs w:val="23"/>
        </w:rPr>
      </w:pPr>
      <w:r>
        <w:rPr>
          <w:sz w:val="23"/>
          <w:szCs w:val="23"/>
        </w:rPr>
        <w:t xml:space="preserve">Il sera diffusé à tous les salariés de la société KACTUS par </w:t>
      </w:r>
      <w:proofErr w:type="gramStart"/>
      <w:r>
        <w:rPr>
          <w:sz w:val="23"/>
          <w:szCs w:val="23"/>
        </w:rPr>
        <w:t>email</w:t>
      </w:r>
      <w:proofErr w:type="gramEnd"/>
      <w:r>
        <w:rPr>
          <w:sz w:val="23"/>
          <w:szCs w:val="23"/>
        </w:rPr>
        <w:t xml:space="preserve"> et une version papier sera également tenue à disposition dans les locaux de la société.</w:t>
      </w:r>
    </w:p>
    <w:p w14:paraId="149D4C9F"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spacing w:after="200"/>
        <w:rPr>
          <w:sz w:val="23"/>
          <w:szCs w:val="23"/>
        </w:rPr>
      </w:pPr>
    </w:p>
    <w:p w14:paraId="685AC8D2"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spacing w:after="200"/>
        <w:rPr>
          <w:sz w:val="23"/>
          <w:szCs w:val="23"/>
        </w:rPr>
      </w:pPr>
    </w:p>
    <w:p w14:paraId="7DD71373"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spacing w:after="200"/>
        <w:rPr>
          <w:sz w:val="23"/>
          <w:szCs w:val="23"/>
        </w:rPr>
      </w:pPr>
    </w:p>
    <w:p w14:paraId="3F1229F3"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pacing w:after="200"/>
        <w:rPr>
          <w:sz w:val="23"/>
          <w:szCs w:val="23"/>
        </w:rPr>
      </w:pPr>
      <w:r>
        <w:rPr>
          <w:sz w:val="23"/>
          <w:szCs w:val="23"/>
        </w:rPr>
        <w:t>Fait à Paris le</w:t>
      </w:r>
    </w:p>
    <w:tbl>
      <w:tblPr>
        <w:tblStyle w:val="a6"/>
        <w:tblW w:type="dxa" w:w="9345"/>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firstColumn="0" w:firstRow="0" w:lastColumn="0" w:lastRow="0" w:noHBand="0" w:noVBand="1" w:val="0400"/>
      </w:tblPr>
      <w:tblGrid>
        <w:gridCol w:w="4661"/>
        <w:gridCol w:w="4684"/>
      </w:tblGrid>
      <w:tr w14:paraId="6F8A9667" w14:textId="77777777" w:rsidR="00D85401">
        <w:tc>
          <w:tcPr>
            <w:tcW w:type="dxa" w:w="4661"/>
          </w:tcPr>
          <w:p w14:paraId="36E01CD4"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rPr>
                <w:rFonts w:ascii="Arial" w:cs="Arial" w:eastAsia="Arial" w:hAnsi="Arial"/>
                <w:sz w:val="23"/>
                <w:szCs w:val="23"/>
              </w:rPr>
            </w:pPr>
          </w:p>
          <w:p w14:paraId="4EBECAC7"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ind w:right="283"/>
              <w:rPr>
                <w:rFonts w:ascii="Arial" w:cs="Arial" w:eastAsia="Arial" w:hAnsi="Arial"/>
                <w:b/>
                <w:sz w:val="23"/>
                <w:szCs w:val="23"/>
              </w:rPr>
            </w:pPr>
            <w:r>
              <w:rPr>
                <w:rFonts w:ascii="Arial" w:cs="Arial" w:eastAsia="Arial" w:hAnsi="Arial"/>
                <w:b/>
                <w:sz w:val="23"/>
                <w:szCs w:val="23"/>
              </w:rPr>
              <w:t>Pour l’entreprise KACTUS</w:t>
            </w:r>
          </w:p>
          <w:p w14:paraId="0876255D"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rPr>
                <w:rFonts w:ascii="Arial" w:cs="Arial" w:eastAsia="Arial" w:hAnsi="Arial"/>
                <w:b/>
                <w:sz w:val="23"/>
                <w:szCs w:val="23"/>
              </w:rPr>
            </w:pPr>
          </w:p>
          <w:p w14:paraId="378417EF"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rPr>
                <w:rFonts w:ascii="Arial" w:cs="Arial" w:eastAsia="Arial" w:hAnsi="Arial"/>
                <w:sz w:val="23"/>
                <w:szCs w:val="23"/>
              </w:rPr>
            </w:pPr>
          </w:p>
          <w:p w14:paraId="6196F9AC"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rPr>
                <w:rFonts w:ascii="Arial" w:cs="Arial" w:eastAsia="Arial" w:hAnsi="Arial"/>
                <w:sz w:val="23"/>
                <w:szCs w:val="23"/>
              </w:rPr>
            </w:pPr>
          </w:p>
          <w:p w14:paraId="77F5311E"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rPr>
                <w:rFonts w:ascii="Arial" w:cs="Arial" w:eastAsia="Arial" w:hAnsi="Arial"/>
                <w:sz w:val="23"/>
                <w:szCs w:val="23"/>
              </w:rPr>
            </w:pPr>
          </w:p>
          <w:p w14:paraId="21E7DE07"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rPr>
                <w:rFonts w:ascii="Arial" w:cs="Arial" w:eastAsia="Arial" w:hAnsi="Arial"/>
                <w:sz w:val="23"/>
                <w:szCs w:val="23"/>
              </w:rPr>
            </w:pPr>
          </w:p>
          <w:p w14:paraId="573D6797"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rPr>
                <w:rFonts w:ascii="Arial" w:cs="Arial" w:eastAsia="Arial" w:hAnsi="Arial"/>
                <w:sz w:val="23"/>
                <w:szCs w:val="23"/>
              </w:rPr>
            </w:pPr>
          </w:p>
          <w:p w14:paraId="69BBFCC5"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rPr>
                <w:rFonts w:ascii="Arial" w:cs="Arial" w:eastAsia="Arial" w:hAnsi="Arial"/>
                <w:sz w:val="23"/>
                <w:szCs w:val="23"/>
              </w:rPr>
            </w:pPr>
          </w:p>
        </w:tc>
        <w:tc>
          <w:tcPr>
            <w:tcW w:type="dxa" w:w="4684"/>
          </w:tcPr>
          <w:p w14:paraId="6BDD0780"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rPr>
                <w:rFonts w:ascii="Arial" w:cs="Arial" w:eastAsia="Arial" w:hAnsi="Arial"/>
                <w:sz w:val="23"/>
                <w:szCs w:val="23"/>
              </w:rPr>
            </w:pPr>
          </w:p>
          <w:p w14:paraId="1975B5F5"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rPr>
                <w:rFonts w:ascii="Arial" w:cs="Arial" w:eastAsia="Arial" w:hAnsi="Arial"/>
                <w:b/>
                <w:sz w:val="23"/>
                <w:szCs w:val="23"/>
              </w:rPr>
            </w:pPr>
          </w:p>
          <w:p w14:paraId="53D2469A"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ind w:right="283"/>
              <w:rPr>
                <w:rFonts w:ascii="Arial" w:cs="Arial" w:eastAsia="Arial" w:hAnsi="Arial"/>
                <w:b/>
                <w:sz w:val="23"/>
                <w:szCs w:val="23"/>
              </w:rPr>
            </w:pPr>
            <w:r>
              <w:rPr>
                <w:rFonts w:ascii="Arial" w:cs="Arial" w:eastAsia="Arial" w:hAnsi="Arial"/>
                <w:b/>
                <w:sz w:val="23"/>
                <w:szCs w:val="23"/>
              </w:rPr>
              <w:t xml:space="preserve">Élu titulaire au Comité économique et social </w:t>
            </w:r>
            <w:proofErr w:type="gramStart"/>
            <w:r>
              <w:rPr>
                <w:rFonts w:ascii="Arial" w:cs="Arial" w:eastAsia="Arial" w:hAnsi="Arial"/>
                <w:b/>
                <w:sz w:val="23"/>
                <w:szCs w:val="23"/>
              </w:rPr>
              <w:t>( CSE</w:t>
            </w:r>
            <w:proofErr w:type="gramEnd"/>
            <w:r>
              <w:rPr>
                <w:rFonts w:ascii="Arial" w:cs="Arial" w:eastAsia="Arial" w:hAnsi="Arial"/>
                <w:b/>
                <w:sz w:val="23"/>
                <w:szCs w:val="23"/>
              </w:rPr>
              <w:t>) de la société KACTUS</w:t>
            </w:r>
            <w:r>
              <w:rPr>
                <w:rFonts w:ascii="Arial" w:cs="Arial" w:eastAsia="Arial" w:hAnsi="Arial"/>
                <w:b/>
                <w:sz w:val="23"/>
                <w:szCs w:val="23"/>
                <w:vertAlign w:val="superscript"/>
              </w:rPr>
              <w:t xml:space="preserve"> </w:t>
            </w:r>
            <w:r>
              <w:rPr>
                <w:rFonts w:ascii="Arial" w:cs="Arial" w:eastAsia="Arial" w:hAnsi="Arial"/>
                <w:b/>
                <w:sz w:val="23"/>
                <w:szCs w:val="23"/>
                <w:vertAlign w:val="superscript"/>
              </w:rPr>
              <w:footnoteReference w:id="3"/>
            </w:r>
          </w:p>
          <w:p w14:paraId="44EB708A"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rPr>
                <w:rFonts w:ascii="Arial" w:cs="Arial" w:eastAsia="Arial" w:hAnsi="Arial"/>
                <w:sz w:val="23"/>
                <w:szCs w:val="23"/>
              </w:rPr>
            </w:pPr>
          </w:p>
          <w:p w14:paraId="17493BDF" w14:textId="77777777" w:rsidR="00D85401" w:rsidRDefault="00D85401">
            <w:pPr>
              <w:pBdr>
                <w:top w:color="000000" w:space="0" w:sz="0" w:val="none"/>
                <w:left w:color="000000" w:space="0" w:sz="0" w:val="none"/>
                <w:bottom w:color="000000" w:space="0" w:sz="0" w:val="none"/>
                <w:right w:color="000000" w:space="0" w:sz="0" w:val="none"/>
                <w:between w:color="000000" w:space="0" w:sz="0" w:val="none"/>
              </w:pBdr>
              <w:ind w:right="283"/>
              <w:rPr>
                <w:rFonts w:ascii="Arial" w:cs="Arial" w:eastAsia="Arial" w:hAnsi="Arial"/>
                <w:sz w:val="23"/>
                <w:szCs w:val="23"/>
              </w:rPr>
            </w:pPr>
          </w:p>
        </w:tc>
      </w:tr>
    </w:tbl>
    <w:p w14:paraId="546BA5F8" w14:textId="77777777" w:rsidR="00D85401" w:rsidRDefault="00D85401"/>
    <w:sectPr w:rsidR="00D85401">
      <w:pgSz w:h="16834" w:w="11909"/>
      <w:pgMar w:bottom="1440" w:footer="720" w:gutter="0" w:header="720" w:left="1440" w:right="1440" w:top="144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3D41F8" w14:textId="77777777" w:rsidR="000913BB" w:rsidRDefault="000913BB">
      <w:pPr>
        <w:spacing w:line="240" w:lineRule="auto"/>
      </w:pPr>
      <w:r>
        <w:separator/>
      </w:r>
    </w:p>
  </w:endnote>
  <w:endnote w:type="continuationSeparator" w:id="0">
    <w:p w14:paraId="55F9137F" w14:textId="77777777" w:rsidR="000913BB" w:rsidRDefault="000913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footnote w:id="-1" w:type="separator">
    <w:p w14:paraId="1B73F21C" w14:textId="77777777" w:rsidR="000913BB" w:rsidRDefault="000913BB">
      <w:pPr>
        <w:spacing w:line="240" w:lineRule="auto"/>
      </w:pPr>
      <w:r>
        <w:separator/>
      </w:r>
    </w:p>
  </w:footnote>
  <w:footnote w:id="0" w:type="continuationSeparator">
    <w:p w14:paraId="294FF597" w14:textId="77777777" w:rsidR="000913BB" w:rsidRDefault="000913BB">
      <w:pPr>
        <w:spacing w:line="240" w:lineRule="auto"/>
      </w:pPr>
      <w:r>
        <w:continuationSeparator/>
      </w:r>
    </w:p>
  </w:footnote>
  <w:footnote w:id="1">
    <w:p w14:paraId="3A1DF3CD"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pacing w:line="240" w:lineRule="auto"/>
        <w:rPr>
          <w:sz w:val="20"/>
          <w:szCs w:val="20"/>
        </w:rPr>
      </w:pPr>
      <w:r>
        <w:rPr>
          <w:vertAlign w:val="superscript"/>
        </w:rPr>
        <w:footnoteRef/>
      </w:r>
      <w:r>
        <w:rPr>
          <w:sz w:val="20"/>
          <w:szCs w:val="20"/>
        </w:rPr>
        <w:t xml:space="preserve"> Convention collective nationale des bureaux d'études techniques, des cabinets d'ingénieurs-conseils et des sociétés de conseils du 15 décembre 1987 </w:t>
      </w:r>
      <w:proofErr w:type="gramStart"/>
      <w:r>
        <w:rPr>
          <w:sz w:val="20"/>
          <w:szCs w:val="20"/>
        </w:rPr>
        <w:t>( IDCC</w:t>
      </w:r>
      <w:proofErr w:type="gramEnd"/>
      <w:r>
        <w:rPr>
          <w:sz w:val="20"/>
          <w:szCs w:val="20"/>
        </w:rPr>
        <w:t xml:space="preserve"> 1486).</w:t>
      </w:r>
    </w:p>
  </w:footnote>
  <w:footnote w:id="2">
    <w:p w14:paraId="2A1EDE42"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pacing w:line="240" w:lineRule="auto"/>
        <w:rPr>
          <w:sz w:val="18"/>
          <w:szCs w:val="18"/>
        </w:rPr>
      </w:pPr>
      <w:r>
        <w:rPr>
          <w:vertAlign w:val="superscript"/>
        </w:rPr>
        <w:footnoteRef/>
      </w:r>
      <w:r>
        <w:rPr>
          <w:sz w:val="20"/>
          <w:szCs w:val="20"/>
        </w:rPr>
        <w:t xml:space="preserve"> </w:t>
      </w:r>
      <w:r>
        <w:rPr>
          <w:sz w:val="18"/>
          <w:szCs w:val="18"/>
        </w:rPr>
        <w:t>Conformément aux dispositions de l'article L. 2232-29-1 du Code du travail.</w:t>
      </w:r>
    </w:p>
  </w:footnote>
  <w:footnote w:id="3">
    <w:p w14:paraId="7D415B32" w14:textId="77777777" w:rsidR="00D85401" w:rsidRDefault="00000000">
      <w:pPr>
        <w:pBdr>
          <w:top w:color="000000" w:space="0" w:sz="0" w:val="none"/>
          <w:left w:color="000000" w:space="0" w:sz="0" w:val="none"/>
          <w:bottom w:color="000000" w:space="0" w:sz="0" w:val="none"/>
          <w:right w:color="000000" w:space="0" w:sz="0" w:val="none"/>
          <w:between w:color="000000" w:space="0" w:sz="0" w:val="none"/>
        </w:pBdr>
        <w:spacing w:line="240" w:lineRule="auto"/>
        <w:rPr>
          <w:sz w:val="18"/>
          <w:szCs w:val="18"/>
        </w:rPr>
      </w:pPr>
      <w:r>
        <w:rPr>
          <w:vertAlign w:val="superscript"/>
        </w:rPr>
        <w:footnoteRef/>
      </w:r>
      <w:r>
        <w:rPr>
          <w:sz w:val="18"/>
          <w:szCs w:val="18"/>
        </w:rPr>
        <w:t xml:space="preserve"> Signature précédée de la mention « Bon pour accord ».</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03021079"/>
    <w:multiLevelType w:val="multilevel"/>
    <w:tmpl w:val="30A6BDA2"/>
    <w:lvl w:ilvl="0">
      <w:numFmt w:val="bullet"/>
      <w:lvlText w:val="-"/>
      <w:lvlJc w:val="left"/>
      <w:pPr>
        <w:ind w:hanging="360" w:left="720"/>
      </w:pPr>
      <w:rPr>
        <w:rFonts w:ascii="Arial" w:cs="Arial" w:eastAsia="Arial" w:hAnsi="Arial"/>
      </w:rPr>
    </w:lvl>
    <w:lvl w:ilvl="1">
      <w:start w:val="1"/>
      <w:numFmt w:val="bullet"/>
      <w:lvlText w:val="o"/>
      <w:lvlJc w:val="left"/>
      <w:pPr>
        <w:ind w:hanging="360" w:left="1440"/>
      </w:pPr>
      <w:rPr>
        <w:rFonts w:ascii="Courier New" w:cs="Courier New" w:eastAsia="Courier New" w:hAnsi="Courier New"/>
      </w:rPr>
    </w:lvl>
    <w:lvl w:ilvl="2">
      <w:start w:val="1"/>
      <w:numFmt w:val="bullet"/>
      <w:lvlText w:val="▪"/>
      <w:lvlJc w:val="left"/>
      <w:pPr>
        <w:ind w:hanging="360" w:left="2160"/>
      </w:pPr>
      <w:rPr>
        <w:rFonts w:ascii="Noto Sans Symbols" w:cs="Noto Sans Symbols" w:eastAsia="Noto Sans Symbols" w:hAnsi="Noto Sans Symbols"/>
      </w:rPr>
    </w:lvl>
    <w:lvl w:ilvl="3">
      <w:start w:val="1"/>
      <w:numFmt w:val="bullet"/>
      <w:lvlText w:val="●"/>
      <w:lvlJc w:val="left"/>
      <w:pPr>
        <w:ind w:hanging="360" w:left="2880"/>
      </w:pPr>
      <w:rPr>
        <w:rFonts w:ascii="Noto Sans Symbols" w:cs="Noto Sans Symbols" w:eastAsia="Noto Sans Symbols" w:hAnsi="Noto Sans Symbols"/>
      </w:rPr>
    </w:lvl>
    <w:lvl w:ilvl="4">
      <w:start w:val="1"/>
      <w:numFmt w:val="bullet"/>
      <w:lvlText w:val="o"/>
      <w:lvlJc w:val="left"/>
      <w:pPr>
        <w:ind w:hanging="360" w:left="3600"/>
      </w:pPr>
      <w:rPr>
        <w:rFonts w:ascii="Courier New" w:cs="Courier New" w:eastAsia="Courier New" w:hAnsi="Courier New"/>
      </w:rPr>
    </w:lvl>
    <w:lvl w:ilvl="5">
      <w:start w:val="1"/>
      <w:numFmt w:val="bullet"/>
      <w:lvlText w:val="▪"/>
      <w:lvlJc w:val="left"/>
      <w:pPr>
        <w:ind w:hanging="360" w:left="4320"/>
      </w:pPr>
      <w:rPr>
        <w:rFonts w:ascii="Noto Sans Symbols" w:cs="Noto Sans Symbols" w:eastAsia="Noto Sans Symbols" w:hAnsi="Noto Sans Symbols"/>
      </w:rPr>
    </w:lvl>
    <w:lvl w:ilvl="6">
      <w:start w:val="1"/>
      <w:numFmt w:val="bullet"/>
      <w:lvlText w:val="●"/>
      <w:lvlJc w:val="left"/>
      <w:pPr>
        <w:ind w:hanging="360" w:left="5040"/>
      </w:pPr>
      <w:rPr>
        <w:rFonts w:ascii="Noto Sans Symbols" w:cs="Noto Sans Symbols" w:eastAsia="Noto Sans Symbols" w:hAnsi="Noto Sans Symbols"/>
      </w:rPr>
    </w:lvl>
    <w:lvl w:ilvl="7">
      <w:start w:val="1"/>
      <w:numFmt w:val="bullet"/>
      <w:lvlText w:val="o"/>
      <w:lvlJc w:val="left"/>
      <w:pPr>
        <w:ind w:hanging="360" w:left="5760"/>
      </w:pPr>
      <w:rPr>
        <w:rFonts w:ascii="Courier New" w:cs="Courier New" w:eastAsia="Courier New" w:hAnsi="Courier New"/>
      </w:rPr>
    </w:lvl>
    <w:lvl w:ilvl="8">
      <w:start w:val="1"/>
      <w:numFmt w:val="bullet"/>
      <w:lvlText w:val="▪"/>
      <w:lvlJc w:val="left"/>
      <w:pPr>
        <w:ind w:hanging="360" w:left="6480"/>
      </w:pPr>
      <w:rPr>
        <w:rFonts w:ascii="Noto Sans Symbols" w:cs="Noto Sans Symbols" w:eastAsia="Noto Sans Symbols" w:hAnsi="Noto Sans Symbols"/>
      </w:rPr>
    </w:lvl>
  </w:abstractNum>
  <w:abstractNum w15:restartNumberingAfterBreak="0" w:abstractNumId="1">
    <w:nsid w:val="16002354"/>
    <w:multiLevelType w:val="multilevel"/>
    <w:tmpl w:val="05864916"/>
    <w:lvl w:ilvl="0">
      <w:start w:val="1"/>
      <w:numFmt w:val="decimal"/>
      <w:lvlText w:val="%1."/>
      <w:lvlJc w:val="left"/>
      <w:pPr>
        <w:ind w:hanging="357" w:left="720"/>
      </w:pPr>
      <w:rPr>
        <w:strike w:val="0"/>
        <w:u w:val="none"/>
      </w:rPr>
    </w:lvl>
    <w:lvl w:ilvl="1">
      <w:start w:val="1"/>
      <w:numFmt w:val="lowerLetter"/>
      <w:lvlText w:val="%2."/>
      <w:lvlJc w:val="left"/>
      <w:pPr>
        <w:ind w:hanging="357" w:left="1440"/>
      </w:pPr>
      <w:rPr>
        <w:strike w:val="0"/>
        <w:u w:val="none"/>
      </w:rPr>
    </w:lvl>
    <w:lvl w:ilvl="2">
      <w:start w:val="1"/>
      <w:numFmt w:val="lowerRoman"/>
      <w:lvlText w:val="%3."/>
      <w:lvlJc w:val="right"/>
      <w:pPr>
        <w:ind w:hanging="357" w:left="2160"/>
      </w:pPr>
      <w:rPr>
        <w:strike w:val="0"/>
        <w:u w:val="none"/>
      </w:rPr>
    </w:lvl>
    <w:lvl w:ilvl="3">
      <w:start w:val="1"/>
      <w:numFmt w:val="decimal"/>
      <w:lvlText w:val="%4."/>
      <w:lvlJc w:val="left"/>
      <w:pPr>
        <w:ind w:hanging="357" w:left="2880"/>
      </w:pPr>
      <w:rPr>
        <w:strike w:val="0"/>
        <w:u w:val="none"/>
      </w:rPr>
    </w:lvl>
    <w:lvl w:ilvl="4">
      <w:start w:val="1"/>
      <w:numFmt w:val="lowerLetter"/>
      <w:lvlText w:val="%5."/>
      <w:lvlJc w:val="left"/>
      <w:pPr>
        <w:ind w:hanging="357" w:left="3600"/>
      </w:pPr>
      <w:rPr>
        <w:strike w:val="0"/>
        <w:u w:val="none"/>
      </w:rPr>
    </w:lvl>
    <w:lvl w:ilvl="5">
      <w:start w:val="1"/>
      <w:numFmt w:val="lowerRoman"/>
      <w:lvlText w:val="%6."/>
      <w:lvlJc w:val="right"/>
      <w:pPr>
        <w:ind w:hanging="357" w:left="4320"/>
      </w:pPr>
      <w:rPr>
        <w:strike w:val="0"/>
        <w:u w:val="none"/>
      </w:rPr>
    </w:lvl>
    <w:lvl w:ilvl="6">
      <w:start w:val="1"/>
      <w:numFmt w:val="decimal"/>
      <w:lvlText w:val="%7."/>
      <w:lvlJc w:val="left"/>
      <w:pPr>
        <w:ind w:hanging="357" w:left="5040"/>
      </w:pPr>
      <w:rPr>
        <w:strike w:val="0"/>
        <w:u w:val="none"/>
      </w:rPr>
    </w:lvl>
    <w:lvl w:ilvl="7">
      <w:start w:val="1"/>
      <w:numFmt w:val="lowerLetter"/>
      <w:lvlText w:val="%8."/>
      <w:lvlJc w:val="left"/>
      <w:pPr>
        <w:ind w:hanging="357" w:left="5760"/>
      </w:pPr>
      <w:rPr>
        <w:strike w:val="0"/>
        <w:u w:val="none"/>
      </w:rPr>
    </w:lvl>
    <w:lvl w:ilvl="8">
      <w:start w:val="1"/>
      <w:numFmt w:val="lowerRoman"/>
      <w:lvlText w:val="%9."/>
      <w:lvlJc w:val="right"/>
      <w:pPr>
        <w:ind w:hanging="357" w:left="6480"/>
      </w:pPr>
      <w:rPr>
        <w:strike w:val="0"/>
        <w:u w:val="none"/>
      </w:rPr>
    </w:lvl>
  </w:abstractNum>
  <w:abstractNum w15:restartNumberingAfterBreak="0" w:abstractNumId="2">
    <w:nsid w:val="1E2D67AE"/>
    <w:multiLevelType w:val="multilevel"/>
    <w:tmpl w:val="B86C9E26"/>
    <w:lvl w:ilvl="0">
      <w:start w:val="1"/>
      <w:numFmt w:val="bullet"/>
      <w:lvlText w:val="●"/>
      <w:lvlJc w:val="left"/>
      <w:pPr>
        <w:ind w:hanging="359" w:left="720"/>
      </w:pPr>
      <w:rPr>
        <w:rFonts w:ascii="Noto Sans Symbols" w:cs="Noto Sans Symbols" w:eastAsia="Noto Sans Symbols" w:hAnsi="Noto Sans Symbols"/>
        <w:sz w:val="20"/>
        <w:szCs w:val="20"/>
      </w:rPr>
    </w:lvl>
    <w:lvl w:ilvl="1">
      <w:start w:val="1"/>
      <w:numFmt w:val="bullet"/>
      <w:lvlText w:val="o"/>
      <w:lvlJc w:val="left"/>
      <w:pPr>
        <w:ind w:hanging="359" w:left="1440"/>
      </w:pPr>
      <w:rPr>
        <w:rFonts w:ascii="Courier New" w:cs="Courier New" w:eastAsia="Courier New" w:hAnsi="Courier New"/>
        <w:sz w:val="20"/>
        <w:szCs w:val="20"/>
      </w:rPr>
    </w:lvl>
    <w:lvl w:ilvl="2">
      <w:start w:val="1"/>
      <w:numFmt w:val="bullet"/>
      <w:lvlText w:val="▪"/>
      <w:lvlJc w:val="left"/>
      <w:pPr>
        <w:ind w:hanging="359" w:left="2160"/>
      </w:pPr>
      <w:rPr>
        <w:rFonts w:ascii="Noto Sans Symbols" w:cs="Noto Sans Symbols" w:eastAsia="Noto Sans Symbols" w:hAnsi="Noto Sans Symbols"/>
        <w:sz w:val="20"/>
        <w:szCs w:val="20"/>
      </w:rPr>
    </w:lvl>
    <w:lvl w:ilvl="3">
      <w:start w:val="1"/>
      <w:numFmt w:val="bullet"/>
      <w:lvlText w:val="▪"/>
      <w:lvlJc w:val="left"/>
      <w:pPr>
        <w:ind w:hanging="359" w:left="2880"/>
      </w:pPr>
      <w:rPr>
        <w:rFonts w:ascii="Noto Sans Symbols" w:cs="Noto Sans Symbols" w:eastAsia="Noto Sans Symbols" w:hAnsi="Noto Sans Symbols"/>
        <w:sz w:val="20"/>
        <w:szCs w:val="20"/>
      </w:rPr>
    </w:lvl>
    <w:lvl w:ilvl="4">
      <w:start w:val="1"/>
      <w:numFmt w:val="bullet"/>
      <w:lvlText w:val="▪"/>
      <w:lvlJc w:val="left"/>
      <w:pPr>
        <w:ind w:hanging="359" w:left="3600"/>
      </w:pPr>
      <w:rPr>
        <w:rFonts w:ascii="Noto Sans Symbols" w:cs="Noto Sans Symbols" w:eastAsia="Noto Sans Symbols" w:hAnsi="Noto Sans Symbols"/>
        <w:sz w:val="20"/>
        <w:szCs w:val="20"/>
      </w:rPr>
    </w:lvl>
    <w:lvl w:ilvl="5">
      <w:start w:val="1"/>
      <w:numFmt w:val="bullet"/>
      <w:lvlText w:val="▪"/>
      <w:lvlJc w:val="left"/>
      <w:pPr>
        <w:ind w:hanging="359" w:left="4320"/>
      </w:pPr>
      <w:rPr>
        <w:rFonts w:ascii="Noto Sans Symbols" w:cs="Noto Sans Symbols" w:eastAsia="Noto Sans Symbols" w:hAnsi="Noto Sans Symbols"/>
        <w:sz w:val="20"/>
        <w:szCs w:val="20"/>
      </w:rPr>
    </w:lvl>
    <w:lvl w:ilvl="6">
      <w:start w:val="1"/>
      <w:numFmt w:val="bullet"/>
      <w:lvlText w:val="▪"/>
      <w:lvlJc w:val="left"/>
      <w:pPr>
        <w:ind w:hanging="359" w:left="5040"/>
      </w:pPr>
      <w:rPr>
        <w:rFonts w:ascii="Noto Sans Symbols" w:cs="Noto Sans Symbols" w:eastAsia="Noto Sans Symbols" w:hAnsi="Noto Sans Symbols"/>
        <w:sz w:val="20"/>
        <w:szCs w:val="20"/>
      </w:rPr>
    </w:lvl>
    <w:lvl w:ilvl="7">
      <w:start w:val="1"/>
      <w:numFmt w:val="bullet"/>
      <w:lvlText w:val="▪"/>
      <w:lvlJc w:val="left"/>
      <w:pPr>
        <w:ind w:hanging="359" w:left="5760"/>
      </w:pPr>
      <w:rPr>
        <w:rFonts w:ascii="Noto Sans Symbols" w:cs="Noto Sans Symbols" w:eastAsia="Noto Sans Symbols" w:hAnsi="Noto Sans Symbols"/>
        <w:sz w:val="20"/>
        <w:szCs w:val="20"/>
      </w:rPr>
    </w:lvl>
    <w:lvl w:ilvl="8">
      <w:start w:val="1"/>
      <w:numFmt w:val="bullet"/>
      <w:lvlText w:val="▪"/>
      <w:lvlJc w:val="left"/>
      <w:pPr>
        <w:ind w:hanging="359" w:left="6480"/>
      </w:pPr>
      <w:rPr>
        <w:rFonts w:ascii="Noto Sans Symbols" w:cs="Noto Sans Symbols" w:eastAsia="Noto Sans Symbols" w:hAnsi="Noto Sans Symbols"/>
        <w:sz w:val="20"/>
        <w:szCs w:val="20"/>
      </w:rPr>
    </w:lvl>
  </w:abstractNum>
  <w:abstractNum w15:restartNumberingAfterBreak="0" w:abstractNumId="3">
    <w:nsid w:val="234660A6"/>
    <w:multiLevelType w:val="multilevel"/>
    <w:tmpl w:val="F74497A6"/>
    <w:lvl w:ilvl="0">
      <w:start w:val="1"/>
      <w:numFmt w:val="decimal"/>
      <w:lvlText w:val="%1."/>
      <w:lvlJc w:val="left"/>
      <w:pPr>
        <w:ind w:hanging="357" w:left="720"/>
      </w:pPr>
      <w:rPr>
        <w:strike w:val="0"/>
        <w:u w:val="none"/>
      </w:rPr>
    </w:lvl>
    <w:lvl w:ilvl="1">
      <w:start w:val="1"/>
      <w:numFmt w:val="lowerLetter"/>
      <w:lvlText w:val="%2."/>
      <w:lvlJc w:val="left"/>
      <w:pPr>
        <w:ind w:hanging="357" w:left="1440"/>
      </w:pPr>
      <w:rPr>
        <w:strike w:val="0"/>
        <w:u w:val="none"/>
      </w:rPr>
    </w:lvl>
    <w:lvl w:ilvl="2">
      <w:start w:val="1"/>
      <w:numFmt w:val="lowerRoman"/>
      <w:lvlText w:val="%3."/>
      <w:lvlJc w:val="right"/>
      <w:pPr>
        <w:ind w:hanging="357" w:left="2160"/>
      </w:pPr>
      <w:rPr>
        <w:strike w:val="0"/>
        <w:u w:val="none"/>
      </w:rPr>
    </w:lvl>
    <w:lvl w:ilvl="3">
      <w:start w:val="1"/>
      <w:numFmt w:val="decimal"/>
      <w:lvlText w:val="%4."/>
      <w:lvlJc w:val="left"/>
      <w:pPr>
        <w:ind w:hanging="357" w:left="2880"/>
      </w:pPr>
      <w:rPr>
        <w:strike w:val="0"/>
        <w:u w:val="none"/>
      </w:rPr>
    </w:lvl>
    <w:lvl w:ilvl="4">
      <w:start w:val="1"/>
      <w:numFmt w:val="lowerLetter"/>
      <w:lvlText w:val="%5."/>
      <w:lvlJc w:val="left"/>
      <w:pPr>
        <w:ind w:hanging="357" w:left="3600"/>
      </w:pPr>
      <w:rPr>
        <w:strike w:val="0"/>
        <w:u w:val="none"/>
      </w:rPr>
    </w:lvl>
    <w:lvl w:ilvl="5">
      <w:start w:val="1"/>
      <w:numFmt w:val="lowerRoman"/>
      <w:lvlText w:val="%6."/>
      <w:lvlJc w:val="right"/>
      <w:pPr>
        <w:ind w:hanging="357" w:left="4320"/>
      </w:pPr>
      <w:rPr>
        <w:strike w:val="0"/>
        <w:u w:val="none"/>
      </w:rPr>
    </w:lvl>
    <w:lvl w:ilvl="6">
      <w:start w:val="1"/>
      <w:numFmt w:val="decimal"/>
      <w:lvlText w:val="%7."/>
      <w:lvlJc w:val="left"/>
      <w:pPr>
        <w:ind w:hanging="357" w:left="5040"/>
      </w:pPr>
      <w:rPr>
        <w:strike w:val="0"/>
        <w:u w:val="none"/>
      </w:rPr>
    </w:lvl>
    <w:lvl w:ilvl="7">
      <w:start w:val="1"/>
      <w:numFmt w:val="lowerLetter"/>
      <w:lvlText w:val="%8."/>
      <w:lvlJc w:val="left"/>
      <w:pPr>
        <w:ind w:hanging="357" w:left="5760"/>
      </w:pPr>
      <w:rPr>
        <w:strike w:val="0"/>
        <w:u w:val="none"/>
      </w:rPr>
    </w:lvl>
    <w:lvl w:ilvl="8">
      <w:start w:val="1"/>
      <w:numFmt w:val="lowerRoman"/>
      <w:lvlText w:val="%9."/>
      <w:lvlJc w:val="right"/>
      <w:pPr>
        <w:ind w:hanging="357" w:left="6480"/>
      </w:pPr>
      <w:rPr>
        <w:strike w:val="0"/>
        <w:u w:val="none"/>
      </w:rPr>
    </w:lvl>
  </w:abstractNum>
  <w:abstractNum w15:restartNumberingAfterBreak="0" w:abstractNumId="4">
    <w:nsid w:val="25BD728E"/>
    <w:multiLevelType w:val="multilevel"/>
    <w:tmpl w:val="F41A0D4A"/>
    <w:lvl w:ilvl="0">
      <w:start w:val="1"/>
      <w:numFmt w:val="bullet"/>
      <w:lvlText w:val="●"/>
      <w:lvlJc w:val="left"/>
      <w:pPr>
        <w:ind w:hanging="359" w:left="720"/>
      </w:pPr>
      <w:rPr>
        <w:rFonts w:ascii="Noto Sans Symbols" w:cs="Noto Sans Symbols" w:eastAsia="Noto Sans Symbols" w:hAnsi="Noto Sans Symbols"/>
      </w:rPr>
    </w:lvl>
    <w:lvl w:ilvl="1">
      <w:start w:val="1"/>
      <w:numFmt w:val="bullet"/>
      <w:lvlText w:val="o"/>
      <w:lvlJc w:val="left"/>
      <w:pPr>
        <w:ind w:hanging="359" w:left="1440"/>
      </w:pPr>
      <w:rPr>
        <w:rFonts w:ascii="Courier New" w:cs="Courier New" w:eastAsia="Courier New" w:hAnsi="Courier New"/>
      </w:rPr>
    </w:lvl>
    <w:lvl w:ilvl="2">
      <w:start w:val="1"/>
      <w:numFmt w:val="bullet"/>
      <w:lvlText w:val="▪"/>
      <w:lvlJc w:val="left"/>
      <w:pPr>
        <w:ind w:hanging="359" w:left="2160"/>
      </w:pPr>
      <w:rPr>
        <w:rFonts w:ascii="Noto Sans Symbols" w:cs="Noto Sans Symbols" w:eastAsia="Noto Sans Symbols" w:hAnsi="Noto Sans Symbols"/>
      </w:rPr>
    </w:lvl>
    <w:lvl w:ilvl="3">
      <w:start w:val="1"/>
      <w:numFmt w:val="bullet"/>
      <w:lvlText w:val="●"/>
      <w:lvlJc w:val="left"/>
      <w:pPr>
        <w:ind w:hanging="359" w:left="2880"/>
      </w:pPr>
      <w:rPr>
        <w:rFonts w:ascii="Noto Sans Symbols" w:cs="Noto Sans Symbols" w:eastAsia="Noto Sans Symbols" w:hAnsi="Noto Sans Symbols"/>
      </w:rPr>
    </w:lvl>
    <w:lvl w:ilvl="4">
      <w:start w:val="1"/>
      <w:numFmt w:val="bullet"/>
      <w:lvlText w:val="o"/>
      <w:lvlJc w:val="left"/>
      <w:pPr>
        <w:ind w:hanging="359" w:left="3600"/>
      </w:pPr>
      <w:rPr>
        <w:rFonts w:ascii="Courier New" w:cs="Courier New" w:eastAsia="Courier New" w:hAnsi="Courier New"/>
      </w:rPr>
    </w:lvl>
    <w:lvl w:ilvl="5">
      <w:start w:val="1"/>
      <w:numFmt w:val="bullet"/>
      <w:lvlText w:val="▪"/>
      <w:lvlJc w:val="left"/>
      <w:pPr>
        <w:ind w:hanging="359" w:left="4320"/>
      </w:pPr>
      <w:rPr>
        <w:rFonts w:ascii="Noto Sans Symbols" w:cs="Noto Sans Symbols" w:eastAsia="Noto Sans Symbols" w:hAnsi="Noto Sans Symbols"/>
      </w:rPr>
    </w:lvl>
    <w:lvl w:ilvl="6">
      <w:start w:val="1"/>
      <w:numFmt w:val="bullet"/>
      <w:lvlText w:val="●"/>
      <w:lvlJc w:val="left"/>
      <w:pPr>
        <w:ind w:hanging="359" w:left="5040"/>
      </w:pPr>
      <w:rPr>
        <w:rFonts w:ascii="Noto Sans Symbols" w:cs="Noto Sans Symbols" w:eastAsia="Noto Sans Symbols" w:hAnsi="Noto Sans Symbols"/>
      </w:rPr>
    </w:lvl>
    <w:lvl w:ilvl="7">
      <w:start w:val="1"/>
      <w:numFmt w:val="bullet"/>
      <w:lvlText w:val="o"/>
      <w:lvlJc w:val="left"/>
      <w:pPr>
        <w:ind w:hanging="359" w:left="5760"/>
      </w:pPr>
      <w:rPr>
        <w:rFonts w:ascii="Courier New" w:cs="Courier New" w:eastAsia="Courier New" w:hAnsi="Courier New"/>
      </w:rPr>
    </w:lvl>
    <w:lvl w:ilvl="8">
      <w:start w:val="1"/>
      <w:numFmt w:val="bullet"/>
      <w:lvlText w:val="▪"/>
      <w:lvlJc w:val="left"/>
      <w:pPr>
        <w:ind w:hanging="359" w:left="6480"/>
      </w:pPr>
      <w:rPr>
        <w:rFonts w:ascii="Noto Sans Symbols" w:cs="Noto Sans Symbols" w:eastAsia="Noto Sans Symbols" w:hAnsi="Noto Sans Symbols"/>
      </w:rPr>
    </w:lvl>
  </w:abstractNum>
  <w:abstractNum w15:restartNumberingAfterBreak="0" w:abstractNumId="5">
    <w:nsid w:val="26DA271D"/>
    <w:multiLevelType w:val="multilevel"/>
    <w:tmpl w:val="69F2D2A8"/>
    <w:lvl w:ilvl="0">
      <w:start w:val="1"/>
      <w:numFmt w:val="bullet"/>
      <w:lvlText w:val="●"/>
      <w:lvlJc w:val="left"/>
      <w:pPr>
        <w:ind w:hanging="359" w:left="720"/>
      </w:pPr>
      <w:rPr>
        <w:rFonts w:ascii="Noto Sans Symbols" w:cs="Noto Sans Symbols" w:eastAsia="Noto Sans Symbols" w:hAnsi="Noto Sans Symbols"/>
        <w:sz w:val="20"/>
        <w:szCs w:val="20"/>
      </w:rPr>
    </w:lvl>
    <w:lvl w:ilvl="1">
      <w:start w:val="1"/>
      <w:numFmt w:val="bullet"/>
      <w:lvlText w:val="o"/>
      <w:lvlJc w:val="left"/>
      <w:pPr>
        <w:ind w:hanging="359" w:left="1440"/>
      </w:pPr>
      <w:rPr>
        <w:rFonts w:ascii="Courier New" w:cs="Courier New" w:eastAsia="Courier New" w:hAnsi="Courier New"/>
        <w:sz w:val="20"/>
        <w:szCs w:val="20"/>
      </w:rPr>
    </w:lvl>
    <w:lvl w:ilvl="2">
      <w:start w:val="1"/>
      <w:numFmt w:val="bullet"/>
      <w:lvlText w:val="▪"/>
      <w:lvlJc w:val="left"/>
      <w:pPr>
        <w:ind w:hanging="359" w:left="2160"/>
      </w:pPr>
      <w:rPr>
        <w:rFonts w:ascii="Noto Sans Symbols" w:cs="Noto Sans Symbols" w:eastAsia="Noto Sans Symbols" w:hAnsi="Noto Sans Symbols"/>
        <w:sz w:val="20"/>
        <w:szCs w:val="20"/>
      </w:rPr>
    </w:lvl>
    <w:lvl w:ilvl="3">
      <w:start w:val="1"/>
      <w:numFmt w:val="bullet"/>
      <w:lvlText w:val="▪"/>
      <w:lvlJc w:val="left"/>
      <w:pPr>
        <w:ind w:hanging="359" w:left="2880"/>
      </w:pPr>
      <w:rPr>
        <w:rFonts w:ascii="Noto Sans Symbols" w:cs="Noto Sans Symbols" w:eastAsia="Noto Sans Symbols" w:hAnsi="Noto Sans Symbols"/>
        <w:sz w:val="20"/>
        <w:szCs w:val="20"/>
      </w:rPr>
    </w:lvl>
    <w:lvl w:ilvl="4">
      <w:start w:val="1"/>
      <w:numFmt w:val="bullet"/>
      <w:lvlText w:val="▪"/>
      <w:lvlJc w:val="left"/>
      <w:pPr>
        <w:ind w:hanging="359" w:left="3600"/>
      </w:pPr>
      <w:rPr>
        <w:rFonts w:ascii="Noto Sans Symbols" w:cs="Noto Sans Symbols" w:eastAsia="Noto Sans Symbols" w:hAnsi="Noto Sans Symbols"/>
        <w:sz w:val="20"/>
        <w:szCs w:val="20"/>
      </w:rPr>
    </w:lvl>
    <w:lvl w:ilvl="5">
      <w:start w:val="1"/>
      <w:numFmt w:val="bullet"/>
      <w:lvlText w:val="▪"/>
      <w:lvlJc w:val="left"/>
      <w:pPr>
        <w:ind w:hanging="359" w:left="4320"/>
      </w:pPr>
      <w:rPr>
        <w:rFonts w:ascii="Noto Sans Symbols" w:cs="Noto Sans Symbols" w:eastAsia="Noto Sans Symbols" w:hAnsi="Noto Sans Symbols"/>
        <w:sz w:val="20"/>
        <w:szCs w:val="20"/>
      </w:rPr>
    </w:lvl>
    <w:lvl w:ilvl="6">
      <w:start w:val="1"/>
      <w:numFmt w:val="bullet"/>
      <w:lvlText w:val="▪"/>
      <w:lvlJc w:val="left"/>
      <w:pPr>
        <w:ind w:hanging="359" w:left="5040"/>
      </w:pPr>
      <w:rPr>
        <w:rFonts w:ascii="Noto Sans Symbols" w:cs="Noto Sans Symbols" w:eastAsia="Noto Sans Symbols" w:hAnsi="Noto Sans Symbols"/>
        <w:sz w:val="20"/>
        <w:szCs w:val="20"/>
      </w:rPr>
    </w:lvl>
    <w:lvl w:ilvl="7">
      <w:start w:val="1"/>
      <w:numFmt w:val="bullet"/>
      <w:lvlText w:val="▪"/>
      <w:lvlJc w:val="left"/>
      <w:pPr>
        <w:ind w:hanging="359" w:left="5760"/>
      </w:pPr>
      <w:rPr>
        <w:rFonts w:ascii="Noto Sans Symbols" w:cs="Noto Sans Symbols" w:eastAsia="Noto Sans Symbols" w:hAnsi="Noto Sans Symbols"/>
        <w:sz w:val="20"/>
        <w:szCs w:val="20"/>
      </w:rPr>
    </w:lvl>
    <w:lvl w:ilvl="8">
      <w:start w:val="1"/>
      <w:numFmt w:val="bullet"/>
      <w:lvlText w:val="▪"/>
      <w:lvlJc w:val="left"/>
      <w:pPr>
        <w:ind w:hanging="359" w:left="6480"/>
      </w:pPr>
      <w:rPr>
        <w:rFonts w:ascii="Noto Sans Symbols" w:cs="Noto Sans Symbols" w:eastAsia="Noto Sans Symbols" w:hAnsi="Noto Sans Symbols"/>
        <w:sz w:val="20"/>
        <w:szCs w:val="20"/>
      </w:rPr>
    </w:lvl>
  </w:abstractNum>
  <w:abstractNum w15:restartNumberingAfterBreak="0" w:abstractNumId="6">
    <w:nsid w:val="291A7D79"/>
    <w:multiLevelType w:val="multilevel"/>
    <w:tmpl w:val="B096F262"/>
    <w:lvl w:ilvl="0">
      <w:numFmt w:val="bullet"/>
      <w:lvlText w:val="-"/>
      <w:lvlJc w:val="left"/>
      <w:pPr>
        <w:ind w:hanging="360" w:left="1080"/>
      </w:pPr>
      <w:rPr>
        <w:rFonts w:ascii="Arial" w:cs="Arial" w:eastAsia="Arial" w:hAnsi="Arial"/>
      </w:rPr>
    </w:lvl>
    <w:lvl w:ilvl="1">
      <w:start w:val="1"/>
      <w:numFmt w:val="bullet"/>
      <w:lvlText w:val="o"/>
      <w:lvlJc w:val="left"/>
      <w:pPr>
        <w:ind w:hanging="360" w:left="1800"/>
      </w:pPr>
      <w:rPr>
        <w:rFonts w:ascii="Courier New" w:cs="Courier New" w:eastAsia="Courier New" w:hAnsi="Courier New"/>
      </w:rPr>
    </w:lvl>
    <w:lvl w:ilvl="2">
      <w:start w:val="1"/>
      <w:numFmt w:val="bullet"/>
      <w:lvlText w:val="▪"/>
      <w:lvlJc w:val="left"/>
      <w:pPr>
        <w:ind w:hanging="360" w:left="2520"/>
      </w:pPr>
      <w:rPr>
        <w:rFonts w:ascii="Noto Sans Symbols" w:cs="Noto Sans Symbols" w:eastAsia="Noto Sans Symbols" w:hAnsi="Noto Sans Symbols"/>
      </w:rPr>
    </w:lvl>
    <w:lvl w:ilvl="3">
      <w:start w:val="1"/>
      <w:numFmt w:val="bullet"/>
      <w:lvlText w:val="●"/>
      <w:lvlJc w:val="left"/>
      <w:pPr>
        <w:ind w:hanging="360" w:left="3240"/>
      </w:pPr>
      <w:rPr>
        <w:rFonts w:ascii="Noto Sans Symbols" w:cs="Noto Sans Symbols" w:eastAsia="Noto Sans Symbols" w:hAnsi="Noto Sans Symbols"/>
      </w:rPr>
    </w:lvl>
    <w:lvl w:ilvl="4">
      <w:start w:val="1"/>
      <w:numFmt w:val="bullet"/>
      <w:lvlText w:val="o"/>
      <w:lvlJc w:val="left"/>
      <w:pPr>
        <w:ind w:hanging="360" w:left="3960"/>
      </w:pPr>
      <w:rPr>
        <w:rFonts w:ascii="Courier New" w:cs="Courier New" w:eastAsia="Courier New" w:hAnsi="Courier New"/>
      </w:rPr>
    </w:lvl>
    <w:lvl w:ilvl="5">
      <w:start w:val="1"/>
      <w:numFmt w:val="bullet"/>
      <w:lvlText w:val="▪"/>
      <w:lvlJc w:val="left"/>
      <w:pPr>
        <w:ind w:hanging="360" w:left="4680"/>
      </w:pPr>
      <w:rPr>
        <w:rFonts w:ascii="Noto Sans Symbols" w:cs="Noto Sans Symbols" w:eastAsia="Noto Sans Symbols" w:hAnsi="Noto Sans Symbols"/>
      </w:rPr>
    </w:lvl>
    <w:lvl w:ilvl="6">
      <w:start w:val="1"/>
      <w:numFmt w:val="bullet"/>
      <w:lvlText w:val="●"/>
      <w:lvlJc w:val="left"/>
      <w:pPr>
        <w:ind w:hanging="360" w:left="5400"/>
      </w:pPr>
      <w:rPr>
        <w:rFonts w:ascii="Noto Sans Symbols" w:cs="Noto Sans Symbols" w:eastAsia="Noto Sans Symbols" w:hAnsi="Noto Sans Symbols"/>
      </w:rPr>
    </w:lvl>
    <w:lvl w:ilvl="7">
      <w:start w:val="1"/>
      <w:numFmt w:val="bullet"/>
      <w:lvlText w:val="o"/>
      <w:lvlJc w:val="left"/>
      <w:pPr>
        <w:ind w:hanging="360" w:left="6120"/>
      </w:pPr>
      <w:rPr>
        <w:rFonts w:ascii="Courier New" w:cs="Courier New" w:eastAsia="Courier New" w:hAnsi="Courier New"/>
      </w:rPr>
    </w:lvl>
    <w:lvl w:ilvl="8">
      <w:start w:val="1"/>
      <w:numFmt w:val="bullet"/>
      <w:lvlText w:val="▪"/>
      <w:lvlJc w:val="left"/>
      <w:pPr>
        <w:ind w:hanging="360" w:left="6840"/>
      </w:pPr>
      <w:rPr>
        <w:rFonts w:ascii="Noto Sans Symbols" w:cs="Noto Sans Symbols" w:eastAsia="Noto Sans Symbols" w:hAnsi="Noto Sans Symbols"/>
      </w:rPr>
    </w:lvl>
  </w:abstractNum>
  <w:abstractNum w15:restartNumberingAfterBreak="0" w:abstractNumId="7">
    <w:nsid w:val="2D8D420E"/>
    <w:multiLevelType w:val="multilevel"/>
    <w:tmpl w:val="A358162E"/>
    <w:lvl w:ilvl="0">
      <w:start w:val="1"/>
      <w:numFmt w:val="bullet"/>
      <w:lvlText w:val="-"/>
      <w:lvlJc w:val="left"/>
      <w:pPr>
        <w:ind w:hanging="359" w:left="720"/>
      </w:pPr>
      <w:rPr>
        <w:rFonts w:ascii="Arial" w:cs="Arial" w:eastAsia="Arial" w:hAnsi="Arial"/>
      </w:rPr>
    </w:lvl>
    <w:lvl w:ilvl="1">
      <w:start w:val="1"/>
      <w:numFmt w:val="bullet"/>
      <w:lvlText w:val="o"/>
      <w:lvlJc w:val="left"/>
      <w:pPr>
        <w:ind w:hanging="359" w:left="1440"/>
      </w:pPr>
      <w:rPr>
        <w:rFonts w:ascii="Courier New" w:cs="Courier New" w:eastAsia="Courier New" w:hAnsi="Courier New"/>
      </w:rPr>
    </w:lvl>
    <w:lvl w:ilvl="2">
      <w:start w:val="1"/>
      <w:numFmt w:val="bullet"/>
      <w:lvlText w:val="▪"/>
      <w:lvlJc w:val="left"/>
      <w:pPr>
        <w:ind w:hanging="359" w:left="2160"/>
      </w:pPr>
      <w:rPr>
        <w:rFonts w:ascii="Noto Sans Symbols" w:cs="Noto Sans Symbols" w:eastAsia="Noto Sans Symbols" w:hAnsi="Noto Sans Symbols"/>
      </w:rPr>
    </w:lvl>
    <w:lvl w:ilvl="3">
      <w:start w:val="1"/>
      <w:numFmt w:val="bullet"/>
      <w:lvlText w:val="●"/>
      <w:lvlJc w:val="left"/>
      <w:pPr>
        <w:ind w:hanging="359" w:left="2880"/>
      </w:pPr>
      <w:rPr>
        <w:rFonts w:ascii="Noto Sans Symbols" w:cs="Noto Sans Symbols" w:eastAsia="Noto Sans Symbols" w:hAnsi="Noto Sans Symbols"/>
      </w:rPr>
    </w:lvl>
    <w:lvl w:ilvl="4">
      <w:start w:val="1"/>
      <w:numFmt w:val="bullet"/>
      <w:lvlText w:val="o"/>
      <w:lvlJc w:val="left"/>
      <w:pPr>
        <w:ind w:hanging="359" w:left="3600"/>
      </w:pPr>
      <w:rPr>
        <w:rFonts w:ascii="Courier New" w:cs="Courier New" w:eastAsia="Courier New" w:hAnsi="Courier New"/>
      </w:rPr>
    </w:lvl>
    <w:lvl w:ilvl="5">
      <w:start w:val="1"/>
      <w:numFmt w:val="bullet"/>
      <w:lvlText w:val="▪"/>
      <w:lvlJc w:val="left"/>
      <w:pPr>
        <w:ind w:hanging="359" w:left="4320"/>
      </w:pPr>
      <w:rPr>
        <w:rFonts w:ascii="Noto Sans Symbols" w:cs="Noto Sans Symbols" w:eastAsia="Noto Sans Symbols" w:hAnsi="Noto Sans Symbols"/>
      </w:rPr>
    </w:lvl>
    <w:lvl w:ilvl="6">
      <w:start w:val="1"/>
      <w:numFmt w:val="bullet"/>
      <w:lvlText w:val="●"/>
      <w:lvlJc w:val="left"/>
      <w:pPr>
        <w:ind w:hanging="359" w:left="5040"/>
      </w:pPr>
      <w:rPr>
        <w:rFonts w:ascii="Noto Sans Symbols" w:cs="Noto Sans Symbols" w:eastAsia="Noto Sans Symbols" w:hAnsi="Noto Sans Symbols"/>
      </w:rPr>
    </w:lvl>
    <w:lvl w:ilvl="7">
      <w:start w:val="1"/>
      <w:numFmt w:val="bullet"/>
      <w:lvlText w:val="o"/>
      <w:lvlJc w:val="left"/>
      <w:pPr>
        <w:ind w:hanging="359" w:left="5760"/>
      </w:pPr>
      <w:rPr>
        <w:rFonts w:ascii="Courier New" w:cs="Courier New" w:eastAsia="Courier New" w:hAnsi="Courier New"/>
      </w:rPr>
    </w:lvl>
    <w:lvl w:ilvl="8">
      <w:start w:val="1"/>
      <w:numFmt w:val="bullet"/>
      <w:lvlText w:val="▪"/>
      <w:lvlJc w:val="left"/>
      <w:pPr>
        <w:ind w:hanging="359" w:left="6480"/>
      </w:pPr>
      <w:rPr>
        <w:rFonts w:ascii="Noto Sans Symbols" w:cs="Noto Sans Symbols" w:eastAsia="Noto Sans Symbols" w:hAnsi="Noto Sans Symbols"/>
      </w:rPr>
    </w:lvl>
  </w:abstractNum>
  <w:abstractNum w15:restartNumberingAfterBreak="0" w:abstractNumId="8">
    <w:nsid w:val="2E361836"/>
    <w:multiLevelType w:val="multilevel"/>
    <w:tmpl w:val="EB76CC38"/>
    <w:lvl w:ilvl="0">
      <w:start w:val="1"/>
      <w:numFmt w:val="upperRoman"/>
      <w:lvlText w:val="%1."/>
      <w:lvlJc w:val="right"/>
      <w:pPr>
        <w:ind w:hanging="360" w:left="720"/>
      </w:pPr>
      <w:rPr>
        <w:color w:val="0070E1"/>
      </w:r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15:restartNumberingAfterBreak="0" w:abstractNumId="9">
    <w:nsid w:val="3CC17C27"/>
    <w:multiLevelType w:val="multilevel"/>
    <w:tmpl w:val="58A6320C"/>
    <w:lvl w:ilvl="0">
      <w:start w:val="1"/>
      <w:numFmt w:val="bullet"/>
      <w:lvlText w:val="●"/>
      <w:lvlJc w:val="left"/>
      <w:pPr>
        <w:ind w:hanging="359" w:left="720"/>
      </w:pPr>
      <w:rPr>
        <w:rFonts w:ascii="Noto Sans Symbols" w:cs="Noto Sans Symbols" w:eastAsia="Noto Sans Symbols" w:hAnsi="Noto Sans Symbols"/>
      </w:rPr>
    </w:lvl>
    <w:lvl w:ilvl="1">
      <w:start w:val="1"/>
      <w:numFmt w:val="bullet"/>
      <w:lvlText w:val="o"/>
      <w:lvlJc w:val="left"/>
      <w:pPr>
        <w:ind w:hanging="359" w:left="1440"/>
      </w:pPr>
      <w:rPr>
        <w:rFonts w:ascii="Courier New" w:cs="Courier New" w:eastAsia="Courier New" w:hAnsi="Courier New"/>
      </w:rPr>
    </w:lvl>
    <w:lvl w:ilvl="2">
      <w:start w:val="1"/>
      <w:numFmt w:val="bullet"/>
      <w:lvlText w:val="▪"/>
      <w:lvlJc w:val="left"/>
      <w:pPr>
        <w:ind w:hanging="359" w:left="2160"/>
      </w:pPr>
      <w:rPr>
        <w:rFonts w:ascii="Noto Sans Symbols" w:cs="Noto Sans Symbols" w:eastAsia="Noto Sans Symbols" w:hAnsi="Noto Sans Symbols"/>
      </w:rPr>
    </w:lvl>
    <w:lvl w:ilvl="3">
      <w:start w:val="1"/>
      <w:numFmt w:val="bullet"/>
      <w:lvlText w:val="●"/>
      <w:lvlJc w:val="left"/>
      <w:pPr>
        <w:ind w:hanging="359" w:left="2880"/>
      </w:pPr>
      <w:rPr>
        <w:rFonts w:ascii="Noto Sans Symbols" w:cs="Noto Sans Symbols" w:eastAsia="Noto Sans Symbols" w:hAnsi="Noto Sans Symbols"/>
      </w:rPr>
    </w:lvl>
    <w:lvl w:ilvl="4">
      <w:start w:val="1"/>
      <w:numFmt w:val="bullet"/>
      <w:lvlText w:val="o"/>
      <w:lvlJc w:val="left"/>
      <w:pPr>
        <w:ind w:hanging="359" w:left="3600"/>
      </w:pPr>
      <w:rPr>
        <w:rFonts w:ascii="Courier New" w:cs="Courier New" w:eastAsia="Courier New" w:hAnsi="Courier New"/>
      </w:rPr>
    </w:lvl>
    <w:lvl w:ilvl="5">
      <w:start w:val="1"/>
      <w:numFmt w:val="bullet"/>
      <w:lvlText w:val="▪"/>
      <w:lvlJc w:val="left"/>
      <w:pPr>
        <w:ind w:hanging="359" w:left="4320"/>
      </w:pPr>
      <w:rPr>
        <w:rFonts w:ascii="Noto Sans Symbols" w:cs="Noto Sans Symbols" w:eastAsia="Noto Sans Symbols" w:hAnsi="Noto Sans Symbols"/>
      </w:rPr>
    </w:lvl>
    <w:lvl w:ilvl="6">
      <w:start w:val="1"/>
      <w:numFmt w:val="bullet"/>
      <w:lvlText w:val="●"/>
      <w:lvlJc w:val="left"/>
      <w:pPr>
        <w:ind w:hanging="359" w:left="5040"/>
      </w:pPr>
      <w:rPr>
        <w:rFonts w:ascii="Noto Sans Symbols" w:cs="Noto Sans Symbols" w:eastAsia="Noto Sans Symbols" w:hAnsi="Noto Sans Symbols"/>
      </w:rPr>
    </w:lvl>
    <w:lvl w:ilvl="7">
      <w:start w:val="1"/>
      <w:numFmt w:val="bullet"/>
      <w:lvlText w:val="o"/>
      <w:lvlJc w:val="left"/>
      <w:pPr>
        <w:ind w:hanging="359" w:left="5760"/>
      </w:pPr>
      <w:rPr>
        <w:rFonts w:ascii="Courier New" w:cs="Courier New" w:eastAsia="Courier New" w:hAnsi="Courier New"/>
      </w:rPr>
    </w:lvl>
    <w:lvl w:ilvl="8">
      <w:start w:val="1"/>
      <w:numFmt w:val="bullet"/>
      <w:lvlText w:val="▪"/>
      <w:lvlJc w:val="left"/>
      <w:pPr>
        <w:ind w:hanging="359" w:left="6480"/>
      </w:pPr>
      <w:rPr>
        <w:rFonts w:ascii="Noto Sans Symbols" w:cs="Noto Sans Symbols" w:eastAsia="Noto Sans Symbols" w:hAnsi="Noto Sans Symbols"/>
      </w:rPr>
    </w:lvl>
  </w:abstractNum>
  <w:abstractNum w15:restartNumberingAfterBreak="0" w:abstractNumId="10">
    <w:nsid w:val="413137F5"/>
    <w:multiLevelType w:val="multilevel"/>
    <w:tmpl w:val="BF441538"/>
    <w:lvl w:ilvl="0">
      <w:numFmt w:val="bullet"/>
      <w:lvlText w:val="-"/>
      <w:lvlJc w:val="left"/>
      <w:pPr>
        <w:ind w:hanging="360" w:left="720"/>
      </w:pPr>
      <w:rPr>
        <w:rFonts w:ascii="Arial" w:cs="Arial" w:eastAsia="Arial" w:hAnsi="Arial"/>
      </w:rPr>
    </w:lvl>
    <w:lvl w:ilvl="1">
      <w:start w:val="1"/>
      <w:numFmt w:val="bullet"/>
      <w:lvlText w:val="o"/>
      <w:lvlJc w:val="left"/>
      <w:pPr>
        <w:ind w:hanging="360" w:left="1440"/>
      </w:pPr>
      <w:rPr>
        <w:rFonts w:ascii="Courier New" w:cs="Courier New" w:eastAsia="Courier New" w:hAnsi="Courier New"/>
      </w:rPr>
    </w:lvl>
    <w:lvl w:ilvl="2">
      <w:start w:val="1"/>
      <w:numFmt w:val="bullet"/>
      <w:lvlText w:val="▪"/>
      <w:lvlJc w:val="left"/>
      <w:pPr>
        <w:ind w:hanging="360" w:left="2160"/>
      </w:pPr>
      <w:rPr>
        <w:rFonts w:ascii="Noto Sans Symbols" w:cs="Noto Sans Symbols" w:eastAsia="Noto Sans Symbols" w:hAnsi="Noto Sans Symbols"/>
      </w:rPr>
    </w:lvl>
    <w:lvl w:ilvl="3">
      <w:start w:val="1"/>
      <w:numFmt w:val="bullet"/>
      <w:lvlText w:val="●"/>
      <w:lvlJc w:val="left"/>
      <w:pPr>
        <w:ind w:hanging="360" w:left="2880"/>
      </w:pPr>
      <w:rPr>
        <w:rFonts w:ascii="Noto Sans Symbols" w:cs="Noto Sans Symbols" w:eastAsia="Noto Sans Symbols" w:hAnsi="Noto Sans Symbols"/>
      </w:rPr>
    </w:lvl>
    <w:lvl w:ilvl="4">
      <w:start w:val="1"/>
      <w:numFmt w:val="bullet"/>
      <w:lvlText w:val="o"/>
      <w:lvlJc w:val="left"/>
      <w:pPr>
        <w:ind w:hanging="360" w:left="3600"/>
      </w:pPr>
      <w:rPr>
        <w:rFonts w:ascii="Courier New" w:cs="Courier New" w:eastAsia="Courier New" w:hAnsi="Courier New"/>
      </w:rPr>
    </w:lvl>
    <w:lvl w:ilvl="5">
      <w:start w:val="1"/>
      <w:numFmt w:val="bullet"/>
      <w:lvlText w:val="▪"/>
      <w:lvlJc w:val="left"/>
      <w:pPr>
        <w:ind w:hanging="360" w:left="4320"/>
      </w:pPr>
      <w:rPr>
        <w:rFonts w:ascii="Noto Sans Symbols" w:cs="Noto Sans Symbols" w:eastAsia="Noto Sans Symbols" w:hAnsi="Noto Sans Symbols"/>
      </w:rPr>
    </w:lvl>
    <w:lvl w:ilvl="6">
      <w:start w:val="1"/>
      <w:numFmt w:val="bullet"/>
      <w:lvlText w:val="●"/>
      <w:lvlJc w:val="left"/>
      <w:pPr>
        <w:ind w:hanging="360" w:left="5040"/>
      </w:pPr>
      <w:rPr>
        <w:rFonts w:ascii="Noto Sans Symbols" w:cs="Noto Sans Symbols" w:eastAsia="Noto Sans Symbols" w:hAnsi="Noto Sans Symbols"/>
      </w:rPr>
    </w:lvl>
    <w:lvl w:ilvl="7">
      <w:start w:val="1"/>
      <w:numFmt w:val="bullet"/>
      <w:lvlText w:val="o"/>
      <w:lvlJc w:val="left"/>
      <w:pPr>
        <w:ind w:hanging="360" w:left="5760"/>
      </w:pPr>
      <w:rPr>
        <w:rFonts w:ascii="Courier New" w:cs="Courier New" w:eastAsia="Courier New" w:hAnsi="Courier New"/>
      </w:rPr>
    </w:lvl>
    <w:lvl w:ilvl="8">
      <w:start w:val="1"/>
      <w:numFmt w:val="bullet"/>
      <w:lvlText w:val="▪"/>
      <w:lvlJc w:val="left"/>
      <w:pPr>
        <w:ind w:hanging="360" w:left="6480"/>
      </w:pPr>
      <w:rPr>
        <w:rFonts w:ascii="Noto Sans Symbols" w:cs="Noto Sans Symbols" w:eastAsia="Noto Sans Symbols" w:hAnsi="Noto Sans Symbols"/>
      </w:rPr>
    </w:lvl>
  </w:abstractNum>
  <w:abstractNum w15:restartNumberingAfterBreak="0" w:abstractNumId="11">
    <w:nsid w:val="46C663DE"/>
    <w:multiLevelType w:val="multilevel"/>
    <w:tmpl w:val="FF8C652E"/>
    <w:lvl w:ilvl="0">
      <w:start w:val="1"/>
      <w:numFmt w:val="decimal"/>
      <w:lvlText w:val="%1."/>
      <w:lvlJc w:val="left"/>
      <w:pPr>
        <w:ind w:hanging="357" w:left="720"/>
      </w:pPr>
      <w:rPr>
        <w:strike w:val="0"/>
        <w:u w:val="none"/>
      </w:rPr>
    </w:lvl>
    <w:lvl w:ilvl="1">
      <w:start w:val="1"/>
      <w:numFmt w:val="lowerLetter"/>
      <w:lvlText w:val="%2."/>
      <w:lvlJc w:val="left"/>
      <w:pPr>
        <w:ind w:hanging="357" w:left="1440"/>
      </w:pPr>
      <w:rPr>
        <w:b/>
        <w:strike w:val="0"/>
        <w:u w:val="none"/>
      </w:rPr>
    </w:lvl>
    <w:lvl w:ilvl="2">
      <w:start w:val="1"/>
      <w:numFmt w:val="lowerRoman"/>
      <w:lvlText w:val="%3."/>
      <w:lvlJc w:val="right"/>
      <w:pPr>
        <w:ind w:hanging="357" w:left="2160"/>
      </w:pPr>
      <w:rPr>
        <w:strike w:val="0"/>
        <w:u w:val="none"/>
      </w:rPr>
    </w:lvl>
    <w:lvl w:ilvl="3">
      <w:start w:val="1"/>
      <w:numFmt w:val="decimal"/>
      <w:lvlText w:val="%4."/>
      <w:lvlJc w:val="left"/>
      <w:pPr>
        <w:ind w:hanging="357" w:left="2880"/>
      </w:pPr>
      <w:rPr>
        <w:strike w:val="0"/>
        <w:u w:val="none"/>
      </w:rPr>
    </w:lvl>
    <w:lvl w:ilvl="4">
      <w:start w:val="1"/>
      <w:numFmt w:val="lowerLetter"/>
      <w:lvlText w:val="%5."/>
      <w:lvlJc w:val="left"/>
      <w:pPr>
        <w:ind w:hanging="357" w:left="3600"/>
      </w:pPr>
      <w:rPr>
        <w:strike w:val="0"/>
        <w:u w:val="none"/>
      </w:rPr>
    </w:lvl>
    <w:lvl w:ilvl="5">
      <w:start w:val="1"/>
      <w:numFmt w:val="lowerRoman"/>
      <w:lvlText w:val="%6."/>
      <w:lvlJc w:val="right"/>
      <w:pPr>
        <w:ind w:hanging="357" w:left="4320"/>
      </w:pPr>
      <w:rPr>
        <w:strike w:val="0"/>
        <w:u w:val="none"/>
      </w:rPr>
    </w:lvl>
    <w:lvl w:ilvl="6">
      <w:start w:val="1"/>
      <w:numFmt w:val="decimal"/>
      <w:lvlText w:val="%7."/>
      <w:lvlJc w:val="left"/>
      <w:pPr>
        <w:ind w:hanging="357" w:left="5040"/>
      </w:pPr>
      <w:rPr>
        <w:strike w:val="0"/>
        <w:u w:val="none"/>
      </w:rPr>
    </w:lvl>
    <w:lvl w:ilvl="7">
      <w:start w:val="1"/>
      <w:numFmt w:val="lowerLetter"/>
      <w:lvlText w:val="%8."/>
      <w:lvlJc w:val="left"/>
      <w:pPr>
        <w:ind w:hanging="357" w:left="5760"/>
      </w:pPr>
      <w:rPr>
        <w:strike w:val="0"/>
        <w:u w:val="none"/>
      </w:rPr>
    </w:lvl>
    <w:lvl w:ilvl="8">
      <w:start w:val="1"/>
      <w:numFmt w:val="lowerRoman"/>
      <w:lvlText w:val="%9."/>
      <w:lvlJc w:val="right"/>
      <w:pPr>
        <w:ind w:hanging="357" w:left="6480"/>
      </w:pPr>
      <w:rPr>
        <w:strike w:val="0"/>
        <w:u w:val="none"/>
      </w:rPr>
    </w:lvl>
  </w:abstractNum>
  <w:abstractNum w15:restartNumberingAfterBreak="0" w:abstractNumId="12">
    <w:nsid w:val="4A8059F1"/>
    <w:multiLevelType w:val="multilevel"/>
    <w:tmpl w:val="6D1E98C6"/>
    <w:lvl w:ilvl="0">
      <w:numFmt w:val="bullet"/>
      <w:lvlText w:val="-"/>
      <w:lvlJc w:val="left"/>
      <w:pPr>
        <w:ind w:hanging="360" w:left="720"/>
      </w:pPr>
      <w:rPr>
        <w:rFonts w:ascii="Arial" w:cs="Arial" w:eastAsia="Arial" w:hAnsi="Arial"/>
      </w:rPr>
    </w:lvl>
    <w:lvl w:ilvl="1">
      <w:start w:val="1"/>
      <w:numFmt w:val="bullet"/>
      <w:lvlText w:val="o"/>
      <w:lvlJc w:val="left"/>
      <w:pPr>
        <w:ind w:hanging="360" w:left="1440"/>
      </w:pPr>
      <w:rPr>
        <w:rFonts w:ascii="Courier New" w:cs="Courier New" w:eastAsia="Courier New" w:hAnsi="Courier New"/>
      </w:rPr>
    </w:lvl>
    <w:lvl w:ilvl="2">
      <w:start w:val="1"/>
      <w:numFmt w:val="bullet"/>
      <w:lvlText w:val="▪"/>
      <w:lvlJc w:val="left"/>
      <w:pPr>
        <w:ind w:hanging="360" w:left="2160"/>
      </w:pPr>
      <w:rPr>
        <w:rFonts w:ascii="Noto Sans Symbols" w:cs="Noto Sans Symbols" w:eastAsia="Noto Sans Symbols" w:hAnsi="Noto Sans Symbols"/>
      </w:rPr>
    </w:lvl>
    <w:lvl w:ilvl="3">
      <w:start w:val="1"/>
      <w:numFmt w:val="bullet"/>
      <w:lvlText w:val="●"/>
      <w:lvlJc w:val="left"/>
      <w:pPr>
        <w:ind w:hanging="360" w:left="2880"/>
      </w:pPr>
      <w:rPr>
        <w:rFonts w:ascii="Noto Sans Symbols" w:cs="Noto Sans Symbols" w:eastAsia="Noto Sans Symbols" w:hAnsi="Noto Sans Symbols"/>
      </w:rPr>
    </w:lvl>
    <w:lvl w:ilvl="4">
      <w:start w:val="1"/>
      <w:numFmt w:val="bullet"/>
      <w:lvlText w:val="o"/>
      <w:lvlJc w:val="left"/>
      <w:pPr>
        <w:ind w:hanging="360" w:left="3600"/>
      </w:pPr>
      <w:rPr>
        <w:rFonts w:ascii="Courier New" w:cs="Courier New" w:eastAsia="Courier New" w:hAnsi="Courier New"/>
      </w:rPr>
    </w:lvl>
    <w:lvl w:ilvl="5">
      <w:start w:val="1"/>
      <w:numFmt w:val="bullet"/>
      <w:lvlText w:val="▪"/>
      <w:lvlJc w:val="left"/>
      <w:pPr>
        <w:ind w:hanging="360" w:left="4320"/>
      </w:pPr>
      <w:rPr>
        <w:rFonts w:ascii="Noto Sans Symbols" w:cs="Noto Sans Symbols" w:eastAsia="Noto Sans Symbols" w:hAnsi="Noto Sans Symbols"/>
      </w:rPr>
    </w:lvl>
    <w:lvl w:ilvl="6">
      <w:start w:val="1"/>
      <w:numFmt w:val="bullet"/>
      <w:lvlText w:val="●"/>
      <w:lvlJc w:val="left"/>
      <w:pPr>
        <w:ind w:hanging="360" w:left="5040"/>
      </w:pPr>
      <w:rPr>
        <w:rFonts w:ascii="Noto Sans Symbols" w:cs="Noto Sans Symbols" w:eastAsia="Noto Sans Symbols" w:hAnsi="Noto Sans Symbols"/>
      </w:rPr>
    </w:lvl>
    <w:lvl w:ilvl="7">
      <w:start w:val="1"/>
      <w:numFmt w:val="bullet"/>
      <w:lvlText w:val="o"/>
      <w:lvlJc w:val="left"/>
      <w:pPr>
        <w:ind w:hanging="360" w:left="5760"/>
      </w:pPr>
      <w:rPr>
        <w:rFonts w:ascii="Courier New" w:cs="Courier New" w:eastAsia="Courier New" w:hAnsi="Courier New"/>
      </w:rPr>
    </w:lvl>
    <w:lvl w:ilvl="8">
      <w:start w:val="1"/>
      <w:numFmt w:val="bullet"/>
      <w:lvlText w:val="▪"/>
      <w:lvlJc w:val="left"/>
      <w:pPr>
        <w:ind w:hanging="360" w:left="6480"/>
      </w:pPr>
      <w:rPr>
        <w:rFonts w:ascii="Noto Sans Symbols" w:cs="Noto Sans Symbols" w:eastAsia="Noto Sans Symbols" w:hAnsi="Noto Sans Symbols"/>
      </w:rPr>
    </w:lvl>
  </w:abstractNum>
  <w:abstractNum w15:restartNumberingAfterBreak="0" w:abstractNumId="13">
    <w:nsid w:val="4E7F29F6"/>
    <w:multiLevelType w:val="multilevel"/>
    <w:tmpl w:val="F20A19FA"/>
    <w:lvl w:ilvl="0">
      <w:start w:val="1"/>
      <w:numFmt w:val="bullet"/>
      <w:lvlText w:val="●"/>
      <w:lvlJc w:val="left"/>
      <w:pPr>
        <w:ind w:hanging="359" w:left="720"/>
      </w:pPr>
      <w:rPr>
        <w:rFonts w:ascii="Noto Sans Symbols" w:cs="Noto Sans Symbols" w:eastAsia="Noto Sans Symbols" w:hAnsi="Noto Sans Symbols"/>
        <w:sz w:val="20"/>
        <w:szCs w:val="20"/>
      </w:rPr>
    </w:lvl>
    <w:lvl w:ilvl="1">
      <w:start w:val="1"/>
      <w:numFmt w:val="bullet"/>
      <w:lvlText w:val="o"/>
      <w:lvlJc w:val="left"/>
      <w:pPr>
        <w:ind w:hanging="359" w:left="1440"/>
      </w:pPr>
      <w:rPr>
        <w:rFonts w:ascii="Courier New" w:cs="Courier New" w:eastAsia="Courier New" w:hAnsi="Courier New"/>
        <w:sz w:val="20"/>
        <w:szCs w:val="20"/>
      </w:rPr>
    </w:lvl>
    <w:lvl w:ilvl="2">
      <w:start w:val="1"/>
      <w:numFmt w:val="bullet"/>
      <w:lvlText w:val="▪"/>
      <w:lvlJc w:val="left"/>
      <w:pPr>
        <w:ind w:hanging="359" w:left="2160"/>
      </w:pPr>
      <w:rPr>
        <w:rFonts w:ascii="Noto Sans Symbols" w:cs="Noto Sans Symbols" w:eastAsia="Noto Sans Symbols" w:hAnsi="Noto Sans Symbols"/>
        <w:sz w:val="20"/>
        <w:szCs w:val="20"/>
      </w:rPr>
    </w:lvl>
    <w:lvl w:ilvl="3">
      <w:start w:val="1"/>
      <w:numFmt w:val="bullet"/>
      <w:lvlText w:val="▪"/>
      <w:lvlJc w:val="left"/>
      <w:pPr>
        <w:ind w:hanging="359" w:left="2880"/>
      </w:pPr>
      <w:rPr>
        <w:rFonts w:ascii="Noto Sans Symbols" w:cs="Noto Sans Symbols" w:eastAsia="Noto Sans Symbols" w:hAnsi="Noto Sans Symbols"/>
        <w:sz w:val="20"/>
        <w:szCs w:val="20"/>
      </w:rPr>
    </w:lvl>
    <w:lvl w:ilvl="4">
      <w:start w:val="1"/>
      <w:numFmt w:val="bullet"/>
      <w:lvlText w:val="▪"/>
      <w:lvlJc w:val="left"/>
      <w:pPr>
        <w:ind w:hanging="359" w:left="3600"/>
      </w:pPr>
      <w:rPr>
        <w:rFonts w:ascii="Noto Sans Symbols" w:cs="Noto Sans Symbols" w:eastAsia="Noto Sans Symbols" w:hAnsi="Noto Sans Symbols"/>
        <w:sz w:val="20"/>
        <w:szCs w:val="20"/>
      </w:rPr>
    </w:lvl>
    <w:lvl w:ilvl="5">
      <w:start w:val="1"/>
      <w:numFmt w:val="bullet"/>
      <w:lvlText w:val="▪"/>
      <w:lvlJc w:val="left"/>
      <w:pPr>
        <w:ind w:hanging="359" w:left="4320"/>
      </w:pPr>
      <w:rPr>
        <w:rFonts w:ascii="Noto Sans Symbols" w:cs="Noto Sans Symbols" w:eastAsia="Noto Sans Symbols" w:hAnsi="Noto Sans Symbols"/>
        <w:sz w:val="20"/>
        <w:szCs w:val="20"/>
      </w:rPr>
    </w:lvl>
    <w:lvl w:ilvl="6">
      <w:start w:val="1"/>
      <w:numFmt w:val="bullet"/>
      <w:lvlText w:val="▪"/>
      <w:lvlJc w:val="left"/>
      <w:pPr>
        <w:ind w:hanging="359" w:left="5040"/>
      </w:pPr>
      <w:rPr>
        <w:rFonts w:ascii="Noto Sans Symbols" w:cs="Noto Sans Symbols" w:eastAsia="Noto Sans Symbols" w:hAnsi="Noto Sans Symbols"/>
        <w:sz w:val="20"/>
        <w:szCs w:val="20"/>
      </w:rPr>
    </w:lvl>
    <w:lvl w:ilvl="7">
      <w:start w:val="1"/>
      <w:numFmt w:val="bullet"/>
      <w:lvlText w:val="▪"/>
      <w:lvlJc w:val="left"/>
      <w:pPr>
        <w:ind w:hanging="359" w:left="5760"/>
      </w:pPr>
      <w:rPr>
        <w:rFonts w:ascii="Noto Sans Symbols" w:cs="Noto Sans Symbols" w:eastAsia="Noto Sans Symbols" w:hAnsi="Noto Sans Symbols"/>
        <w:sz w:val="20"/>
        <w:szCs w:val="20"/>
      </w:rPr>
    </w:lvl>
    <w:lvl w:ilvl="8">
      <w:start w:val="1"/>
      <w:numFmt w:val="bullet"/>
      <w:lvlText w:val="▪"/>
      <w:lvlJc w:val="left"/>
      <w:pPr>
        <w:ind w:hanging="359" w:left="6480"/>
      </w:pPr>
      <w:rPr>
        <w:rFonts w:ascii="Noto Sans Symbols" w:cs="Noto Sans Symbols" w:eastAsia="Noto Sans Symbols" w:hAnsi="Noto Sans Symbols"/>
        <w:sz w:val="20"/>
        <w:szCs w:val="20"/>
      </w:rPr>
    </w:lvl>
  </w:abstractNum>
  <w:abstractNum w15:restartNumberingAfterBreak="0" w:abstractNumId="14">
    <w:nsid w:val="63A56CE9"/>
    <w:multiLevelType w:val="multilevel"/>
    <w:tmpl w:val="107E32C2"/>
    <w:lvl w:ilvl="0">
      <w:start w:val="1"/>
      <w:numFmt w:val="bullet"/>
      <w:lvlText w:val="●"/>
      <w:lvlJc w:val="left"/>
      <w:pPr>
        <w:ind w:hanging="359" w:left="720"/>
      </w:pPr>
      <w:rPr>
        <w:rFonts w:ascii="Noto Sans Symbols" w:cs="Noto Sans Symbols" w:eastAsia="Noto Sans Symbols" w:hAnsi="Noto Sans Symbols"/>
      </w:rPr>
    </w:lvl>
    <w:lvl w:ilvl="1">
      <w:start w:val="1"/>
      <w:numFmt w:val="bullet"/>
      <w:lvlText w:val="o"/>
      <w:lvlJc w:val="left"/>
      <w:pPr>
        <w:ind w:hanging="359" w:left="1440"/>
      </w:pPr>
      <w:rPr>
        <w:rFonts w:ascii="Courier New" w:cs="Courier New" w:eastAsia="Courier New" w:hAnsi="Courier New"/>
      </w:rPr>
    </w:lvl>
    <w:lvl w:ilvl="2">
      <w:start w:val="1"/>
      <w:numFmt w:val="bullet"/>
      <w:lvlText w:val="▪"/>
      <w:lvlJc w:val="left"/>
      <w:pPr>
        <w:ind w:hanging="359" w:left="2160"/>
      </w:pPr>
      <w:rPr>
        <w:rFonts w:ascii="Noto Sans Symbols" w:cs="Noto Sans Symbols" w:eastAsia="Noto Sans Symbols" w:hAnsi="Noto Sans Symbols"/>
      </w:rPr>
    </w:lvl>
    <w:lvl w:ilvl="3">
      <w:start w:val="1"/>
      <w:numFmt w:val="bullet"/>
      <w:lvlText w:val="●"/>
      <w:lvlJc w:val="left"/>
      <w:pPr>
        <w:ind w:hanging="359" w:left="2880"/>
      </w:pPr>
      <w:rPr>
        <w:rFonts w:ascii="Noto Sans Symbols" w:cs="Noto Sans Symbols" w:eastAsia="Noto Sans Symbols" w:hAnsi="Noto Sans Symbols"/>
      </w:rPr>
    </w:lvl>
    <w:lvl w:ilvl="4">
      <w:start w:val="1"/>
      <w:numFmt w:val="bullet"/>
      <w:lvlText w:val="o"/>
      <w:lvlJc w:val="left"/>
      <w:pPr>
        <w:ind w:hanging="359" w:left="3600"/>
      </w:pPr>
      <w:rPr>
        <w:rFonts w:ascii="Courier New" w:cs="Courier New" w:eastAsia="Courier New" w:hAnsi="Courier New"/>
      </w:rPr>
    </w:lvl>
    <w:lvl w:ilvl="5">
      <w:start w:val="1"/>
      <w:numFmt w:val="bullet"/>
      <w:lvlText w:val="▪"/>
      <w:lvlJc w:val="left"/>
      <w:pPr>
        <w:ind w:hanging="359" w:left="4320"/>
      </w:pPr>
      <w:rPr>
        <w:rFonts w:ascii="Noto Sans Symbols" w:cs="Noto Sans Symbols" w:eastAsia="Noto Sans Symbols" w:hAnsi="Noto Sans Symbols"/>
      </w:rPr>
    </w:lvl>
    <w:lvl w:ilvl="6">
      <w:start w:val="1"/>
      <w:numFmt w:val="bullet"/>
      <w:lvlText w:val="●"/>
      <w:lvlJc w:val="left"/>
      <w:pPr>
        <w:ind w:hanging="359" w:left="5040"/>
      </w:pPr>
      <w:rPr>
        <w:rFonts w:ascii="Noto Sans Symbols" w:cs="Noto Sans Symbols" w:eastAsia="Noto Sans Symbols" w:hAnsi="Noto Sans Symbols"/>
      </w:rPr>
    </w:lvl>
    <w:lvl w:ilvl="7">
      <w:start w:val="1"/>
      <w:numFmt w:val="bullet"/>
      <w:lvlText w:val="o"/>
      <w:lvlJc w:val="left"/>
      <w:pPr>
        <w:ind w:hanging="359" w:left="5760"/>
      </w:pPr>
      <w:rPr>
        <w:rFonts w:ascii="Courier New" w:cs="Courier New" w:eastAsia="Courier New" w:hAnsi="Courier New"/>
      </w:rPr>
    </w:lvl>
    <w:lvl w:ilvl="8">
      <w:start w:val="1"/>
      <w:numFmt w:val="bullet"/>
      <w:lvlText w:val="▪"/>
      <w:lvlJc w:val="left"/>
      <w:pPr>
        <w:ind w:hanging="359" w:left="6480"/>
      </w:pPr>
      <w:rPr>
        <w:rFonts w:ascii="Noto Sans Symbols" w:cs="Noto Sans Symbols" w:eastAsia="Noto Sans Symbols" w:hAnsi="Noto Sans Symbols"/>
      </w:rPr>
    </w:lvl>
  </w:abstractNum>
  <w:abstractNum w15:restartNumberingAfterBreak="0" w:abstractNumId="15">
    <w:nsid w:val="6B417A49"/>
    <w:multiLevelType w:val="multilevel"/>
    <w:tmpl w:val="1E6A1DA4"/>
    <w:lvl w:ilvl="0">
      <w:start w:val="1"/>
      <w:numFmt w:val="decimal"/>
      <w:lvlText w:val="%1."/>
      <w:lvlJc w:val="left"/>
      <w:pPr>
        <w:ind w:hanging="357" w:left="720"/>
      </w:pPr>
      <w:rPr>
        <w:strike w:val="0"/>
        <w:u w:val="none"/>
      </w:rPr>
    </w:lvl>
    <w:lvl w:ilvl="1">
      <w:start w:val="1"/>
      <w:numFmt w:val="lowerLetter"/>
      <w:lvlText w:val="%2."/>
      <w:lvlJc w:val="left"/>
      <w:pPr>
        <w:ind w:hanging="357" w:left="1440"/>
      </w:pPr>
      <w:rPr>
        <w:b/>
        <w:strike w:val="0"/>
        <w:u w:val="none"/>
      </w:rPr>
    </w:lvl>
    <w:lvl w:ilvl="2">
      <w:start w:val="1"/>
      <w:numFmt w:val="lowerRoman"/>
      <w:lvlText w:val="%3."/>
      <w:lvlJc w:val="right"/>
      <w:pPr>
        <w:ind w:hanging="357" w:left="2160"/>
      </w:pPr>
      <w:rPr>
        <w:strike w:val="0"/>
        <w:u w:val="none"/>
      </w:rPr>
    </w:lvl>
    <w:lvl w:ilvl="3">
      <w:start w:val="1"/>
      <w:numFmt w:val="decimal"/>
      <w:lvlText w:val="%4."/>
      <w:lvlJc w:val="left"/>
      <w:pPr>
        <w:ind w:hanging="357" w:left="2880"/>
      </w:pPr>
      <w:rPr>
        <w:strike w:val="0"/>
        <w:u w:val="none"/>
      </w:rPr>
    </w:lvl>
    <w:lvl w:ilvl="4">
      <w:start w:val="1"/>
      <w:numFmt w:val="lowerLetter"/>
      <w:lvlText w:val="%5."/>
      <w:lvlJc w:val="left"/>
      <w:pPr>
        <w:ind w:hanging="357" w:left="3600"/>
      </w:pPr>
      <w:rPr>
        <w:strike w:val="0"/>
        <w:u w:val="none"/>
      </w:rPr>
    </w:lvl>
    <w:lvl w:ilvl="5">
      <w:start w:val="1"/>
      <w:numFmt w:val="lowerRoman"/>
      <w:lvlText w:val="%6."/>
      <w:lvlJc w:val="right"/>
      <w:pPr>
        <w:ind w:hanging="357" w:left="4320"/>
      </w:pPr>
      <w:rPr>
        <w:strike w:val="0"/>
        <w:u w:val="none"/>
      </w:rPr>
    </w:lvl>
    <w:lvl w:ilvl="6">
      <w:start w:val="1"/>
      <w:numFmt w:val="decimal"/>
      <w:lvlText w:val="%7."/>
      <w:lvlJc w:val="left"/>
      <w:pPr>
        <w:ind w:hanging="357" w:left="5040"/>
      </w:pPr>
      <w:rPr>
        <w:strike w:val="0"/>
        <w:u w:val="none"/>
      </w:rPr>
    </w:lvl>
    <w:lvl w:ilvl="7">
      <w:start w:val="1"/>
      <w:numFmt w:val="lowerLetter"/>
      <w:lvlText w:val="%8."/>
      <w:lvlJc w:val="left"/>
      <w:pPr>
        <w:ind w:hanging="357" w:left="5760"/>
      </w:pPr>
      <w:rPr>
        <w:strike w:val="0"/>
        <w:u w:val="none"/>
      </w:rPr>
    </w:lvl>
    <w:lvl w:ilvl="8">
      <w:start w:val="1"/>
      <w:numFmt w:val="lowerRoman"/>
      <w:lvlText w:val="%9."/>
      <w:lvlJc w:val="right"/>
      <w:pPr>
        <w:ind w:hanging="357" w:left="6480"/>
      </w:pPr>
      <w:rPr>
        <w:strike w:val="0"/>
        <w:u w:val="none"/>
      </w:rPr>
    </w:lvl>
  </w:abstractNum>
  <w:abstractNum w15:restartNumberingAfterBreak="0" w:abstractNumId="16">
    <w:nsid w:val="72160282"/>
    <w:multiLevelType w:val="multilevel"/>
    <w:tmpl w:val="D8F829EC"/>
    <w:lvl w:ilvl="0">
      <w:start w:val="1"/>
      <w:numFmt w:val="bullet"/>
      <w:lvlText w:val="●"/>
      <w:lvlJc w:val="left"/>
      <w:pPr>
        <w:ind w:hanging="359" w:left="720"/>
      </w:pPr>
      <w:rPr>
        <w:rFonts w:ascii="Noto Sans Symbols" w:cs="Noto Sans Symbols" w:eastAsia="Noto Sans Symbols" w:hAnsi="Noto Sans Symbols"/>
        <w:sz w:val="20"/>
        <w:szCs w:val="20"/>
      </w:rPr>
    </w:lvl>
    <w:lvl w:ilvl="1">
      <w:start w:val="1"/>
      <w:numFmt w:val="bullet"/>
      <w:lvlText w:val="o"/>
      <w:lvlJc w:val="left"/>
      <w:pPr>
        <w:ind w:hanging="359" w:left="1440"/>
      </w:pPr>
      <w:rPr>
        <w:rFonts w:ascii="Courier New" w:cs="Courier New" w:eastAsia="Courier New" w:hAnsi="Courier New"/>
        <w:sz w:val="20"/>
        <w:szCs w:val="20"/>
      </w:rPr>
    </w:lvl>
    <w:lvl w:ilvl="2">
      <w:start w:val="1"/>
      <w:numFmt w:val="bullet"/>
      <w:lvlText w:val="▪"/>
      <w:lvlJc w:val="left"/>
      <w:pPr>
        <w:ind w:hanging="359" w:left="2160"/>
      </w:pPr>
      <w:rPr>
        <w:rFonts w:ascii="Noto Sans Symbols" w:cs="Noto Sans Symbols" w:eastAsia="Noto Sans Symbols" w:hAnsi="Noto Sans Symbols"/>
        <w:sz w:val="20"/>
        <w:szCs w:val="20"/>
      </w:rPr>
    </w:lvl>
    <w:lvl w:ilvl="3">
      <w:start w:val="1"/>
      <w:numFmt w:val="bullet"/>
      <w:lvlText w:val="▪"/>
      <w:lvlJc w:val="left"/>
      <w:pPr>
        <w:ind w:hanging="359" w:left="2880"/>
      </w:pPr>
      <w:rPr>
        <w:rFonts w:ascii="Noto Sans Symbols" w:cs="Noto Sans Symbols" w:eastAsia="Noto Sans Symbols" w:hAnsi="Noto Sans Symbols"/>
        <w:sz w:val="20"/>
        <w:szCs w:val="20"/>
      </w:rPr>
    </w:lvl>
    <w:lvl w:ilvl="4">
      <w:start w:val="1"/>
      <w:numFmt w:val="bullet"/>
      <w:lvlText w:val="▪"/>
      <w:lvlJc w:val="left"/>
      <w:pPr>
        <w:ind w:hanging="359" w:left="3600"/>
      </w:pPr>
      <w:rPr>
        <w:rFonts w:ascii="Noto Sans Symbols" w:cs="Noto Sans Symbols" w:eastAsia="Noto Sans Symbols" w:hAnsi="Noto Sans Symbols"/>
        <w:sz w:val="20"/>
        <w:szCs w:val="20"/>
      </w:rPr>
    </w:lvl>
    <w:lvl w:ilvl="5">
      <w:start w:val="1"/>
      <w:numFmt w:val="bullet"/>
      <w:lvlText w:val="▪"/>
      <w:lvlJc w:val="left"/>
      <w:pPr>
        <w:ind w:hanging="359" w:left="4320"/>
      </w:pPr>
      <w:rPr>
        <w:rFonts w:ascii="Noto Sans Symbols" w:cs="Noto Sans Symbols" w:eastAsia="Noto Sans Symbols" w:hAnsi="Noto Sans Symbols"/>
        <w:sz w:val="20"/>
        <w:szCs w:val="20"/>
      </w:rPr>
    </w:lvl>
    <w:lvl w:ilvl="6">
      <w:start w:val="1"/>
      <w:numFmt w:val="bullet"/>
      <w:lvlText w:val="▪"/>
      <w:lvlJc w:val="left"/>
      <w:pPr>
        <w:ind w:hanging="359" w:left="5040"/>
      </w:pPr>
      <w:rPr>
        <w:rFonts w:ascii="Noto Sans Symbols" w:cs="Noto Sans Symbols" w:eastAsia="Noto Sans Symbols" w:hAnsi="Noto Sans Symbols"/>
        <w:sz w:val="20"/>
        <w:szCs w:val="20"/>
      </w:rPr>
    </w:lvl>
    <w:lvl w:ilvl="7">
      <w:start w:val="1"/>
      <w:numFmt w:val="bullet"/>
      <w:lvlText w:val="▪"/>
      <w:lvlJc w:val="left"/>
      <w:pPr>
        <w:ind w:hanging="359" w:left="5760"/>
      </w:pPr>
      <w:rPr>
        <w:rFonts w:ascii="Noto Sans Symbols" w:cs="Noto Sans Symbols" w:eastAsia="Noto Sans Symbols" w:hAnsi="Noto Sans Symbols"/>
        <w:sz w:val="20"/>
        <w:szCs w:val="20"/>
      </w:rPr>
    </w:lvl>
    <w:lvl w:ilvl="8">
      <w:start w:val="1"/>
      <w:numFmt w:val="bullet"/>
      <w:lvlText w:val="▪"/>
      <w:lvlJc w:val="left"/>
      <w:pPr>
        <w:ind w:hanging="359" w:left="6480"/>
      </w:pPr>
      <w:rPr>
        <w:rFonts w:ascii="Noto Sans Symbols" w:cs="Noto Sans Symbols" w:eastAsia="Noto Sans Symbols" w:hAnsi="Noto Sans Symbols"/>
        <w:sz w:val="20"/>
        <w:szCs w:val="20"/>
      </w:rPr>
    </w:lvl>
  </w:abstractNum>
  <w:abstractNum w15:restartNumberingAfterBreak="0" w:abstractNumId="17">
    <w:nsid w:val="7AD46FC5"/>
    <w:multiLevelType w:val="multilevel"/>
    <w:tmpl w:val="655CF014"/>
    <w:lvl w:ilvl="0">
      <w:start w:val="1"/>
      <w:numFmt w:val="bullet"/>
      <w:lvlText w:val="●"/>
      <w:lvlJc w:val="left"/>
      <w:pPr>
        <w:ind w:hanging="359" w:left="720"/>
      </w:pPr>
      <w:rPr>
        <w:rFonts w:ascii="Noto Sans Symbols" w:cs="Noto Sans Symbols" w:eastAsia="Noto Sans Symbols" w:hAnsi="Noto Sans Symbols"/>
        <w:sz w:val="20"/>
        <w:szCs w:val="20"/>
      </w:rPr>
    </w:lvl>
    <w:lvl w:ilvl="1">
      <w:start w:val="1"/>
      <w:numFmt w:val="bullet"/>
      <w:lvlText w:val="o"/>
      <w:lvlJc w:val="left"/>
      <w:pPr>
        <w:ind w:hanging="359" w:left="1440"/>
      </w:pPr>
      <w:rPr>
        <w:rFonts w:ascii="Courier New" w:cs="Courier New" w:eastAsia="Courier New" w:hAnsi="Courier New"/>
        <w:sz w:val="20"/>
        <w:szCs w:val="20"/>
      </w:rPr>
    </w:lvl>
    <w:lvl w:ilvl="2">
      <w:start w:val="1"/>
      <w:numFmt w:val="bullet"/>
      <w:lvlText w:val="▪"/>
      <w:lvlJc w:val="left"/>
      <w:pPr>
        <w:ind w:hanging="359" w:left="2160"/>
      </w:pPr>
      <w:rPr>
        <w:rFonts w:ascii="Noto Sans Symbols" w:cs="Noto Sans Symbols" w:eastAsia="Noto Sans Symbols" w:hAnsi="Noto Sans Symbols"/>
        <w:sz w:val="20"/>
        <w:szCs w:val="20"/>
      </w:rPr>
    </w:lvl>
    <w:lvl w:ilvl="3">
      <w:start w:val="1"/>
      <w:numFmt w:val="bullet"/>
      <w:lvlText w:val="▪"/>
      <w:lvlJc w:val="left"/>
      <w:pPr>
        <w:ind w:hanging="359" w:left="2880"/>
      </w:pPr>
      <w:rPr>
        <w:rFonts w:ascii="Noto Sans Symbols" w:cs="Noto Sans Symbols" w:eastAsia="Noto Sans Symbols" w:hAnsi="Noto Sans Symbols"/>
        <w:sz w:val="20"/>
        <w:szCs w:val="20"/>
      </w:rPr>
    </w:lvl>
    <w:lvl w:ilvl="4">
      <w:start w:val="1"/>
      <w:numFmt w:val="bullet"/>
      <w:lvlText w:val="▪"/>
      <w:lvlJc w:val="left"/>
      <w:pPr>
        <w:ind w:hanging="359" w:left="3600"/>
      </w:pPr>
      <w:rPr>
        <w:rFonts w:ascii="Noto Sans Symbols" w:cs="Noto Sans Symbols" w:eastAsia="Noto Sans Symbols" w:hAnsi="Noto Sans Symbols"/>
        <w:sz w:val="20"/>
        <w:szCs w:val="20"/>
      </w:rPr>
    </w:lvl>
    <w:lvl w:ilvl="5">
      <w:start w:val="1"/>
      <w:numFmt w:val="bullet"/>
      <w:lvlText w:val="▪"/>
      <w:lvlJc w:val="left"/>
      <w:pPr>
        <w:ind w:hanging="359" w:left="4320"/>
      </w:pPr>
      <w:rPr>
        <w:rFonts w:ascii="Noto Sans Symbols" w:cs="Noto Sans Symbols" w:eastAsia="Noto Sans Symbols" w:hAnsi="Noto Sans Symbols"/>
        <w:sz w:val="20"/>
        <w:szCs w:val="20"/>
      </w:rPr>
    </w:lvl>
    <w:lvl w:ilvl="6">
      <w:start w:val="1"/>
      <w:numFmt w:val="bullet"/>
      <w:lvlText w:val="▪"/>
      <w:lvlJc w:val="left"/>
      <w:pPr>
        <w:ind w:hanging="359" w:left="5040"/>
      </w:pPr>
      <w:rPr>
        <w:rFonts w:ascii="Noto Sans Symbols" w:cs="Noto Sans Symbols" w:eastAsia="Noto Sans Symbols" w:hAnsi="Noto Sans Symbols"/>
        <w:sz w:val="20"/>
        <w:szCs w:val="20"/>
      </w:rPr>
    </w:lvl>
    <w:lvl w:ilvl="7">
      <w:start w:val="1"/>
      <w:numFmt w:val="bullet"/>
      <w:lvlText w:val="▪"/>
      <w:lvlJc w:val="left"/>
      <w:pPr>
        <w:ind w:hanging="359" w:left="5760"/>
      </w:pPr>
      <w:rPr>
        <w:rFonts w:ascii="Noto Sans Symbols" w:cs="Noto Sans Symbols" w:eastAsia="Noto Sans Symbols" w:hAnsi="Noto Sans Symbols"/>
        <w:sz w:val="20"/>
        <w:szCs w:val="20"/>
      </w:rPr>
    </w:lvl>
    <w:lvl w:ilvl="8">
      <w:start w:val="1"/>
      <w:numFmt w:val="bullet"/>
      <w:lvlText w:val="▪"/>
      <w:lvlJc w:val="left"/>
      <w:pPr>
        <w:ind w:hanging="359" w:left="6480"/>
      </w:pPr>
      <w:rPr>
        <w:rFonts w:ascii="Noto Sans Symbols" w:cs="Noto Sans Symbols" w:eastAsia="Noto Sans Symbols" w:hAnsi="Noto Sans Symbols"/>
        <w:sz w:val="20"/>
        <w:szCs w:val="20"/>
      </w:rPr>
    </w:lvl>
  </w:abstractNum>
  <w:abstractNum w15:restartNumberingAfterBreak="0" w:abstractNumId="18">
    <w:nsid w:val="7C174510"/>
    <w:multiLevelType w:val="multilevel"/>
    <w:tmpl w:val="7AB87F3A"/>
    <w:lvl w:ilvl="0">
      <w:start w:val="1"/>
      <w:numFmt w:val="bullet"/>
      <w:lvlText w:val="●"/>
      <w:lvlJc w:val="left"/>
      <w:pPr>
        <w:ind w:hanging="360" w:left="720"/>
      </w:pPr>
      <w:rPr>
        <w:rFonts w:ascii="Noto Sans Symbols" w:cs="Noto Sans Symbols" w:eastAsia="Noto Sans Symbols" w:hAnsi="Noto Sans Symbols"/>
      </w:rPr>
    </w:lvl>
    <w:lvl w:ilvl="1">
      <w:start w:val="1"/>
      <w:numFmt w:val="bullet"/>
      <w:lvlText w:val="o"/>
      <w:lvlJc w:val="left"/>
      <w:pPr>
        <w:ind w:hanging="360" w:left="1440"/>
      </w:pPr>
      <w:rPr>
        <w:rFonts w:ascii="Courier New" w:cs="Courier New" w:eastAsia="Courier New" w:hAnsi="Courier New"/>
      </w:rPr>
    </w:lvl>
    <w:lvl w:ilvl="2">
      <w:start w:val="1"/>
      <w:numFmt w:val="bullet"/>
      <w:lvlText w:val="▪"/>
      <w:lvlJc w:val="left"/>
      <w:pPr>
        <w:ind w:hanging="360" w:left="2160"/>
      </w:pPr>
      <w:rPr>
        <w:rFonts w:ascii="Noto Sans Symbols" w:cs="Noto Sans Symbols" w:eastAsia="Noto Sans Symbols" w:hAnsi="Noto Sans Symbols"/>
      </w:rPr>
    </w:lvl>
    <w:lvl w:ilvl="3">
      <w:start w:val="1"/>
      <w:numFmt w:val="bullet"/>
      <w:lvlText w:val="●"/>
      <w:lvlJc w:val="left"/>
      <w:pPr>
        <w:ind w:hanging="360" w:left="2880"/>
      </w:pPr>
      <w:rPr>
        <w:rFonts w:ascii="Noto Sans Symbols" w:cs="Noto Sans Symbols" w:eastAsia="Noto Sans Symbols" w:hAnsi="Noto Sans Symbols"/>
      </w:rPr>
    </w:lvl>
    <w:lvl w:ilvl="4">
      <w:start w:val="1"/>
      <w:numFmt w:val="bullet"/>
      <w:lvlText w:val="o"/>
      <w:lvlJc w:val="left"/>
      <w:pPr>
        <w:ind w:hanging="360" w:left="3600"/>
      </w:pPr>
      <w:rPr>
        <w:rFonts w:ascii="Courier New" w:cs="Courier New" w:eastAsia="Courier New" w:hAnsi="Courier New"/>
      </w:rPr>
    </w:lvl>
    <w:lvl w:ilvl="5">
      <w:start w:val="1"/>
      <w:numFmt w:val="bullet"/>
      <w:lvlText w:val="▪"/>
      <w:lvlJc w:val="left"/>
      <w:pPr>
        <w:ind w:hanging="360" w:left="4320"/>
      </w:pPr>
      <w:rPr>
        <w:rFonts w:ascii="Noto Sans Symbols" w:cs="Noto Sans Symbols" w:eastAsia="Noto Sans Symbols" w:hAnsi="Noto Sans Symbols"/>
      </w:rPr>
    </w:lvl>
    <w:lvl w:ilvl="6">
      <w:start w:val="1"/>
      <w:numFmt w:val="bullet"/>
      <w:lvlText w:val="●"/>
      <w:lvlJc w:val="left"/>
      <w:pPr>
        <w:ind w:hanging="360" w:left="5040"/>
      </w:pPr>
      <w:rPr>
        <w:rFonts w:ascii="Noto Sans Symbols" w:cs="Noto Sans Symbols" w:eastAsia="Noto Sans Symbols" w:hAnsi="Noto Sans Symbols"/>
      </w:rPr>
    </w:lvl>
    <w:lvl w:ilvl="7">
      <w:start w:val="1"/>
      <w:numFmt w:val="bullet"/>
      <w:lvlText w:val="o"/>
      <w:lvlJc w:val="left"/>
      <w:pPr>
        <w:ind w:hanging="360" w:left="5760"/>
      </w:pPr>
      <w:rPr>
        <w:rFonts w:ascii="Courier New" w:cs="Courier New" w:eastAsia="Courier New" w:hAnsi="Courier New"/>
      </w:rPr>
    </w:lvl>
    <w:lvl w:ilvl="8">
      <w:start w:val="1"/>
      <w:numFmt w:val="bullet"/>
      <w:lvlText w:val="▪"/>
      <w:lvlJc w:val="left"/>
      <w:pPr>
        <w:ind w:hanging="360" w:left="6480"/>
      </w:pPr>
      <w:rPr>
        <w:rFonts w:ascii="Noto Sans Symbols" w:cs="Noto Sans Symbols" w:eastAsia="Noto Sans Symbols" w:hAnsi="Noto Sans Symbols"/>
      </w:rPr>
    </w:lvl>
  </w:abstractNum>
  <w:num w16cid:durableId="1718579708" w:numId="1">
    <w:abstractNumId w:val="9"/>
  </w:num>
  <w:num w16cid:durableId="1277829653" w:numId="2">
    <w:abstractNumId w:val="10"/>
  </w:num>
  <w:num w16cid:durableId="1841432185" w:numId="3">
    <w:abstractNumId w:val="1"/>
  </w:num>
  <w:num w16cid:durableId="211188543" w:numId="4">
    <w:abstractNumId w:val="16"/>
  </w:num>
  <w:num w16cid:durableId="1110974983" w:numId="5">
    <w:abstractNumId w:val="12"/>
  </w:num>
  <w:num w16cid:durableId="2046253588" w:numId="6">
    <w:abstractNumId w:val="7"/>
  </w:num>
  <w:num w16cid:durableId="342317695" w:numId="7">
    <w:abstractNumId w:val="14"/>
  </w:num>
  <w:num w16cid:durableId="1781563183" w:numId="8">
    <w:abstractNumId w:val="4"/>
  </w:num>
  <w:num w16cid:durableId="195395005" w:numId="9">
    <w:abstractNumId w:val="17"/>
  </w:num>
  <w:num w16cid:durableId="2070109024" w:numId="10">
    <w:abstractNumId w:val="3"/>
  </w:num>
  <w:num w16cid:durableId="162817607" w:numId="11">
    <w:abstractNumId w:val="18"/>
  </w:num>
  <w:num w16cid:durableId="1047338786" w:numId="12">
    <w:abstractNumId w:val="5"/>
  </w:num>
  <w:num w16cid:durableId="834762853" w:numId="13">
    <w:abstractNumId w:val="6"/>
  </w:num>
  <w:num w16cid:durableId="1568806735" w:numId="14">
    <w:abstractNumId w:val="8"/>
  </w:num>
  <w:num w16cid:durableId="186524952" w:numId="15">
    <w:abstractNumId w:val="2"/>
  </w:num>
  <w:num w16cid:durableId="753429354" w:numId="16">
    <w:abstractNumId w:val="0"/>
  </w:num>
  <w:num w16cid:durableId="1017272094" w:numId="17">
    <w:abstractNumId w:val="11"/>
  </w:num>
  <w:num w16cid:durableId="2010062055" w:numId="18">
    <w:abstractNumId w:val="15"/>
  </w:num>
  <w:num w16cid:durableId="646590855" w:numId="19">
    <w:abstractNumId w:val="13"/>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zoom w:percent="140"/>
  <w:proofState w:grammar="clean"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401"/>
    <w:rsid w:val="000913BB"/>
    <w:rsid w:val="0093720C"/>
    <w:rsid w:val="00D85401"/>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decimalSymbol w:val=","/>
  <w:listSeparator w:val=";"/>
  <w14:docId w14:val="746D4F3B"/>
  <w15:docId w15:val="{BDD261F9-8EFB-6D4A-B3F4-4CB87471F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Arial" w:cs="Arial" w:eastAsia="Arial" w:hAnsi="Arial"/>
        <w:sz w:val="22"/>
        <w:szCs w:val="22"/>
        <w:lang w:bidi="ar-SA" w:eastAsia="fr-FR" w:val="fr"/>
      </w:rPr>
    </w:rPrDefault>
    <w:pPrDefault>
      <w:pPr>
        <w:spacing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Titre1" w:type="paragraph">
    <w:name w:val="heading 1"/>
    <w:basedOn w:val="Normal"/>
    <w:next w:val="Normal"/>
    <w:uiPriority w:val="9"/>
    <w:qFormat/>
    <w:pPr>
      <w:keepNext/>
      <w:keepLines/>
      <w:spacing w:after="120" w:before="400"/>
      <w:outlineLvl w:val="0"/>
    </w:pPr>
    <w:rPr>
      <w:sz w:val="40"/>
      <w:szCs w:val="40"/>
    </w:rPr>
  </w:style>
  <w:style w:styleId="Titre2" w:type="paragraph">
    <w:name w:val="heading 2"/>
    <w:basedOn w:val="Normal"/>
    <w:next w:val="Normal"/>
    <w:uiPriority w:val="9"/>
    <w:semiHidden/>
    <w:unhideWhenUsed/>
    <w:qFormat/>
    <w:pPr>
      <w:keepNext/>
      <w:keepLines/>
      <w:spacing w:after="120" w:before="360"/>
      <w:outlineLvl w:val="1"/>
    </w:pPr>
    <w:rPr>
      <w:sz w:val="32"/>
      <w:szCs w:val="32"/>
    </w:rPr>
  </w:style>
  <w:style w:styleId="Titre3" w:type="paragraph">
    <w:name w:val="heading 3"/>
    <w:basedOn w:val="Normal"/>
    <w:next w:val="Normal"/>
    <w:uiPriority w:val="9"/>
    <w:semiHidden/>
    <w:unhideWhenUsed/>
    <w:qFormat/>
    <w:pPr>
      <w:keepNext/>
      <w:keepLines/>
      <w:spacing w:after="80" w:before="320"/>
      <w:outlineLvl w:val="2"/>
    </w:pPr>
    <w:rPr>
      <w:color w:val="434343"/>
      <w:sz w:val="28"/>
      <w:szCs w:val="28"/>
    </w:rPr>
  </w:style>
  <w:style w:styleId="Titre4" w:type="paragraph">
    <w:name w:val="heading 4"/>
    <w:basedOn w:val="Normal"/>
    <w:next w:val="Normal"/>
    <w:uiPriority w:val="9"/>
    <w:semiHidden/>
    <w:unhideWhenUsed/>
    <w:qFormat/>
    <w:pPr>
      <w:keepNext/>
      <w:keepLines/>
      <w:spacing w:after="80" w:before="280"/>
      <w:outlineLvl w:val="3"/>
    </w:pPr>
    <w:rPr>
      <w:color w:val="666666"/>
      <w:sz w:val="24"/>
      <w:szCs w:val="24"/>
    </w:rPr>
  </w:style>
  <w:style w:styleId="Titre5" w:type="paragraph">
    <w:name w:val="heading 5"/>
    <w:basedOn w:val="Normal"/>
    <w:next w:val="Normal"/>
    <w:uiPriority w:val="9"/>
    <w:semiHidden/>
    <w:unhideWhenUsed/>
    <w:qFormat/>
    <w:pPr>
      <w:keepNext/>
      <w:keepLines/>
      <w:spacing w:after="80" w:before="240"/>
      <w:outlineLvl w:val="4"/>
    </w:pPr>
    <w:rPr>
      <w:color w:val="666666"/>
    </w:rPr>
  </w:style>
  <w:style w:styleId="Titre6" w:type="paragraph">
    <w:name w:val="heading 6"/>
    <w:basedOn w:val="Normal"/>
    <w:next w:val="Normal"/>
    <w:uiPriority w:val="9"/>
    <w:semiHidden/>
    <w:unhideWhenUsed/>
    <w:qFormat/>
    <w:pPr>
      <w:keepNext/>
      <w:keepLines/>
      <w:spacing w:after="80" w:before="240"/>
      <w:outlineLvl w:val="5"/>
    </w:pPr>
    <w:rPr>
      <w:i/>
      <w:color w:val="666666"/>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ableNormal" w:type="table">
    <w:name w:val="Table Normal"/>
    <w:tblPr>
      <w:tblCellMar>
        <w:top w:type="dxa" w:w="0"/>
        <w:left w:type="dxa" w:w="0"/>
        <w:bottom w:type="dxa" w:w="0"/>
        <w:right w:type="dxa" w:w="0"/>
      </w:tblCellMar>
    </w:tblPr>
  </w:style>
  <w:style w:styleId="Titre" w:type="paragraph">
    <w:name w:val="Title"/>
    <w:basedOn w:val="Normal"/>
    <w:next w:val="Normal"/>
    <w:uiPriority w:val="10"/>
    <w:qFormat/>
    <w:pPr>
      <w:keepNext/>
      <w:keepLines/>
      <w:spacing w:after="60"/>
    </w:pPr>
    <w:rPr>
      <w:sz w:val="52"/>
      <w:szCs w:val="52"/>
    </w:rPr>
  </w:style>
  <w:style w:styleId="Sous-titre" w:type="paragraph">
    <w:name w:val="Subtitle"/>
    <w:basedOn w:val="Normal"/>
    <w:next w:val="Normal"/>
    <w:uiPriority w:val="11"/>
    <w:qFormat/>
    <w:pPr>
      <w:keepNext/>
      <w:keepLines/>
      <w:spacing w:after="320"/>
    </w:pPr>
    <w:rPr>
      <w:color w:val="666666"/>
      <w:sz w:val="30"/>
      <w:szCs w:val="30"/>
    </w:rPr>
  </w:style>
  <w:style w:customStyle="1" w:styleId="a" w:type="table">
    <w:basedOn w:val="TableNormal"/>
    <w:pPr>
      <w:spacing w:line="240" w:lineRule="auto"/>
    </w:pPr>
    <w:rPr>
      <w:rFonts w:ascii="Times New Roman" w:cs="Times New Roman" w:eastAsia="Times New Roman" w:hAnsi="Times New Roman"/>
      <w:color w:val="404040"/>
      <w:sz w:val="20"/>
      <w:szCs w:val="20"/>
    </w:rPr>
    <w:tblPr>
      <w:tblStyleRowBandSize w:val="1"/>
      <w:tblStyleColBandSize w:val="1"/>
      <w:tblCellMar>
        <w:top w:type="dxa" w:w="96"/>
        <w:left w:type="dxa" w:w="170"/>
        <w:bottom w:type="dxa" w:w="96"/>
        <w:right w:type="dxa" w:w="170"/>
      </w:tblCellMar>
    </w:tblPr>
  </w:style>
  <w:style w:customStyle="1" w:styleId="a0" w:type="table">
    <w:basedOn w:val="TableNormal"/>
    <w:pPr>
      <w:spacing w:line="240" w:lineRule="auto"/>
    </w:pPr>
    <w:rPr>
      <w:rFonts w:ascii="Times New Roman" w:cs="Times New Roman" w:eastAsia="Times New Roman" w:hAnsi="Times New Roman"/>
      <w:color w:val="404040"/>
      <w:sz w:val="20"/>
      <w:szCs w:val="20"/>
    </w:rPr>
    <w:tblPr>
      <w:tblStyleRowBandSize w:val="1"/>
      <w:tblStyleColBandSize w:val="1"/>
      <w:tblCellMar>
        <w:top w:type="dxa" w:w="96"/>
        <w:left w:type="dxa" w:w="170"/>
        <w:bottom w:type="dxa" w:w="96"/>
        <w:right w:type="dxa" w:w="170"/>
      </w:tblCellMar>
    </w:tblPr>
  </w:style>
  <w:style w:customStyle="1" w:styleId="a1" w:type="table">
    <w:basedOn w:val="TableNormal"/>
    <w:pPr>
      <w:spacing w:line="240" w:lineRule="auto"/>
    </w:pPr>
    <w:rPr>
      <w:rFonts w:ascii="Times New Roman" w:cs="Times New Roman" w:eastAsia="Times New Roman" w:hAnsi="Times New Roman"/>
      <w:color w:val="404040"/>
      <w:sz w:val="20"/>
      <w:szCs w:val="20"/>
    </w:rPr>
    <w:tblPr>
      <w:tblStyleRowBandSize w:val="1"/>
      <w:tblStyleColBandSize w:val="1"/>
      <w:tblCellMar>
        <w:top w:type="dxa" w:w="96"/>
        <w:left w:type="dxa" w:w="170"/>
        <w:bottom w:type="dxa" w:w="96"/>
        <w:right w:type="dxa" w:w="170"/>
      </w:tblCellMar>
    </w:tblPr>
  </w:style>
  <w:style w:customStyle="1" w:styleId="a2" w:type="table">
    <w:basedOn w:val="TableNormal"/>
    <w:pPr>
      <w:spacing w:line="240" w:lineRule="auto"/>
    </w:pPr>
    <w:rPr>
      <w:rFonts w:ascii="Times New Roman" w:cs="Times New Roman" w:eastAsia="Times New Roman" w:hAnsi="Times New Roman"/>
      <w:color w:val="404040"/>
      <w:sz w:val="20"/>
      <w:szCs w:val="20"/>
    </w:rPr>
    <w:tblPr>
      <w:tblStyleRowBandSize w:val="1"/>
      <w:tblStyleColBandSize w:val="1"/>
      <w:tblCellMar>
        <w:top w:type="dxa" w:w="96"/>
        <w:left w:type="dxa" w:w="170"/>
        <w:bottom w:type="dxa" w:w="96"/>
        <w:right w:type="dxa" w:w="170"/>
      </w:tblCellMar>
    </w:tblPr>
  </w:style>
  <w:style w:customStyle="1" w:styleId="a3" w:type="table">
    <w:basedOn w:val="TableNormal"/>
    <w:pPr>
      <w:spacing w:line="240" w:lineRule="auto"/>
    </w:pPr>
    <w:rPr>
      <w:rFonts w:ascii="Times New Roman" w:cs="Times New Roman" w:eastAsia="Times New Roman" w:hAnsi="Times New Roman"/>
      <w:color w:val="404040"/>
      <w:sz w:val="20"/>
      <w:szCs w:val="20"/>
    </w:rPr>
    <w:tblPr>
      <w:tblStyleRowBandSize w:val="1"/>
      <w:tblStyleColBandSize w:val="1"/>
      <w:tblCellMar>
        <w:top w:type="dxa" w:w="96"/>
        <w:left w:type="dxa" w:w="170"/>
        <w:bottom w:type="dxa" w:w="96"/>
        <w:right w:type="dxa" w:w="170"/>
      </w:tblCellMar>
    </w:tblPr>
  </w:style>
  <w:style w:customStyle="1" w:styleId="a4" w:type="table">
    <w:basedOn w:val="TableNormal"/>
    <w:pPr>
      <w:spacing w:line="240" w:lineRule="auto"/>
    </w:pPr>
    <w:rPr>
      <w:rFonts w:ascii="Times New Roman" w:cs="Times New Roman" w:eastAsia="Times New Roman" w:hAnsi="Times New Roman"/>
      <w:color w:val="404040"/>
      <w:sz w:val="20"/>
      <w:szCs w:val="20"/>
    </w:rPr>
    <w:tblPr>
      <w:tblStyleRowBandSize w:val="1"/>
      <w:tblStyleColBandSize w:val="1"/>
      <w:tblCellMar>
        <w:top w:type="dxa" w:w="96"/>
        <w:left w:type="dxa" w:w="170"/>
        <w:bottom w:type="dxa" w:w="96"/>
        <w:right w:type="dxa" w:w="170"/>
      </w:tblCellMar>
    </w:tblPr>
  </w:style>
  <w:style w:customStyle="1" w:styleId="a5" w:type="table">
    <w:basedOn w:val="TableNormal"/>
    <w:pPr>
      <w:spacing w:line="240" w:lineRule="auto"/>
    </w:pPr>
    <w:rPr>
      <w:rFonts w:ascii="Times New Roman" w:cs="Times New Roman" w:eastAsia="Times New Roman" w:hAnsi="Times New Roman"/>
      <w:color w:val="404040"/>
      <w:sz w:val="20"/>
      <w:szCs w:val="20"/>
    </w:rPr>
    <w:tblPr>
      <w:tblStyleRowBandSize w:val="1"/>
      <w:tblStyleColBandSize w:val="1"/>
      <w:tblCellMar>
        <w:top w:type="dxa" w:w="96"/>
        <w:left w:type="dxa" w:w="170"/>
        <w:bottom w:type="dxa" w:w="96"/>
        <w:right w:type="dxa" w:w="170"/>
      </w:tblCellMar>
    </w:tblPr>
  </w:style>
  <w:style w:customStyle="1" w:styleId="a6" w:type="table">
    <w:basedOn w:val="TableNormal"/>
    <w:pPr>
      <w:spacing w:line="240" w:lineRule="auto"/>
    </w:pPr>
    <w:rPr>
      <w:rFonts w:ascii="Times New Roman" w:cs="Times New Roman" w:eastAsia="Times New Roman" w:hAnsi="Times New Roman"/>
      <w:color w:val="404040"/>
      <w:sz w:val="20"/>
      <w:szCs w:val="20"/>
    </w:rPr>
    <w:tblPr>
      <w:tblStyleRowBandSize w:val="1"/>
      <w:tblStyleColBandSize w:val="1"/>
      <w:tblCellMar>
        <w:top w:type="dxa" w:w="96"/>
        <w:left w:type="dxa" w:w="170"/>
        <w:bottom w:type="dxa" w:w="96"/>
        <w:right w:type="dxa" w:w="170"/>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http://www.teleaccords.travail-emploi.gouv.fr" TargetMode="External" Type="http://schemas.openxmlformats.org/officeDocument/2006/relationships/hyperlink"/><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3000</Words>
  <Characters>16504</Characters>
  <Application>Microsoft Office Word</Application>
  <DocSecurity>0</DocSecurity>
  <Lines>137</Lines>
  <Paragraphs>38</Paragraphs>
  <ScaleCrop>false</ScaleCrop>
  <Company/>
  <LinksUpToDate>false</LinksUpToDate>
  <CharactersWithSpaces>19466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2023-03-24T15:38:00Z</dcterms:created>
  <dcterms:modified xsi:type="dcterms:W3CDTF">2023-03-24T15:38:00Z</dcterms:modified>
  <cp:revision>2</cp:revision>
</cp:coreProperties>
</file>