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embeddings/oleObject1.bin" ContentType="application/vnd.openxmlformats-officedocument.oleObject"/>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sz w:val="28"/>
          <w:szCs w:val="28"/>
          <w:lang w:val="en-GB" w:eastAsia="en-GB"/>
        </w:rPr>
      </w:pPr>
      <w:r>
        <w:rPr>
          <w:b/>
          <w:sz w:val="28"/>
          <w:szCs w:val="28"/>
          <w:lang w:val="en-GB" w:eastAsia="en-GB"/>
        </w:rPr>
        <w:object>
          <v:shape id="ole_rId2" style="width:188.35pt;height:42.3pt" o:ole="">
            <v:imagedata r:id="rId3" o:title=""/>
          </v:shape>
          <o:OLEObject Type="Embed" ProgID="" ShapeID="ole_rId2" DrawAspect="Content" ObjectID="_218928627" r:id="rId2"/>
        </w:object>
      </w:r>
    </w:p>
    <w:p>
      <w:pPr>
        <w:pStyle w:val="Normal"/>
        <w:pBdr>
          <w:bottom w:val="single" w:sz="4" w:space="1" w:color="333399"/>
        </w:pBdr>
        <w:rPr>
          <w:rFonts w:ascii="Verdana" w:hAnsi="Verdana" w:cs="Verdana"/>
          <w:b/>
          <w:b/>
          <w:color w:val="666699"/>
          <w:sz w:val="28"/>
          <w:szCs w:val="28"/>
        </w:rPr>
      </w:pPr>
      <w:r>
        <w:rPr>
          <w:rFonts w:eastAsia="Verdana" w:cs="Verdana" w:ascii="Verdana" w:hAnsi="Verdana"/>
          <w:b/>
          <w:color w:val="666699"/>
          <w:sz w:val="28"/>
          <w:szCs w:val="28"/>
        </w:rPr>
        <w:t xml:space="preserve"> </w:t>
      </w:r>
      <w:r>
        <w:rPr>
          <w:rFonts w:cs="Verdana" w:ascii="Verdana" w:hAnsi="Verdana"/>
          <w:b/>
          <w:color w:val="666699"/>
          <w:sz w:val="28"/>
          <w:szCs w:val="28"/>
        </w:rPr>
        <w:t xml:space="preserve">ACCORD relatif au maintien de l’aménagement du temps de </w:t>
        <w:tab/>
        <w:tab/>
        <w:tab/>
        <w:tab/>
        <w:t>travail au sein du Site de BOIS GUILLAUME PPDC</w:t>
      </w:r>
    </w:p>
    <w:p>
      <w:pPr>
        <w:pStyle w:val="Normal"/>
        <w:pBdr>
          <w:bottom w:val="single" w:sz="4" w:space="1" w:color="333399"/>
        </w:pBdr>
        <w:rPr>
          <w:rFonts w:ascii="Verdana" w:hAnsi="Verdana" w:cs="Verdana"/>
          <w:b/>
          <w:b/>
          <w:color w:val="666699"/>
          <w:sz w:val="28"/>
          <w:szCs w:val="28"/>
        </w:rPr>
      </w:pPr>
      <w:r>
        <w:rPr>
          <w:rFonts w:cs="Verdana" w:ascii="Verdana" w:hAnsi="Verdana"/>
          <w:b/>
          <w:color w:val="666699"/>
          <w:sz w:val="28"/>
          <w:szCs w:val="28"/>
        </w:rPr>
      </w:r>
    </w:p>
    <w:p>
      <w:pPr>
        <w:pStyle w:val="Normal"/>
        <w:rPr>
          <w:rFonts w:ascii="Verdana" w:hAnsi="Verdana" w:cs="Verdana"/>
          <w:b/>
          <w:b/>
          <w:color w:val="666699"/>
          <w:sz w:val="22"/>
          <w:szCs w:val="22"/>
        </w:rPr>
      </w:pPr>
      <w:r>
        <w:rPr>
          <w:rFonts w:cs="Verdana" w:ascii="Verdana" w:hAnsi="Verdana"/>
          <w:b/>
          <w:color w:val="666699"/>
          <w:sz w:val="22"/>
          <w:szCs w:val="22"/>
        </w:rPr>
      </w:r>
    </w:p>
    <w:p>
      <w:pPr>
        <w:pStyle w:val="Normal"/>
        <w:rPr>
          <w:color w:val="666699"/>
          <w:sz w:val="22"/>
          <w:szCs w:val="22"/>
        </w:rPr>
      </w:pPr>
      <w:r>
        <w:rPr>
          <w:color w:val="666699"/>
          <w:sz w:val="22"/>
          <w:szCs w:val="22"/>
        </w:rPr>
      </w:r>
    </w:p>
    <w:p>
      <w:pPr>
        <w:pStyle w:val="Normal"/>
        <w:tabs>
          <w:tab w:val="left" w:pos="4500" w:leader="none"/>
        </w:tabs>
        <w:jc w:val="both"/>
        <w:rPr>
          <w:rFonts w:ascii="Verdana" w:hAnsi="Verdana" w:cs="Tahoma"/>
          <w:sz w:val="20"/>
          <w:szCs w:val="20"/>
        </w:rPr>
      </w:pPr>
      <w:r>
        <w:rPr>
          <w:rFonts w:cs="Tahoma" w:ascii="Verdana" w:hAnsi="Verdana"/>
          <w:sz w:val="20"/>
          <w:szCs w:val="20"/>
        </w:rPr>
        <w:t>Le présent accord est signé dans le respect de l’accord national du 21 juin 2004 sur les principes  et la méthode du dialogue social à La Poste ainsi que l’accord cadre de la Poste du 17 février 1999 sur le dispositif d’application de l’aménagement et de la réduction du temps de travail à La Poste et les dispositions légales en vigueur.</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i/>
          <w:i/>
          <w:sz w:val="20"/>
          <w:szCs w:val="20"/>
        </w:rPr>
      </w:pPr>
      <w:r>
        <w:rPr>
          <w:rFonts w:cs="Tahoma" w:ascii="Verdana" w:hAnsi="Verdana"/>
          <w:i/>
          <w:sz w:val="20"/>
          <w:szCs w:val="20"/>
        </w:rPr>
        <w:t>Entre les soussignés,</w:t>
      </w:r>
    </w:p>
    <w:p>
      <w:pPr>
        <w:pStyle w:val="Normal"/>
        <w:tabs>
          <w:tab w:val="left" w:pos="4500" w:leader="none"/>
        </w:tabs>
        <w:jc w:val="both"/>
        <w:rPr>
          <w:rFonts w:ascii="Verdana" w:hAnsi="Verdana" w:cs="Tahoma"/>
          <w:i/>
          <w:i/>
          <w:sz w:val="20"/>
          <w:szCs w:val="20"/>
        </w:rPr>
      </w:pPr>
      <w:r>
        <w:rPr>
          <w:rFonts w:cs="Tahoma" w:ascii="Verdana" w:hAnsi="Verdana"/>
          <w:i/>
          <w:sz w:val="20"/>
          <w:szCs w:val="20"/>
        </w:rPr>
      </w:r>
    </w:p>
    <w:p>
      <w:pPr>
        <w:pStyle w:val="Normal"/>
        <w:tabs>
          <w:tab w:val="left" w:pos="4500" w:leader="none"/>
        </w:tabs>
        <w:jc w:val="both"/>
        <w:rPr>
          <w:rFonts w:ascii="Verdana" w:hAnsi="Verdana" w:cs="Tahoma"/>
          <w:i/>
          <w:i/>
          <w:iCs/>
          <w:sz w:val="20"/>
          <w:szCs w:val="20"/>
        </w:rPr>
      </w:pPr>
      <w:r>
        <w:rPr>
          <w:rFonts w:cs="Tahoma" w:ascii="Verdana" w:hAnsi="Verdana"/>
          <w:sz w:val="20"/>
          <w:szCs w:val="20"/>
        </w:rPr>
        <w:t xml:space="preserve">La Poste, Société Anonyme au capital de 3 800 000 000  d’euros, immatriculée au Registre du Commerce et des Sociétés de Paris sous le numéro 356 000 000 ayant son siège social au 9 rue du colonel AVIA 75015 PARIS  prise en son établissement de Bois Guillaume pour le site de Bois Guillaume situé </w:t>
      </w:r>
      <w:r>
        <w:rPr>
          <w:rFonts w:cs="Verdana" w:ascii="Verdana" w:hAnsi="Verdana"/>
          <w:sz w:val="20"/>
          <w:szCs w:val="20"/>
        </w:rPr>
        <w:t xml:space="preserve">Impasse Pierre Georges Latécoère 76230 BOIS GUILLAUME. </w:t>
      </w:r>
    </w:p>
    <w:p>
      <w:pPr>
        <w:pStyle w:val="Normal"/>
        <w:tabs>
          <w:tab w:val="left" w:pos="6675" w:leader="none"/>
        </w:tabs>
        <w:jc w:val="both"/>
        <w:rPr>
          <w:rFonts w:ascii="Verdana" w:hAnsi="Verdana" w:cs="Tahoma"/>
          <w:i/>
          <w:i/>
          <w:iCs/>
          <w:sz w:val="20"/>
          <w:szCs w:val="20"/>
        </w:rPr>
      </w:pPr>
      <w:r>
        <w:rPr>
          <w:rFonts w:cs="Tahoma" w:ascii="Verdana" w:hAnsi="Verdana"/>
          <w:i/>
          <w:iCs/>
          <w:sz w:val="20"/>
          <w:szCs w:val="20"/>
        </w:rPr>
        <w:tab/>
      </w:r>
    </w:p>
    <w:p>
      <w:pPr>
        <w:pStyle w:val="Normal"/>
        <w:tabs>
          <w:tab w:val="left" w:pos="4500" w:leader="none"/>
        </w:tabs>
        <w:jc w:val="both"/>
        <w:rPr>
          <w:rFonts w:ascii="Verdana" w:hAnsi="Verdana" w:cs="Tahoma"/>
          <w:sz w:val="20"/>
          <w:szCs w:val="20"/>
        </w:rPr>
      </w:pPr>
      <w:r>
        <w:rPr>
          <w:rFonts w:cs="Tahoma" w:ascii="Verdana" w:hAnsi="Verdana"/>
          <w:sz w:val="20"/>
          <w:szCs w:val="20"/>
        </w:rPr>
        <w:t>Représenté par M</w:t>
      </w:r>
    </w:p>
    <w:p>
      <w:pPr>
        <w:pStyle w:val="Normal"/>
        <w:tabs>
          <w:tab w:val="left" w:pos="4500" w:leader="none"/>
        </w:tabs>
        <w:jc w:val="both"/>
        <w:rPr>
          <w:rFonts w:ascii="Verdana" w:hAnsi="Verdana" w:cs="Tahoma"/>
          <w:sz w:val="20"/>
          <w:szCs w:val="20"/>
        </w:rPr>
      </w:pPr>
      <w:r>
        <w:rPr>
          <w:rFonts w:cs="Tahoma" w:ascii="Verdana" w:hAnsi="Verdana"/>
          <w:sz w:val="20"/>
          <w:szCs w:val="20"/>
        </w:rPr>
        <w:t>En sa qualité de : Directeur d’établissement</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sz w:val="20"/>
          <w:szCs w:val="20"/>
        </w:rPr>
      </w:pPr>
      <w:r>
        <w:rPr>
          <w:rFonts w:cs="Tahoma" w:ascii="Verdana" w:hAnsi="Verdana"/>
          <w:sz w:val="20"/>
          <w:szCs w:val="20"/>
        </w:rPr>
        <w:t xml:space="preserve">D’une part, </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sz w:val="20"/>
          <w:szCs w:val="20"/>
        </w:rPr>
      </w:pPr>
      <w:r>
        <w:rPr>
          <w:rFonts w:cs="Tahoma" w:ascii="Verdana" w:hAnsi="Verdana"/>
          <w:sz w:val="20"/>
          <w:szCs w:val="20"/>
        </w:rPr>
        <w:t>Et les organisations syndicales signataires désignées ci-après,</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numPr>
          <w:ilvl w:val="0"/>
          <w:numId w:val="2"/>
        </w:numPr>
        <w:spacing w:before="0" w:after="240"/>
        <w:rPr/>
      </w:pPr>
      <w:r>
        <w:rPr/>
        <w:t>Le syndicat CFDT 3C, représenté par : ….</w:t>
      </w:r>
    </w:p>
    <w:p>
      <w:pPr>
        <w:pStyle w:val="Normal"/>
        <w:numPr>
          <w:ilvl w:val="0"/>
          <w:numId w:val="2"/>
        </w:numPr>
        <w:spacing w:before="0" w:after="240"/>
        <w:rPr/>
      </w:pPr>
      <w:r>
        <w:rPr/>
        <w:t>Le syndicat CGT-FAPT, représenté par : ….</w:t>
      </w:r>
    </w:p>
    <w:p>
      <w:pPr>
        <w:pStyle w:val="Normal"/>
        <w:numPr>
          <w:ilvl w:val="0"/>
          <w:numId w:val="2"/>
        </w:numPr>
        <w:spacing w:before="0" w:after="240"/>
        <w:rPr/>
      </w:pPr>
      <w:r>
        <w:rPr/>
        <w:t>Les syndicats composant la liste commune «  unis pour agir ensemble », représenté par : ….</w:t>
      </w:r>
    </w:p>
    <w:p>
      <w:pPr>
        <w:pStyle w:val="Normal"/>
        <w:numPr>
          <w:ilvl w:val="0"/>
          <w:numId w:val="2"/>
        </w:numPr>
        <w:spacing w:before="0" w:after="240"/>
        <w:rPr/>
      </w:pPr>
      <w:r>
        <w:rPr/>
        <w:t>Le syndicat SUD, représenté par : …..</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sz w:val="20"/>
          <w:szCs w:val="20"/>
        </w:rPr>
      </w:pPr>
      <w:r>
        <w:rPr>
          <w:rFonts w:cs="Tahoma" w:ascii="Verdana" w:hAnsi="Verdana"/>
          <w:sz w:val="20"/>
          <w:szCs w:val="20"/>
        </w:rPr>
        <w:t>D’autre part.</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sz w:val="20"/>
          <w:szCs w:val="20"/>
        </w:rPr>
      </w:pPr>
      <w:r>
        <w:rPr>
          <w:rFonts w:cs="Tahoma" w:ascii="Verdana" w:hAnsi="Verdana"/>
          <w:sz w:val="20"/>
          <w:szCs w:val="20"/>
        </w:rPr>
        <w:t>L’objet de cet accord est de déterminer avec les partenaires sociaux l’organisation du temps de travail sur  le site de Bois Guillaume.</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Normal"/>
        <w:tabs>
          <w:tab w:val="left" w:pos="4500" w:leader="none"/>
        </w:tabs>
        <w:jc w:val="both"/>
        <w:rPr>
          <w:rFonts w:ascii="Verdana" w:hAnsi="Verdana" w:cs="Tahoma"/>
          <w:sz w:val="20"/>
          <w:szCs w:val="20"/>
        </w:rPr>
      </w:pPr>
      <w:r>
        <w:rPr>
          <w:rFonts w:cs="Tahoma" w:ascii="Verdana" w:hAnsi="Verdana"/>
          <w:sz w:val="20"/>
          <w:szCs w:val="20"/>
        </w:rPr>
        <w:t xml:space="preserve">Il est convenu ce qui suit, étant précisé que le projet de texte a été soumis à l’information – consultation du CHSCT  en date du  4 juin 2018 et du CT en date du 18 juin 2018. </w:t>
      </w:r>
    </w:p>
    <w:p>
      <w:pPr>
        <w:pStyle w:val="Normal"/>
        <w:tabs>
          <w:tab w:val="left" w:pos="4500" w:leader="none"/>
        </w:tabs>
        <w:jc w:val="both"/>
        <w:rPr>
          <w:rFonts w:ascii="Verdana" w:hAnsi="Verdana" w:cs="Tahoma"/>
          <w:sz w:val="20"/>
          <w:szCs w:val="20"/>
        </w:rPr>
      </w:pPr>
      <w:r>
        <w:rPr>
          <w:rFonts w:cs="Tahoma" w:ascii="Verdana" w:hAnsi="Verdana"/>
          <w:sz w:val="20"/>
          <w:szCs w:val="20"/>
        </w:rPr>
      </w:r>
    </w:p>
    <w:p>
      <w:pPr>
        <w:pStyle w:val="Heading1"/>
        <w:numPr>
          <w:ilvl w:val="0"/>
          <w:numId w:val="1"/>
        </w:numPr>
        <w:pBdr>
          <w:bottom w:val="single" w:sz="4" w:space="1" w:color="333399"/>
        </w:pBdr>
        <w:rPr>
          <w:rFonts w:ascii="Verdana" w:hAnsi="Verdana" w:cs="Verdana"/>
          <w:color w:val="666699"/>
          <w:sz w:val="24"/>
          <w:szCs w:val="24"/>
        </w:rPr>
      </w:pPr>
      <w:r>
        <w:rPr>
          <w:rFonts w:cs="Verdana" w:ascii="Verdana" w:hAnsi="Verdana"/>
          <w:color w:val="666699"/>
          <w:sz w:val="24"/>
          <w:szCs w:val="24"/>
        </w:rPr>
        <w:t>CHAMP D’APPLICATION</w:t>
      </w:r>
    </w:p>
    <w:p>
      <w:pPr>
        <w:pStyle w:val="Normal"/>
        <w:jc w:val="both"/>
        <w:rPr>
          <w:rFonts w:ascii="Verdana" w:hAnsi="Verdana" w:cs="Verdana"/>
          <w:color w:val="666699"/>
          <w:sz w:val="22"/>
          <w:szCs w:val="22"/>
        </w:rPr>
      </w:pPr>
      <w:r>
        <w:rPr>
          <w:rFonts w:cs="Verdana" w:ascii="Verdana" w:hAnsi="Verdana"/>
          <w:color w:val="666699"/>
          <w:sz w:val="22"/>
          <w:szCs w:val="22"/>
        </w:rPr>
      </w:r>
    </w:p>
    <w:p>
      <w:pPr>
        <w:pStyle w:val="Normal"/>
        <w:jc w:val="both"/>
        <w:rPr>
          <w:rFonts w:ascii="Verdana" w:hAnsi="Verdana" w:cs="Verdana"/>
          <w:sz w:val="20"/>
          <w:szCs w:val="20"/>
        </w:rPr>
      </w:pPr>
      <w:r>
        <w:rPr>
          <w:rFonts w:cs="Verdana" w:ascii="Verdana" w:hAnsi="Verdana"/>
          <w:sz w:val="20"/>
          <w:szCs w:val="20"/>
        </w:rPr>
        <w:t>Le présent accord mettant en place une organisation du temps de travail sur plusieurs semaines est applicable au personnel, salariés, fonctionnaires affecté à l’activité de distribution de l’ensemble des quartiers distribution de Bois Guillaume PPDC sur site de Bois Guillaume.</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Il est convenu que le régime de travail mis en place dans le cadre du présent accord et prévu pour le personnel sus-visé, se substituent aux anciens régimes de travail résultant d'usages ou d’accord jusqu'alors en vigueur pour le site de Bois Guillaume.</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 xml:space="preserve">L’organisation du temps de travail instituée par le présent accord est strictement liée au site  de Bois Guillaume, pris en tant qu’entité géographique. Elle n’est applicable pour l’activité susvisée que si celle-ci est exercée sur le site de Bois Guillaume. </w:t>
      </w:r>
    </w:p>
    <w:p>
      <w:pPr>
        <w:pStyle w:val="Heading1"/>
        <w:numPr>
          <w:ilvl w:val="0"/>
          <w:numId w:val="1"/>
        </w:numPr>
        <w:pBdr>
          <w:bottom w:val="single" w:sz="4" w:space="1" w:color="333399"/>
        </w:pBdr>
        <w:rPr>
          <w:rFonts w:ascii="Verdana" w:hAnsi="Verdana" w:cs="Verdana"/>
          <w:color w:val="666699"/>
          <w:sz w:val="24"/>
          <w:szCs w:val="24"/>
        </w:rPr>
      </w:pPr>
      <w:r>
        <w:rPr>
          <w:rFonts w:cs="Verdana" w:ascii="Verdana" w:hAnsi="Verdana"/>
          <w:color w:val="666699"/>
          <w:sz w:val="24"/>
          <w:szCs w:val="24"/>
        </w:rPr>
        <w:t>DUREE DU TRAVAIL</w:t>
      </w:r>
    </w:p>
    <w:p>
      <w:pPr>
        <w:pStyle w:val="Normal"/>
        <w:rPr>
          <w:rFonts w:ascii="Verdana" w:hAnsi="Verdana" w:cs="Verdana"/>
          <w:color w:val="666699"/>
          <w:sz w:val="24"/>
          <w:szCs w:val="24"/>
        </w:rPr>
      </w:pPr>
      <w:r>
        <w:rPr>
          <w:rFonts w:cs="Verdana" w:ascii="Verdana" w:hAnsi="Verdana"/>
          <w:color w:val="666699"/>
          <w:sz w:val="24"/>
          <w:szCs w:val="24"/>
        </w:rPr>
      </w:r>
    </w:p>
    <w:p>
      <w:pPr>
        <w:pStyle w:val="Normal"/>
        <w:jc w:val="both"/>
        <w:rPr/>
      </w:pPr>
      <w:r>
        <w:rPr>
          <w:rFonts w:cs="Verdana" w:ascii="Verdana" w:hAnsi="Verdana"/>
          <w:sz w:val="20"/>
          <w:szCs w:val="20"/>
        </w:rPr>
        <w:t>La durée du travail applicable au personnel visé à l’article 1, conformément aux articles L.3121-41 et suivants du Code du travail et notamment l’article L 3121-44 du Code du travail et à l’accord cadre du 17 février 1999, est de 35 heures hebdomadaires en moyenne sur  la période de référence définie à l’article III  du présent accord.</w:t>
      </w:r>
    </w:p>
    <w:p>
      <w:pPr>
        <w:pStyle w:val="Normal"/>
        <w:jc w:val="both"/>
        <w:rPr>
          <w:rFonts w:ascii="Verdana" w:hAnsi="Verdana" w:cs="Verdana"/>
          <w:sz w:val="20"/>
          <w:szCs w:val="20"/>
        </w:rPr>
      </w:pPr>
      <w:r>
        <w:rPr>
          <w:rFonts w:cs="Verdana" w:ascii="Verdana" w:hAnsi="Verdana"/>
          <w:sz w:val="20"/>
          <w:szCs w:val="20"/>
        </w:rPr>
      </w:r>
    </w:p>
    <w:p>
      <w:pPr>
        <w:pStyle w:val="Heading1"/>
        <w:numPr>
          <w:ilvl w:val="0"/>
          <w:numId w:val="1"/>
        </w:numPr>
        <w:pBdr>
          <w:bottom w:val="single" w:sz="4" w:space="1" w:color="333399"/>
        </w:pBdr>
        <w:rPr>
          <w:rFonts w:ascii="Verdana" w:hAnsi="Verdana" w:cs="Verdana"/>
          <w:color w:val="666699"/>
          <w:sz w:val="24"/>
          <w:szCs w:val="24"/>
        </w:rPr>
      </w:pPr>
      <w:r>
        <w:rPr>
          <w:rFonts w:eastAsia="Verdana" w:cs="Verdana" w:ascii="Verdana" w:hAnsi="Verdana"/>
          <w:color w:val="666699"/>
          <w:sz w:val="24"/>
          <w:szCs w:val="24"/>
        </w:rPr>
        <w:t xml:space="preserve"> </w:t>
      </w:r>
      <w:r>
        <w:rPr>
          <w:rFonts w:cs="Verdana" w:ascii="Verdana" w:hAnsi="Verdana"/>
          <w:color w:val="666699"/>
          <w:sz w:val="24"/>
          <w:szCs w:val="24"/>
        </w:rPr>
        <w:t>AMENAGEMENT DU TEMPS DE TRAVAIL</w:t>
      </w:r>
    </w:p>
    <w:p>
      <w:pPr>
        <w:pStyle w:val="Normal"/>
        <w:jc w:val="both"/>
        <w:rPr>
          <w:rFonts w:ascii="Verdana" w:hAnsi="Verdana" w:cs="Verdana"/>
          <w:b/>
          <w:b/>
          <w:color w:val="000000"/>
          <w:sz w:val="22"/>
          <w:szCs w:val="24"/>
          <w:u w:val="single"/>
        </w:rPr>
      </w:pPr>
      <w:r>
        <w:rPr>
          <w:rFonts w:cs="Verdana" w:ascii="Verdana" w:hAnsi="Verdana"/>
          <w:b/>
          <w:color w:val="000000"/>
          <w:sz w:val="22"/>
          <w:szCs w:val="24"/>
          <w:u w:val="single"/>
        </w:rPr>
      </w:r>
    </w:p>
    <w:p>
      <w:pPr>
        <w:pStyle w:val="Normal"/>
        <w:jc w:val="both"/>
        <w:rPr>
          <w:rFonts w:ascii="Verdana" w:hAnsi="Verdana" w:cs="Verdana"/>
          <w:sz w:val="20"/>
          <w:szCs w:val="20"/>
        </w:rPr>
      </w:pPr>
      <w:r>
        <w:rPr>
          <w:rFonts w:cs="Verdana" w:ascii="Verdana" w:hAnsi="Verdana"/>
          <w:sz w:val="20"/>
          <w:szCs w:val="20"/>
        </w:rPr>
        <w:t>La durée de travail définie à l’article II pour l’activité distribution est répartie sur une période de référence de 4 semaines.</w:t>
      </w:r>
    </w:p>
    <w:p>
      <w:pPr>
        <w:pStyle w:val="Normal"/>
        <w:jc w:val="both"/>
        <w:rPr>
          <w:rFonts w:ascii="Verdana" w:hAnsi="Verdana" w:cs="Verdana"/>
          <w:sz w:val="20"/>
          <w:szCs w:val="20"/>
        </w:rPr>
      </w:pPr>
      <w:r>
        <w:rPr>
          <w:rFonts w:eastAsia="Verdana" w:cs="Verdana" w:ascii="Verdana" w:hAnsi="Verdana"/>
          <w:sz w:val="20"/>
          <w:szCs w:val="20"/>
        </w:rPr>
        <w:t xml:space="preserve"> </w:t>
      </w:r>
    </w:p>
    <w:p>
      <w:pPr>
        <w:pStyle w:val="Normal"/>
        <w:jc w:val="both"/>
        <w:rPr/>
      </w:pPr>
      <w:r>
        <w:rPr>
          <w:rFonts w:cs="Verdana" w:ascii="Verdana" w:hAnsi="Verdana"/>
          <w:sz w:val="20"/>
          <w:szCs w:val="20"/>
        </w:rPr>
        <w:t>Sur la durée totale de la période de 4 semaines, les agents travaillent en moyenne 35 heures sur chaque période.</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Le temps de travail est réparti selon les modalités suivantes :</w:t>
      </w:r>
    </w:p>
    <w:p>
      <w:pPr>
        <w:pStyle w:val="Normal"/>
        <w:numPr>
          <w:ilvl w:val="0"/>
          <w:numId w:val="2"/>
        </w:numPr>
        <w:jc w:val="both"/>
        <w:rPr>
          <w:rFonts w:ascii="Verdana" w:hAnsi="Verdana" w:cs="Verdana"/>
          <w:sz w:val="20"/>
          <w:szCs w:val="20"/>
        </w:rPr>
      </w:pPr>
      <w:r>
        <w:rPr>
          <w:rFonts w:cs="Verdana" w:ascii="Verdana" w:hAnsi="Verdana"/>
          <w:sz w:val="20"/>
          <w:szCs w:val="20"/>
        </w:rPr>
        <w:t>3 Semaines avec une DHT de 40h</w:t>
      </w:r>
    </w:p>
    <w:p>
      <w:pPr>
        <w:pStyle w:val="Normal"/>
        <w:numPr>
          <w:ilvl w:val="0"/>
          <w:numId w:val="2"/>
        </w:numPr>
        <w:jc w:val="both"/>
        <w:rPr>
          <w:rFonts w:ascii="Verdana" w:hAnsi="Verdana" w:cs="Verdana"/>
          <w:sz w:val="20"/>
          <w:szCs w:val="20"/>
        </w:rPr>
      </w:pPr>
      <w:r>
        <w:rPr>
          <w:rFonts w:cs="Verdana" w:ascii="Verdana" w:hAnsi="Verdana"/>
          <w:sz w:val="20"/>
          <w:szCs w:val="20"/>
        </w:rPr>
        <w:t>1 semaine avec une DHT de 20h</w:t>
      </w:r>
    </w:p>
    <w:p>
      <w:pPr>
        <w:pStyle w:val="TextBody"/>
        <w:ind w:left="720" w:hanging="0"/>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La répartition du travail au sein de chaque période de référence ainsi que les horaires collectifs de travail afférents à ces régimes de travail seront communiqués aux agents par affichage dans l’établissement.</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2"/>
        </w:rPr>
        <w:t xml:space="preserve">La durée de travail, les dates et jours de repos, ainsi que les horaires de travail sont modifiables par l’employeur, en cas de nécessité liée au service ou de contraintes de production sous réserve de respecter un délai de prévenance de 7 jours. </w:t>
      </w:r>
    </w:p>
    <w:p>
      <w:pPr>
        <w:pStyle w:val="Normal"/>
        <w:jc w:val="both"/>
        <w:rPr>
          <w:rFonts w:ascii="Verdana" w:hAnsi="Verdana" w:cs="Verdana"/>
          <w:i/>
          <w:i/>
          <w:iCs/>
          <w:sz w:val="20"/>
          <w:szCs w:val="22"/>
        </w:rPr>
      </w:pPr>
      <w:r>
        <w:rPr>
          <w:rFonts w:cs="Verdana" w:ascii="Verdana" w:hAnsi="Verdana"/>
          <w:i/>
          <w:iCs/>
          <w:sz w:val="20"/>
          <w:szCs w:val="22"/>
        </w:rPr>
      </w:r>
    </w:p>
    <w:p>
      <w:pPr>
        <w:pStyle w:val="Heading1"/>
        <w:numPr>
          <w:ilvl w:val="0"/>
          <w:numId w:val="0"/>
        </w:numPr>
        <w:pBdr>
          <w:bottom w:val="single" w:sz="4" w:space="0" w:color="333399"/>
        </w:pBdr>
        <w:ind w:left="0" w:hanging="0"/>
        <w:rPr/>
      </w:pPr>
      <w:r>
        <w:rPr>
          <w:rFonts w:eastAsia="Verdana" w:cs="Verdana" w:ascii="Verdana" w:hAnsi="Verdana"/>
          <w:color w:val="666699"/>
          <w:sz w:val="24"/>
          <w:szCs w:val="24"/>
        </w:rPr>
        <w:t xml:space="preserve"> </w:t>
      </w:r>
      <w:r>
        <w:rPr>
          <w:rFonts w:cs="Verdana" w:ascii="Verdana" w:hAnsi="Verdana"/>
          <w:color w:val="666699"/>
          <w:sz w:val="24"/>
          <w:szCs w:val="24"/>
        </w:rPr>
        <w:t>Article IV.   HEURES SUPPLEMENTAIRES</w:t>
      </w:r>
    </w:p>
    <w:p>
      <w:pPr>
        <w:pStyle w:val="Normal"/>
        <w:rPr>
          <w:rFonts w:ascii="Verdana" w:hAnsi="Verdana" w:cs="Verdana"/>
          <w:color w:val="666699"/>
          <w:sz w:val="24"/>
          <w:szCs w:val="24"/>
        </w:rPr>
      </w:pPr>
      <w:r>
        <w:rPr>
          <w:rFonts w:cs="Verdana" w:ascii="Verdana" w:hAnsi="Verdana"/>
          <w:color w:val="666699"/>
          <w:sz w:val="24"/>
          <w:szCs w:val="24"/>
        </w:rPr>
      </w:r>
    </w:p>
    <w:p>
      <w:pPr>
        <w:pStyle w:val="Normal"/>
        <w:rPr>
          <w:rFonts w:ascii="Verdana" w:hAnsi="Verdana" w:cs="Verdana"/>
          <w:sz w:val="20"/>
          <w:szCs w:val="20"/>
          <w:u w:val="single"/>
        </w:rPr>
      </w:pPr>
      <w:r>
        <w:rPr>
          <w:rFonts w:cs="Verdana" w:ascii="Verdana" w:hAnsi="Verdana"/>
          <w:sz w:val="20"/>
          <w:szCs w:val="20"/>
          <w:u w:val="single"/>
        </w:rPr>
        <w:t>4.1 Définition</w:t>
      </w:r>
    </w:p>
    <w:p>
      <w:pPr>
        <w:pStyle w:val="Normal"/>
        <w:rPr>
          <w:rFonts w:ascii="Verdana" w:hAnsi="Verdana" w:cs="Verdana"/>
          <w:sz w:val="20"/>
          <w:szCs w:val="20"/>
          <w:u w:val="single"/>
        </w:rPr>
      </w:pPr>
      <w:r>
        <w:rPr>
          <w:rFonts w:cs="Verdana" w:ascii="Verdana" w:hAnsi="Verdana"/>
          <w:sz w:val="20"/>
          <w:szCs w:val="20"/>
          <w:u w:val="single"/>
        </w:rPr>
      </w:r>
    </w:p>
    <w:p>
      <w:pPr>
        <w:pStyle w:val="Corpsdetexte3"/>
        <w:rPr>
          <w:rFonts w:ascii="Verdana" w:hAnsi="Verdana" w:cs="Verdana"/>
          <w:sz w:val="20"/>
          <w:szCs w:val="20"/>
        </w:rPr>
      </w:pPr>
      <w:r>
        <w:rPr>
          <w:rFonts w:cs="Verdana" w:ascii="Verdana" w:hAnsi="Verdana"/>
          <w:sz w:val="20"/>
          <w:szCs w:val="20"/>
        </w:rPr>
        <w:t>Constituent des heures supplémentaires, les heures effectuées au-delà de la moyenne de 35 heures calculée sur chaque période de référence.</w:t>
      </w:r>
    </w:p>
    <w:p>
      <w:pPr>
        <w:pStyle w:val="Corpsdetexte3"/>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u w:val="single"/>
        </w:rPr>
      </w:pPr>
      <w:r>
        <w:rPr>
          <w:rFonts w:cs="Verdana" w:ascii="Verdana" w:hAnsi="Verdana"/>
          <w:sz w:val="20"/>
          <w:szCs w:val="20"/>
          <w:u w:val="single"/>
        </w:rPr>
        <w:t>4.2 Paiement des heures  supplémentaires</w:t>
      </w:r>
    </w:p>
    <w:p>
      <w:pPr>
        <w:pStyle w:val="Normal"/>
        <w:rPr>
          <w:rFonts w:ascii="Verdana" w:hAnsi="Verdana" w:cs="Verdana"/>
          <w:sz w:val="20"/>
          <w:szCs w:val="20"/>
          <w:u w:val="single"/>
        </w:rPr>
      </w:pPr>
      <w:r>
        <w:rPr>
          <w:rFonts w:cs="Verdana" w:ascii="Verdana" w:hAnsi="Verdana"/>
          <w:sz w:val="20"/>
          <w:szCs w:val="20"/>
          <w:u w:val="single"/>
        </w:rPr>
      </w:r>
    </w:p>
    <w:p>
      <w:pPr>
        <w:pStyle w:val="Normal"/>
        <w:rPr>
          <w:rFonts w:ascii="Verdana" w:hAnsi="Verdana" w:cs="Verdana"/>
          <w:sz w:val="20"/>
          <w:szCs w:val="20"/>
        </w:rPr>
      </w:pPr>
      <w:r>
        <w:rPr>
          <w:rFonts w:cs="Verdana" w:ascii="Verdana" w:hAnsi="Verdana"/>
          <w:sz w:val="20"/>
          <w:szCs w:val="20"/>
        </w:rPr>
        <w:t>Le paiement de ces heures et des majorations y afférentes sera :</w:t>
      </w:r>
    </w:p>
    <w:p>
      <w:pPr>
        <w:pStyle w:val="Normal"/>
        <w:ind w:left="360" w:hanging="0"/>
        <w:rPr>
          <w:rFonts w:ascii="Verdana" w:hAnsi="Verdana" w:cs="Verdana"/>
          <w:sz w:val="20"/>
          <w:szCs w:val="20"/>
        </w:rPr>
      </w:pPr>
      <w:r>
        <w:rPr>
          <w:rFonts w:cs="Verdana" w:ascii="Verdana" w:hAnsi="Verdana"/>
          <w:sz w:val="20"/>
          <w:szCs w:val="20"/>
        </w:rPr>
      </w:r>
    </w:p>
    <w:p>
      <w:pPr>
        <w:pStyle w:val="Normal"/>
        <w:numPr>
          <w:ilvl w:val="0"/>
          <w:numId w:val="3"/>
        </w:numPr>
        <w:jc w:val="both"/>
        <w:rPr>
          <w:rFonts w:ascii="Verdana" w:hAnsi="Verdana" w:cs="Verdana"/>
          <w:sz w:val="20"/>
          <w:szCs w:val="20"/>
        </w:rPr>
      </w:pPr>
      <w:r>
        <w:rPr>
          <w:rFonts w:cs="Verdana" w:ascii="Verdana" w:hAnsi="Verdana"/>
          <w:sz w:val="20"/>
          <w:szCs w:val="20"/>
        </w:rPr>
        <w:t>Soit effectué conformément aux dispositions légales ou réglementaires selon le statut de l'agent à savoir paiement en salaire majoré et imputation sur le contingent d'heures supplémentaires.</w:t>
      </w:r>
    </w:p>
    <w:p>
      <w:pPr>
        <w:pStyle w:val="Normal"/>
        <w:ind w:left="720" w:hanging="0"/>
        <w:rPr>
          <w:rFonts w:ascii="Verdana" w:hAnsi="Verdana" w:cs="Verdana"/>
          <w:sz w:val="20"/>
          <w:szCs w:val="20"/>
        </w:rPr>
      </w:pPr>
      <w:r>
        <w:rPr>
          <w:rFonts w:cs="Verdana" w:ascii="Verdana" w:hAnsi="Verdana"/>
          <w:sz w:val="20"/>
          <w:szCs w:val="20"/>
        </w:rPr>
      </w:r>
    </w:p>
    <w:p>
      <w:pPr>
        <w:pStyle w:val="Normal"/>
        <w:numPr>
          <w:ilvl w:val="0"/>
          <w:numId w:val="3"/>
        </w:numPr>
        <w:rPr/>
      </w:pPr>
      <w:r>
        <w:rPr>
          <w:rFonts w:cs="Verdana" w:ascii="Verdana" w:hAnsi="Verdana"/>
          <w:sz w:val="20"/>
          <w:szCs w:val="20"/>
        </w:rPr>
        <w:t>Soit remplacé par un repos compensateur équivalent auquel cas les heures supplémentaires ne s'imputent pas sur le contingent d'heures supplémentaires conformément aux dispositions légales et règlementaires applicables selon le statut de l’agent.</w:t>
      </w:r>
    </w:p>
    <w:p>
      <w:pPr>
        <w:pStyle w:val="Heading1"/>
        <w:numPr>
          <w:ilvl w:val="0"/>
          <w:numId w:val="0"/>
        </w:numPr>
        <w:pBdr>
          <w:bottom w:val="single" w:sz="4" w:space="0" w:color="333399"/>
        </w:pBdr>
        <w:ind w:left="0" w:hanging="0"/>
        <w:rPr>
          <w:rFonts w:ascii="Verdana" w:hAnsi="Verdana" w:cs="Verdana"/>
          <w:color w:val="666699"/>
          <w:sz w:val="24"/>
          <w:szCs w:val="24"/>
        </w:rPr>
      </w:pPr>
      <w:r>
        <w:rPr>
          <w:rFonts w:cs="Verdana" w:ascii="Verdana" w:hAnsi="Verdana"/>
          <w:color w:val="666699"/>
          <w:sz w:val="24"/>
          <w:szCs w:val="24"/>
        </w:rPr>
        <w:t>Article V.   REMUNERATION</w:t>
      </w:r>
    </w:p>
    <w:p>
      <w:pPr>
        <w:pStyle w:val="Normal"/>
        <w:rPr>
          <w:rFonts w:ascii="Verdana" w:hAnsi="Verdana" w:cs="Verdana"/>
          <w:color w:val="666699"/>
          <w:sz w:val="24"/>
          <w:szCs w:val="24"/>
        </w:rPr>
      </w:pPr>
      <w:r>
        <w:rPr>
          <w:rFonts w:cs="Verdana" w:ascii="Verdana" w:hAnsi="Verdana"/>
          <w:color w:val="666699"/>
          <w:sz w:val="24"/>
          <w:szCs w:val="24"/>
        </w:rPr>
      </w:r>
    </w:p>
    <w:p>
      <w:pPr>
        <w:pStyle w:val="Normal"/>
        <w:jc w:val="both"/>
        <w:rPr>
          <w:rFonts w:ascii="Verdana" w:hAnsi="Verdana" w:cs="Verdana"/>
          <w:sz w:val="20"/>
          <w:szCs w:val="20"/>
        </w:rPr>
      </w:pPr>
      <w:r>
        <w:rPr>
          <w:rFonts w:cs="Verdana" w:ascii="Verdana" w:hAnsi="Verdana"/>
          <w:sz w:val="20"/>
          <w:szCs w:val="20"/>
        </w:rPr>
        <w:t>Afin d'éviter toute variation de rémunération, le salaire de base sera indépendant de l'horaire réellement effectué dans la semaine : la rémunération sera lissée sur le mois.</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Les agents sont rémunérés sur la base de 35 heures par semaine, soit 151,67 heures par mois. Les éventuelles absences non rémunérées et les heures supplémentaires sont comptabilisées à l’issue de la période de référence</w:t>
      </w:r>
    </w:p>
    <w:p>
      <w:pPr>
        <w:pStyle w:val="Normal"/>
        <w:jc w:val="both"/>
        <w:rPr>
          <w:rFonts w:ascii="Verdana" w:hAnsi="Verdana" w:cs="Verdana"/>
          <w:sz w:val="20"/>
          <w:szCs w:val="20"/>
        </w:rPr>
      </w:pPr>
      <w:r>
        <w:rPr>
          <w:rFonts w:cs="Verdana" w:ascii="Verdana" w:hAnsi="Verdana"/>
          <w:sz w:val="20"/>
          <w:szCs w:val="20"/>
        </w:rPr>
      </w:r>
    </w:p>
    <w:p>
      <w:pPr>
        <w:pStyle w:val="Heading1"/>
        <w:numPr>
          <w:ilvl w:val="0"/>
          <w:numId w:val="0"/>
        </w:numPr>
        <w:pBdr>
          <w:bottom w:val="single" w:sz="4" w:space="0" w:color="333399"/>
        </w:pBdr>
        <w:ind w:left="0" w:hanging="0"/>
        <w:rPr>
          <w:rFonts w:ascii="Verdana" w:hAnsi="Verdana" w:cs="Verdana"/>
          <w:color w:val="666699"/>
          <w:sz w:val="24"/>
          <w:szCs w:val="24"/>
        </w:rPr>
      </w:pPr>
      <w:r>
        <w:rPr>
          <w:rFonts w:eastAsia="Verdana" w:cs="Verdana" w:ascii="Verdana" w:hAnsi="Verdana"/>
          <w:color w:val="666699"/>
          <w:sz w:val="24"/>
          <w:szCs w:val="24"/>
        </w:rPr>
        <w:t xml:space="preserve"> </w:t>
      </w:r>
      <w:r>
        <w:rPr>
          <w:rFonts w:cs="Verdana" w:ascii="Verdana" w:hAnsi="Verdana"/>
          <w:color w:val="666699"/>
          <w:sz w:val="24"/>
          <w:szCs w:val="24"/>
        </w:rPr>
        <w:t>Article VI.   EMBAUCHE ou RUPTURE du contrat de travail au cours de la période de référence</w:t>
      </w:r>
    </w:p>
    <w:p>
      <w:pPr>
        <w:pStyle w:val="Normal"/>
        <w:jc w:val="both"/>
        <w:rPr>
          <w:rFonts w:ascii="Verdana" w:hAnsi="Verdana" w:cs="Verdana"/>
          <w:color w:val="666699"/>
          <w:sz w:val="20"/>
          <w:szCs w:val="20"/>
          <w:highlight w:val="yellow"/>
        </w:rPr>
      </w:pPr>
      <w:r>
        <w:rPr>
          <w:rFonts w:cs="Verdana" w:ascii="Verdana" w:hAnsi="Verdana"/>
          <w:color w:val="666699"/>
          <w:sz w:val="20"/>
          <w:szCs w:val="20"/>
          <w:highlight w:val="yellow"/>
        </w:rPr>
      </w:r>
    </w:p>
    <w:p>
      <w:pPr>
        <w:pStyle w:val="Normal"/>
        <w:jc w:val="both"/>
        <w:rPr>
          <w:rFonts w:ascii="Verdana" w:hAnsi="Verdana" w:cs="Verdana"/>
          <w:sz w:val="20"/>
          <w:szCs w:val="20"/>
        </w:rPr>
      </w:pPr>
      <w:r>
        <w:rPr>
          <w:rFonts w:cs="Verdana" w:ascii="Verdana" w:hAnsi="Verdana"/>
          <w:sz w:val="20"/>
          <w:szCs w:val="20"/>
        </w:rPr>
        <w:t>Sauf clause contraire prévue au contrat de travail, les agents embauchés en cours de période de référence suivent les horaires en vigueur dans l’entreprise.</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A la fin de la période de référence durant laquelle l’agent a été embauché, il est procédé à une régularisation sur la base d’un temps réel de travail au cours de la période de présence par rapport à 35 heures hebdomadaires.</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En cas de rupture du contrat de travail, la rémunération sera régularisée sur la base des heures effectivement travaillées :</w:t>
      </w:r>
    </w:p>
    <w:p>
      <w:pPr>
        <w:pStyle w:val="Normal"/>
        <w:jc w:val="both"/>
        <w:rPr>
          <w:rFonts w:ascii="Verdana" w:hAnsi="Verdana" w:cs="Verdana"/>
          <w:sz w:val="20"/>
          <w:szCs w:val="20"/>
        </w:rPr>
      </w:pPr>
      <w:r>
        <w:rPr>
          <w:rFonts w:cs="Verdana" w:ascii="Verdana" w:hAnsi="Verdana"/>
          <w:sz w:val="20"/>
          <w:szCs w:val="20"/>
        </w:rPr>
      </w:r>
    </w:p>
    <w:p>
      <w:pPr>
        <w:pStyle w:val="Normal"/>
        <w:numPr>
          <w:ilvl w:val="0"/>
          <w:numId w:val="3"/>
        </w:numPr>
        <w:jc w:val="both"/>
        <w:rPr>
          <w:rFonts w:ascii="Verdana" w:hAnsi="Verdana" w:cs="Verdana"/>
          <w:sz w:val="20"/>
          <w:szCs w:val="20"/>
        </w:rPr>
      </w:pPr>
      <w:r>
        <w:rPr>
          <w:rFonts w:cs="Verdana" w:ascii="Verdana" w:hAnsi="Verdana"/>
          <w:sz w:val="20"/>
          <w:szCs w:val="20"/>
        </w:rPr>
        <w:t>la rémunération ne correspondant pas à du temps de travail effectif sera prélevée sur les derniers bulletins de salaire conformément aux dispositions légales et règlementaires,</w:t>
      </w:r>
    </w:p>
    <w:p>
      <w:pPr>
        <w:pStyle w:val="Normal"/>
        <w:numPr>
          <w:ilvl w:val="0"/>
          <w:numId w:val="3"/>
        </w:numPr>
        <w:jc w:val="both"/>
        <w:rPr>
          <w:sz w:val="22"/>
          <w:szCs w:val="22"/>
        </w:rPr>
      </w:pPr>
      <w:r>
        <w:rPr>
          <w:rFonts w:cs="Verdana" w:ascii="Verdana" w:hAnsi="Verdana"/>
          <w:sz w:val="20"/>
          <w:szCs w:val="20"/>
        </w:rPr>
        <w:t>les heures excédentaires par rapport à 35 heures seront payées avec les bonifications et  les majorations applicables aux heures supplémentaires.</w:t>
      </w:r>
    </w:p>
    <w:p>
      <w:pPr>
        <w:pStyle w:val="Normal"/>
        <w:jc w:val="both"/>
        <w:rPr>
          <w:rFonts w:ascii="Verdana" w:hAnsi="Verdana" w:cs="Verdana"/>
          <w:sz w:val="20"/>
          <w:szCs w:val="20"/>
        </w:rPr>
      </w:pPr>
      <w:r>
        <w:rPr>
          <w:rFonts w:cs="Verdana" w:ascii="Verdana" w:hAnsi="Verdana"/>
          <w:sz w:val="20"/>
          <w:szCs w:val="20"/>
        </w:rPr>
      </w:r>
    </w:p>
    <w:p>
      <w:pPr>
        <w:pStyle w:val="Heading1"/>
        <w:numPr>
          <w:ilvl w:val="0"/>
          <w:numId w:val="0"/>
        </w:numPr>
        <w:pBdr>
          <w:bottom w:val="single" w:sz="4" w:space="0" w:color="333399"/>
        </w:pBdr>
        <w:ind w:left="0" w:hanging="0"/>
        <w:rPr>
          <w:rFonts w:ascii="Verdana" w:hAnsi="Verdana" w:cs="Verdana"/>
          <w:color w:val="666699"/>
          <w:sz w:val="24"/>
          <w:szCs w:val="24"/>
        </w:rPr>
      </w:pPr>
      <w:r>
        <w:rPr>
          <w:rFonts w:cs="Verdana" w:ascii="Verdana" w:hAnsi="Verdana"/>
          <w:color w:val="666699"/>
          <w:sz w:val="24"/>
          <w:szCs w:val="24"/>
        </w:rPr>
        <w:t>Article VII. Salariés à temps partiel (éventuellement)</w:t>
      </w:r>
    </w:p>
    <w:p>
      <w:pPr>
        <w:pStyle w:val="Normal"/>
        <w:rPr>
          <w:rFonts w:ascii="Verdana" w:hAnsi="Verdana" w:cs="Verdana"/>
          <w:color w:val="666699"/>
          <w:sz w:val="24"/>
          <w:szCs w:val="24"/>
        </w:rPr>
      </w:pPr>
      <w:r>
        <w:rPr>
          <w:rFonts w:cs="Verdana" w:ascii="Verdana" w:hAnsi="Verdana"/>
          <w:color w:val="666699"/>
          <w:sz w:val="24"/>
          <w:szCs w:val="24"/>
        </w:rPr>
      </w:r>
    </w:p>
    <w:p>
      <w:pPr>
        <w:pStyle w:val="Normal"/>
        <w:jc w:val="both"/>
        <w:rPr/>
      </w:pPr>
      <w:r>
        <w:rPr>
          <w:rFonts w:cs="Verdana" w:ascii="Verdana" w:hAnsi="Verdana"/>
          <w:sz w:val="20"/>
          <w:szCs w:val="20"/>
        </w:rPr>
        <w:t>Les salariés à temps partiel affectés au service de distribution sont soumis à l’organisation du temps de travail instituée par le présent accord.</w:t>
      </w:r>
    </w:p>
    <w:p>
      <w:pPr>
        <w:pStyle w:val="Normal"/>
        <w:jc w:val="both"/>
        <w:rPr>
          <w:rFonts w:ascii="Verdana" w:hAnsi="Verdana" w:cs="Verdana"/>
          <w:sz w:val="20"/>
          <w:szCs w:val="20"/>
        </w:rPr>
      </w:pPr>
      <w:r>
        <w:rPr>
          <w:rFonts w:cs="Verdana" w:ascii="Verdana" w:hAnsi="Verdana"/>
          <w:sz w:val="20"/>
          <w:szCs w:val="20"/>
        </w:rPr>
      </w:r>
    </w:p>
    <w:p>
      <w:pPr>
        <w:pStyle w:val="Normal"/>
        <w:jc w:val="both"/>
        <w:rPr/>
      </w:pPr>
      <w:r>
        <w:rPr>
          <w:rFonts w:cs="Verdana" w:ascii="Verdana" w:hAnsi="Verdana"/>
          <w:sz w:val="20"/>
          <w:szCs w:val="20"/>
        </w:rPr>
        <w:t>La répartition de la durée du travail sur la période définie à l’article 3 du présent accord ainsi que les horaires journaliers de travail sont communiqués à ces salariés individuellement. Ils peuvent faire l’objet d’une modification en raison de contraintes de production sous réserve de respecter un délai de prévenance de 8 jours calendaires.</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L’application de cette disposition est réalisée sans préjudice des dispositions contractuelles figurant dans les contrats de travail des salariés concernés à la date d’entrée en vigueur du présent accord.</w:t>
      </w:r>
    </w:p>
    <w:p>
      <w:pPr>
        <w:pStyle w:val="Heading1"/>
        <w:numPr>
          <w:ilvl w:val="0"/>
          <w:numId w:val="0"/>
        </w:numPr>
        <w:pBdr>
          <w:bottom w:val="single" w:sz="4" w:space="0" w:color="333399"/>
        </w:pBdr>
        <w:ind w:left="0" w:hanging="0"/>
        <w:rPr>
          <w:rFonts w:ascii="Verdana" w:hAnsi="Verdana" w:cs="Verdana"/>
          <w:color w:val="666699"/>
          <w:sz w:val="24"/>
          <w:szCs w:val="24"/>
        </w:rPr>
      </w:pPr>
      <w:r>
        <w:rPr>
          <w:rFonts w:cs="Verdana" w:ascii="Verdana" w:hAnsi="Verdana"/>
          <w:color w:val="666699"/>
          <w:sz w:val="24"/>
          <w:szCs w:val="24"/>
        </w:rPr>
        <w:t xml:space="preserve">Article VIII.   DUREE DE L’ACCORD, REVISION, DENONCIATION </w:t>
      </w:r>
    </w:p>
    <w:p>
      <w:pPr>
        <w:pStyle w:val="Normal"/>
        <w:rPr>
          <w:rFonts w:ascii="Verdana" w:hAnsi="Verdana" w:cs="Verdana"/>
          <w:b/>
          <w:b/>
          <w:color w:val="666699"/>
          <w:sz w:val="24"/>
          <w:szCs w:val="24"/>
          <w:highlight w:val="yellow"/>
          <w:u w:val="single"/>
        </w:rPr>
      </w:pPr>
      <w:r>
        <w:rPr>
          <w:rFonts w:cs="Verdana" w:ascii="Verdana" w:hAnsi="Verdana"/>
          <w:b/>
          <w:color w:val="666699"/>
          <w:sz w:val="24"/>
          <w:szCs w:val="24"/>
          <w:highlight w:val="yellow"/>
          <w:u w:val="single"/>
        </w:rPr>
      </w:r>
    </w:p>
    <w:p>
      <w:pPr>
        <w:pStyle w:val="Normal"/>
        <w:jc w:val="both"/>
        <w:rPr>
          <w:rFonts w:ascii="Verdana" w:hAnsi="Verdana" w:cs="Verdana"/>
          <w:sz w:val="20"/>
          <w:szCs w:val="20"/>
        </w:rPr>
      </w:pPr>
      <w:r>
        <w:rPr>
          <w:rFonts w:cs="Verdana" w:ascii="Verdana" w:hAnsi="Verdana"/>
          <w:sz w:val="20"/>
          <w:szCs w:val="20"/>
        </w:rPr>
        <w:t xml:space="preserve">Le présent accord conclu entrera en vigueur à compter du 17 juillet 2018 sous réserve de l’absence d’opposition majoritaire. </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L’accord signé sera notifié par lettre recommandée avec accusé de réception aux organisations syndicales représentatives non signataires et signataires.</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t>Chaque partie signataire ou adhérente peut demander la révision de tout ou partie du présent accord, selon les modalités prévues par l’accord national du 21 juin 2004 sur les principes et méthodes du dialogue social à La Poste.</w:t>
      </w:r>
    </w:p>
    <w:p>
      <w:pPr>
        <w:pStyle w:val="Normal"/>
        <w:jc w:val="both"/>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r>
    </w:p>
    <w:p>
      <w:pPr>
        <w:pStyle w:val="Heading1"/>
        <w:numPr>
          <w:ilvl w:val="0"/>
          <w:numId w:val="0"/>
        </w:numPr>
        <w:pBdr>
          <w:bottom w:val="single" w:sz="4" w:space="0" w:color="333399"/>
        </w:pBdr>
        <w:ind w:left="0" w:hanging="0"/>
        <w:rPr/>
      </w:pPr>
      <w:r>
        <w:rPr>
          <w:rFonts w:cs="Verdana" w:ascii="Verdana" w:hAnsi="Verdana"/>
          <w:color w:val="365F91"/>
          <w:sz w:val="24"/>
          <w:szCs w:val="24"/>
        </w:rPr>
        <w:t xml:space="preserve">Article IX.   </w:t>
      </w:r>
      <w:r>
        <w:rPr>
          <w:rFonts w:cs="Verdana" w:ascii="Verdana" w:hAnsi="Verdana"/>
          <w:caps/>
          <w:color w:val="365F91"/>
          <w:sz w:val="24"/>
          <w:szCs w:val="24"/>
        </w:rPr>
        <w:t>Commission de suivi</w:t>
      </w:r>
      <w:r>
        <w:rPr>
          <w:rFonts w:cs="Verdana" w:ascii="Verdana" w:hAnsi="Verdana"/>
          <w:color w:val="365F91"/>
          <w:sz w:val="24"/>
          <w:szCs w:val="24"/>
        </w:rPr>
        <w:t xml:space="preserve"> </w:t>
      </w:r>
    </w:p>
    <w:p>
      <w:pPr>
        <w:pStyle w:val="Normal"/>
        <w:ind w:firstLine="708"/>
        <w:jc w:val="both"/>
        <w:rPr>
          <w:rFonts w:ascii="Verdana" w:hAnsi="Verdana" w:cs="Verdana"/>
          <w:color w:val="365F91"/>
          <w:sz w:val="12"/>
          <w:szCs w:val="12"/>
        </w:rPr>
      </w:pPr>
      <w:r>
        <w:rPr>
          <w:rFonts w:cs="Verdana" w:ascii="Verdana" w:hAnsi="Verdana"/>
          <w:color w:val="365F91"/>
          <w:sz w:val="12"/>
          <w:szCs w:val="12"/>
        </w:rPr>
      </w:r>
    </w:p>
    <w:p>
      <w:pPr>
        <w:pStyle w:val="Normal"/>
        <w:jc w:val="both"/>
        <w:rPr/>
      </w:pPr>
      <w:r>
        <w:rPr>
          <w:rFonts w:cs="Verdana" w:ascii="Verdana" w:hAnsi="Verdana"/>
          <w:sz w:val="20"/>
          <w:szCs w:val="20"/>
        </w:rPr>
        <w:t>Une commission de suivi du présent accord est créée avec les  représentants des organisations professionnelles signataires du présent accord.</w:t>
      </w:r>
    </w:p>
    <w:p>
      <w:pPr>
        <w:pStyle w:val="Normal"/>
        <w:rPr>
          <w:rFonts w:ascii="Verdana" w:hAnsi="Verdana" w:cs="Verdana"/>
          <w:sz w:val="20"/>
          <w:szCs w:val="20"/>
        </w:rPr>
      </w:pPr>
      <w:r>
        <w:rPr>
          <w:rFonts w:cs="Verdana" w:ascii="Verdana" w:hAnsi="Verdana"/>
          <w:sz w:val="20"/>
          <w:szCs w:val="20"/>
        </w:rPr>
      </w:r>
    </w:p>
    <w:p>
      <w:pPr>
        <w:pStyle w:val="Normal"/>
        <w:rPr/>
      </w:pPr>
      <w:r>
        <w:rPr>
          <w:rFonts w:cs="Verdana" w:ascii="Verdana" w:hAnsi="Verdana"/>
          <w:sz w:val="20"/>
          <w:szCs w:val="20"/>
        </w:rPr>
        <w:t>Un premier bilan sera réalisé un mois après son entrée en vigueur.</w:t>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t>Elle se réunira à la demande d’un des signataires, dans un délai maximum de six mois.</w:t>
      </w:r>
    </w:p>
    <w:p>
      <w:pPr>
        <w:pStyle w:val="Normal"/>
        <w:rPr>
          <w:rFonts w:ascii="Verdana" w:hAnsi="Verdana" w:cs="Verdana"/>
          <w:sz w:val="20"/>
          <w:szCs w:val="20"/>
        </w:rPr>
      </w:pPr>
      <w:r>
        <w:rPr>
          <w:rFonts w:cs="Verdana" w:ascii="Verdana" w:hAnsi="Verdana"/>
          <w:sz w:val="20"/>
          <w:szCs w:val="20"/>
        </w:rPr>
      </w:r>
    </w:p>
    <w:p>
      <w:pPr>
        <w:pStyle w:val="Normal"/>
        <w:jc w:val="both"/>
        <w:rPr>
          <w:rFonts w:ascii="Verdana" w:hAnsi="Verdana" w:cs="Verdana"/>
          <w:sz w:val="20"/>
          <w:szCs w:val="20"/>
        </w:rPr>
      </w:pPr>
      <w:r>
        <w:rPr>
          <w:rFonts w:cs="Verdana" w:ascii="Verdana" w:hAnsi="Verdana"/>
          <w:sz w:val="20"/>
          <w:szCs w:val="20"/>
        </w:rPr>
      </w:r>
    </w:p>
    <w:p>
      <w:pPr>
        <w:pStyle w:val="Heading1"/>
        <w:numPr>
          <w:ilvl w:val="0"/>
          <w:numId w:val="0"/>
        </w:numPr>
        <w:pBdr>
          <w:bottom w:val="single" w:sz="4" w:space="0" w:color="333399"/>
        </w:pBdr>
        <w:ind w:left="0" w:hanging="0"/>
        <w:rPr/>
      </w:pPr>
      <w:r>
        <w:rPr>
          <w:rFonts w:eastAsia="Verdana" w:cs="Verdana" w:ascii="Verdana" w:hAnsi="Verdana"/>
          <w:color w:val="666699"/>
          <w:sz w:val="24"/>
          <w:szCs w:val="24"/>
        </w:rPr>
        <w:t xml:space="preserve"> </w:t>
      </w:r>
      <w:r>
        <w:rPr>
          <w:rFonts w:cs="Verdana" w:ascii="Verdana" w:hAnsi="Verdana"/>
          <w:color w:val="666699"/>
          <w:sz w:val="24"/>
          <w:szCs w:val="24"/>
        </w:rPr>
        <w:t>Article X</w:t>
        <w:tab/>
        <w:t>PUBLICITE</w:t>
      </w:r>
    </w:p>
    <w:p>
      <w:pPr>
        <w:pStyle w:val="Normal"/>
        <w:rPr>
          <w:rFonts w:ascii="Verdana" w:hAnsi="Verdana" w:cs="Verdana"/>
          <w:color w:val="666699"/>
          <w:sz w:val="24"/>
          <w:szCs w:val="24"/>
        </w:rPr>
      </w:pPr>
      <w:r>
        <w:rPr>
          <w:rFonts w:cs="Verdana" w:ascii="Verdana" w:hAnsi="Verdana"/>
          <w:color w:val="666699"/>
          <w:sz w:val="24"/>
          <w:szCs w:val="24"/>
        </w:rPr>
      </w:r>
    </w:p>
    <w:p>
      <w:pPr>
        <w:pStyle w:val="Normal"/>
        <w:rPr>
          <w:rFonts w:ascii="Verdana" w:hAnsi="Verdana" w:cs="Verdana"/>
          <w:b/>
          <w:b/>
          <w:bCs/>
          <w:color w:val="333399"/>
          <w:sz w:val="20"/>
          <w:szCs w:val="20"/>
          <w:u w:val="single"/>
        </w:rPr>
      </w:pPr>
      <w:r>
        <w:rPr>
          <w:rFonts w:cs="Verdana" w:ascii="Verdana" w:hAnsi="Verdana"/>
          <w:b/>
          <w:bCs/>
          <w:color w:val="333399"/>
          <w:sz w:val="20"/>
          <w:szCs w:val="20"/>
          <w:u w:val="single"/>
        </w:rPr>
      </w:r>
    </w:p>
    <w:p>
      <w:pPr>
        <w:pStyle w:val="TextBody"/>
        <w:jc w:val="both"/>
        <w:rPr/>
      </w:pPr>
      <w:r>
        <w:rPr>
          <w:rFonts w:cs="Verdana" w:ascii="Verdana" w:hAnsi="Verdana"/>
          <w:sz w:val="20"/>
          <w:szCs w:val="20"/>
        </w:rPr>
        <w:t>Le présent accord sera déposé par la Direction en 2 exemplaires, dont une version sur support papier signée des parties et une version sur support électronique, auprès de la DIRECCTE et un exemplaire auprès du secrétariat du greffe du conseil des Prud’hommes du lieu de conclusion de l’accord, à l'expiration du délai d’opposition.</w:t>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r>
    </w:p>
    <w:p>
      <w:pPr>
        <w:pStyle w:val="Normal"/>
        <w:rPr/>
      </w:pPr>
      <w:r>
        <w:rPr>
          <w:rFonts w:cs="Verdana" w:ascii="Verdana" w:hAnsi="Verdana"/>
          <w:sz w:val="20"/>
          <w:szCs w:val="20"/>
        </w:rPr>
        <w:t>Fait à bois Guillaume, le …..</w:t>
      </w:r>
    </w:p>
    <w:p>
      <w:pPr>
        <w:pStyle w:val="Normal"/>
        <w:rPr>
          <w:rFonts w:ascii="Verdana" w:hAnsi="Verdana" w:cs="Verdana"/>
          <w:sz w:val="20"/>
          <w:szCs w:val="20"/>
        </w:rPr>
      </w:pPr>
      <w:r>
        <w:rPr>
          <w:rFonts w:cs="Verdana" w:ascii="Verdana" w:hAnsi="Verdana"/>
          <w:sz w:val="20"/>
          <w:szCs w:val="20"/>
        </w:rPr>
      </w:r>
    </w:p>
    <w:p>
      <w:pPr>
        <w:pStyle w:val="Normal"/>
        <w:rPr>
          <w:rFonts w:ascii="Verdana" w:hAnsi="Verdana" w:cs="Verdana"/>
          <w:sz w:val="20"/>
          <w:szCs w:val="20"/>
        </w:rPr>
      </w:pPr>
      <w:r>
        <w:rPr>
          <w:rFonts w:cs="Verdana" w:ascii="Verdana" w:hAnsi="Verdana"/>
          <w:sz w:val="20"/>
          <w:szCs w:val="20"/>
        </w:rPr>
        <w:t>Pour la Poste,</w:t>
      </w:r>
    </w:p>
    <w:p>
      <w:pPr>
        <w:pStyle w:val="Normal"/>
        <w:rPr>
          <w:rFonts w:ascii="Verdana" w:hAnsi="Verdana" w:cs="Verdana"/>
          <w:sz w:val="20"/>
          <w:szCs w:val="20"/>
        </w:rPr>
      </w:pPr>
      <w:r>
        <w:rPr>
          <w:rFonts w:cs="Verdana" w:ascii="Verdana" w:hAnsi="Verdana"/>
          <w:sz w:val="20"/>
          <w:szCs w:val="20"/>
        </w:rPr>
        <w:t>Le directeur d’établissement</w:t>
      </w:r>
    </w:p>
    <w:p>
      <w:pPr>
        <w:pStyle w:val="Normal"/>
        <w:rPr>
          <w:rFonts w:ascii="Verdana" w:hAnsi="Verdana" w:cs="Verdana"/>
          <w:b/>
          <w:b/>
          <w:i/>
          <w:i/>
          <w:sz w:val="20"/>
          <w:szCs w:val="20"/>
        </w:rPr>
      </w:pPr>
      <w:r>
        <w:rPr>
          <w:rFonts w:cs="Verdana" w:ascii="Verdana" w:hAnsi="Verdana"/>
          <w:b/>
          <w:i/>
          <w:sz w:val="20"/>
          <w:szCs w:val="20"/>
        </w:rPr>
      </w:r>
    </w:p>
    <w:p>
      <w:pPr>
        <w:pStyle w:val="Normal"/>
        <w:rPr>
          <w:b/>
          <w:b/>
          <w:i/>
          <w:i/>
          <w:sz w:val="20"/>
          <w:szCs w:val="20"/>
        </w:rPr>
      </w:pPr>
      <w:r>
        <w:rPr>
          <w:b/>
          <w:i/>
          <w:sz w:val="20"/>
          <w:szCs w:val="20"/>
        </w:rPr>
      </w:r>
    </w:p>
    <w:p>
      <w:pPr>
        <w:pStyle w:val="Normal"/>
        <w:rPr>
          <w:b/>
          <w:b/>
          <w:i/>
          <w:i/>
          <w:sz w:val="20"/>
          <w:szCs w:val="20"/>
        </w:rPr>
      </w:pPr>
      <w:r>
        <w:rPr>
          <w:b/>
          <w:i/>
          <w:sz w:val="20"/>
          <w:szCs w:val="20"/>
        </w:rPr>
      </w:r>
    </w:p>
    <w:p>
      <w:pPr>
        <w:pStyle w:val="Normal"/>
        <w:rPr>
          <w:b/>
          <w:b/>
          <w:i/>
          <w:i/>
          <w:sz w:val="20"/>
          <w:szCs w:val="20"/>
        </w:rPr>
      </w:pPr>
      <w:r>
        <w:rPr>
          <w:b/>
          <w:i/>
          <w:sz w:val="20"/>
          <w:szCs w:val="20"/>
        </w:rPr>
      </w:r>
    </w:p>
    <w:p>
      <w:pPr>
        <w:pStyle w:val="Normal"/>
        <w:rPr>
          <w:rFonts w:ascii="Verdana" w:hAnsi="Verdana" w:cs="Verdana"/>
          <w:sz w:val="20"/>
          <w:szCs w:val="20"/>
        </w:rPr>
      </w:pPr>
      <w:r>
        <w:rPr>
          <w:rFonts w:cs="Verdana" w:ascii="Verdana" w:hAnsi="Verdana"/>
          <w:sz w:val="20"/>
          <w:szCs w:val="20"/>
        </w:rPr>
        <w:t>Pour les Organisations Syndicales :</w:t>
      </w:r>
    </w:p>
    <w:p>
      <w:pPr>
        <w:pStyle w:val="Normal"/>
        <w:spacing w:before="0" w:after="240"/>
        <w:jc w:val="center"/>
        <w:rPr>
          <w:rFonts w:ascii="Verdana" w:hAnsi="Verdana" w:cs="Verdana"/>
          <w:b/>
          <w:b/>
          <w:sz w:val="20"/>
          <w:szCs w:val="20"/>
        </w:rPr>
      </w:pPr>
      <w:r>
        <w:rPr>
          <w:rFonts w:cs="Verdana" w:ascii="Verdana" w:hAnsi="Verdana"/>
          <w:b/>
          <w:sz w:val="20"/>
          <w:szCs w:val="20"/>
        </w:rPr>
      </w:r>
    </w:p>
    <w:p>
      <w:pPr>
        <w:pStyle w:val="Normal"/>
        <w:rPr>
          <w:rFonts w:ascii="Verdana" w:hAnsi="Verdana" w:cs="Verdana"/>
          <w:sz w:val="18"/>
          <w:szCs w:val="18"/>
        </w:rPr>
      </w:pPr>
      <w:r>
        <w:rPr>
          <w:rFonts w:cs="Verdana" w:ascii="Verdana" w:hAnsi="Verdana"/>
          <w:sz w:val="20"/>
          <w:u w:val="single"/>
        </w:rPr>
        <w:t>Le syndicat CGT FAPT</w:t>
      </w:r>
      <w:r>
        <w:rPr>
          <w:rFonts w:cs="Verdana" w:ascii="Verdana" w:hAnsi="Verdana"/>
          <w:sz w:val="18"/>
          <w:szCs w:val="18"/>
        </w:rPr>
        <w:tab/>
        <w:tab/>
        <w:tab/>
        <w:tab/>
        <w:tab/>
        <w:tab/>
      </w:r>
      <w:r>
        <w:rPr>
          <w:rFonts w:cs="Verdana" w:ascii="Verdana" w:hAnsi="Verdana"/>
          <w:sz w:val="18"/>
          <w:szCs w:val="18"/>
          <w:u w:val="single"/>
        </w:rPr>
        <w:t>Le syndicat PTT solidaires</w:t>
      </w:r>
    </w:p>
    <w:p>
      <w:pPr>
        <w:pStyle w:val="Normal"/>
        <w:spacing w:before="0" w:after="240"/>
        <w:rPr>
          <w:rFonts w:ascii="Verdana" w:hAnsi="Verdana" w:cs="Verdana"/>
          <w:sz w:val="18"/>
          <w:szCs w:val="18"/>
          <w:u w:val="single"/>
        </w:rPr>
      </w:pPr>
      <w:r>
        <w:rPr>
          <w:rFonts w:cs="Verdana" w:ascii="Verdana" w:hAnsi="Verdana"/>
          <w:sz w:val="18"/>
          <w:szCs w:val="18"/>
        </w:rPr>
        <w:tab/>
        <w:tab/>
        <w:tab/>
        <w:tab/>
        <w:tab/>
        <w:tab/>
        <w:tab/>
        <w:tab/>
        <w:tab/>
      </w:r>
      <w:r>
        <w:rPr>
          <w:rFonts w:cs="Verdana" w:ascii="Verdana" w:hAnsi="Verdana"/>
          <w:sz w:val="18"/>
          <w:szCs w:val="18"/>
          <w:u w:val="single"/>
        </w:rPr>
        <w:t>Unitaires et Démocratiques SUD</w:t>
      </w:r>
    </w:p>
    <w:p>
      <w:pPr>
        <w:pStyle w:val="Normal"/>
        <w:spacing w:before="0" w:after="240"/>
        <w:rPr>
          <w:rFonts w:ascii="Verdana" w:hAnsi="Verdana" w:cs="Verdana"/>
          <w:sz w:val="18"/>
          <w:szCs w:val="18"/>
        </w:rPr>
      </w:pPr>
      <w:r>
        <w:rPr>
          <w:rFonts w:cs="Verdana" w:ascii="Verdana" w:hAnsi="Verdana"/>
          <w:sz w:val="18"/>
          <w:szCs w:val="18"/>
        </w:rPr>
        <w:tab/>
      </w:r>
    </w:p>
    <w:p>
      <w:pPr>
        <w:pStyle w:val="Heading2"/>
        <w:numPr>
          <w:ilvl w:val="0"/>
          <w:numId w:val="0"/>
        </w:numPr>
        <w:ind w:left="0" w:hanging="0"/>
        <w:rPr>
          <w:rFonts w:ascii="Verdana" w:hAnsi="Verdana" w:cs="Verdana"/>
          <w:b w:val="false"/>
          <w:b w:val="false"/>
          <w:i w:val="false"/>
          <w:i w:val="false"/>
          <w:sz w:val="18"/>
          <w:szCs w:val="18"/>
        </w:rPr>
      </w:pPr>
      <w:r>
        <w:rPr>
          <w:rFonts w:cs="Verdana" w:ascii="Verdana" w:hAnsi="Verdana"/>
          <w:b w:val="false"/>
          <w:i w:val="false"/>
          <w:sz w:val="18"/>
          <w:szCs w:val="18"/>
          <w:u w:val="single"/>
        </w:rPr>
        <w:t>« Unis pour agir ensemble »</w:t>
      </w:r>
      <w:r>
        <w:rPr>
          <w:rFonts w:cs="Verdana" w:ascii="Verdana" w:hAnsi="Verdana"/>
          <w:b w:val="false"/>
          <w:i w:val="false"/>
          <w:sz w:val="18"/>
          <w:szCs w:val="18"/>
        </w:rPr>
        <w:t xml:space="preserve"> </w:t>
        <w:tab/>
        <w:tab/>
        <w:tab/>
        <w:tab/>
        <w:tab/>
        <w:tab/>
      </w:r>
      <w:r>
        <w:rPr>
          <w:rFonts w:cs="Verdana" w:ascii="Verdana" w:hAnsi="Verdana"/>
          <w:b w:val="false"/>
          <w:i w:val="false"/>
          <w:sz w:val="18"/>
          <w:szCs w:val="18"/>
          <w:u w:val="single"/>
        </w:rPr>
        <w:t>Fédération Communication</w:t>
      </w:r>
    </w:p>
    <w:p>
      <w:pPr>
        <w:pStyle w:val="Normal"/>
        <w:ind w:left="5664" w:hanging="5664"/>
        <w:rPr>
          <w:rFonts w:ascii="Verdana" w:hAnsi="Verdana" w:cs="Verdana"/>
          <w:sz w:val="18"/>
          <w:szCs w:val="18"/>
        </w:rPr>
      </w:pPr>
      <w:r>
        <w:rPr>
          <w:rFonts w:cs="Verdana" w:ascii="Verdana" w:hAnsi="Verdana"/>
          <w:sz w:val="18"/>
          <w:szCs w:val="18"/>
          <w:u w:val="single"/>
        </w:rPr>
        <w:t xml:space="preserve">Fédération CFTC des Postes et des Télécommunications </w:t>
      </w:r>
      <w:r>
        <w:rPr>
          <w:rFonts w:cs="Verdana" w:ascii="Verdana" w:hAnsi="Verdana"/>
          <w:sz w:val="18"/>
          <w:szCs w:val="18"/>
        </w:rPr>
        <w:tab/>
        <w:tab/>
      </w:r>
      <w:r>
        <w:rPr>
          <w:rFonts w:cs="Verdana" w:ascii="Verdana" w:hAnsi="Verdana"/>
          <w:sz w:val="18"/>
          <w:szCs w:val="18"/>
          <w:u w:val="single"/>
        </w:rPr>
        <w:t>Conseil Culture</w:t>
      </w:r>
      <w:r>
        <w:rPr>
          <w:rFonts w:cs="Verdana" w:ascii="Verdana" w:hAnsi="Verdana"/>
          <w:sz w:val="18"/>
          <w:szCs w:val="18"/>
        </w:rPr>
        <w:t xml:space="preserve"> </w:t>
      </w:r>
      <w:r>
        <w:rPr>
          <w:rFonts w:cs="Verdana" w:ascii="Verdana" w:hAnsi="Verdana"/>
          <w:sz w:val="18"/>
          <w:szCs w:val="18"/>
          <w:u w:val="single"/>
        </w:rPr>
        <w:t>F3C CFDT</w:t>
      </w:r>
    </w:p>
    <w:p>
      <w:pPr>
        <w:pStyle w:val="Normal"/>
        <w:rPr>
          <w:rFonts w:ascii="Verdana" w:hAnsi="Verdana" w:cs="Verdana"/>
          <w:sz w:val="18"/>
          <w:szCs w:val="18"/>
          <w:u w:val="single"/>
        </w:rPr>
      </w:pPr>
      <w:r>
        <w:rPr>
          <w:rFonts w:cs="Verdana" w:ascii="Verdana" w:hAnsi="Verdana"/>
          <w:sz w:val="18"/>
          <w:szCs w:val="18"/>
          <w:u w:val="single"/>
        </w:rPr>
        <w:t xml:space="preserve">CGC Groupe La Poste </w:t>
      </w:r>
    </w:p>
    <w:p>
      <w:pPr>
        <w:pStyle w:val="Normal"/>
        <w:rPr>
          <w:rFonts w:ascii="Verdana" w:hAnsi="Verdana" w:cs="Verdana"/>
          <w:sz w:val="18"/>
          <w:szCs w:val="18"/>
          <w:u w:val="single"/>
        </w:rPr>
      </w:pPr>
      <w:r>
        <w:rPr>
          <w:rFonts w:cs="Verdana" w:ascii="Verdana" w:hAnsi="Verdana"/>
          <w:sz w:val="18"/>
          <w:szCs w:val="18"/>
          <w:u w:val="single"/>
        </w:rPr>
        <w:t>Fédération UNSA -Postes</w:t>
      </w:r>
    </w:p>
    <w:p>
      <w:pPr>
        <w:pStyle w:val="Normal"/>
        <w:rPr/>
      </w:pPr>
      <w:r>
        <w:rPr>
          <w:rFonts w:cs="Verdana" w:ascii="Verdana" w:hAnsi="Verdana"/>
          <w:sz w:val="18"/>
          <w:szCs w:val="18"/>
        </w:rPr>
        <w:tab/>
        <w:tab/>
        <w:tab/>
        <w:tab/>
        <w:tab/>
        <w:tab/>
        <w:t xml:space="preserve">        </w:t>
        <w:tab/>
        <w:tab/>
      </w:r>
    </w:p>
    <w:p>
      <w:pPr>
        <w:pStyle w:val="Normal"/>
        <w:spacing w:before="0" w:after="240"/>
        <w:rPr/>
      </w:pPr>
      <w:r>
        <w:rPr>
          <w:rFonts w:cs="Verdana" w:ascii="Verdana" w:hAnsi="Verdana"/>
          <w:sz w:val="18"/>
          <w:szCs w:val="18"/>
        </w:rPr>
        <w:tab/>
        <w:tab/>
        <w:tab/>
        <w:tab/>
        <w:tab/>
        <w:tab/>
        <w:tab/>
        <w:t xml:space="preserve">      </w:t>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p>
      <w:pPr>
        <w:pStyle w:val="Normal"/>
        <w:rPr>
          <w:rFonts w:ascii="Verdana" w:hAnsi="Verdana" w:cs="Verdana"/>
          <w:sz w:val="18"/>
          <w:szCs w:val="18"/>
        </w:rPr>
      </w:pPr>
      <w:r>
        <w:rPr>
          <w:rFonts w:cs="Verdana" w:ascii="Verdana" w:hAnsi="Verdana"/>
          <w:sz w:val="18"/>
          <w:szCs w:val="18"/>
        </w:rPr>
      </w:r>
    </w:p>
    <w:sectPr>
      <w:footerReference w:type="default" r:id="rId4"/>
      <w:type w:val="nextPage"/>
      <w:pgSz w:w="11906" w:h="16838"/>
      <w:pgMar w:left="777" w:right="720" w:header="0" w:top="720" w:footer="567" w:bottom="72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Wingdings">
    <w:charset w:val="02"/>
    <w:family w:val="auto"/>
    <w:pitch w:val="variable"/>
  </w:font>
  <w:font w:name="Courier New">
    <w:charset w:val="00"/>
    <w:family w:val="modern"/>
    <w:pitch w:val="default"/>
  </w:font>
  <w:font w:name="Symbol">
    <w:charset w:val="01"/>
    <w:family w:val="roman"/>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lang w:val="en-GB" w:eastAsia="en-GB"/>
      </w:rPr>
    </w:pPr>
    <w:r>
      <w:rPr>
        <w:lang w:val="en-GB" w:eastAsia="en-GB"/>
      </w:rPr>
      <mc:AlternateContent>
        <mc:Choice Requires="wps">
          <w:drawing>
            <wp:anchor behindDoc="1" distT="0" distB="0" distL="114935" distR="114935" simplePos="0" locked="0" layoutInCell="1" allowOverlap="1" relativeHeight="5">
              <wp:simplePos x="0" y="0"/>
              <wp:positionH relativeFrom="page">
                <wp:posOffset>6636385</wp:posOffset>
              </wp:positionH>
              <wp:positionV relativeFrom="page">
                <wp:posOffset>10296525</wp:posOffset>
              </wp:positionV>
              <wp:extent cx="368935" cy="274955"/>
              <wp:effectExtent l="0" t="0" r="0" b="0"/>
              <wp:wrapNone/>
              <wp:docPr id="1" name="Forme automatique 1"/>
              <a:graphic xmlns:a="http://schemas.openxmlformats.org/drawingml/2006/main">
                <a:graphicData uri="http://schemas.microsoft.com/office/word/2010/wordprocessingShape">
                  <wps:wsp>
                    <wps:cNvSpPr/>
                    <wps:spPr>
                      <a:xfrm>
                        <a:off x="0" y="0"/>
                        <a:ext cx="368280" cy="274320"/>
                      </a:xfrm>
                      <a:prstGeom prst="foldedCorner">
                        <a:avLst>
                          <a:gd name="adj" fmla="val 14135"/>
                        </a:avLst>
                      </a:prstGeom>
                      <a:solidFill>
                        <a:srgbClr val="ffffff"/>
                      </a:solidFill>
                      <a:ln w="3240">
                        <a:solidFill>
                          <a:srgbClr val="808080"/>
                        </a:solidFill>
                        <a:miter/>
                      </a:ln>
                    </wps:spPr>
                    <wps:style>
                      <a:lnRef idx="0"/>
                      <a:fillRef idx="0"/>
                      <a:effectRef idx="0"/>
                      <a:fontRef idx="minor"/>
                    </wps:style>
                    <wps:txbx>
                      <w:txbxContent>
                        <w:p>
                          <w:pPr>
                            <w:bidi w:val="0"/>
                            <w:jc w:val="center"/>
                            <w:rPr/>
                          </w:pPr>
                          <w:r>
                            <w:rPr>
                              <w:rFonts w:eastAsia="Times New Roman" w:cs="Times New Roman" w:ascii="Times New Roman" w:hAnsi="Times New Roman"/>
                              <w:color w:val="auto"/>
                              <w:lang w:bidi="ar-SA"/>
                            </w:rPr>
                            <w:t>4</w:t>
                          </w:r>
                        </w:p>
                      </w:txbxContent>
                    </wps:txbx>
                    <wps:bodyPr>
                      <a:noAutofit/>
                    </wps:bodyPr>
                  </wps:wsp>
                </a:graphicData>
              </a:graphic>
            </wp:anchor>
          </w:drawing>
        </mc:Choice>
        <mc:Fallback>
          <w:pict>
            <v:shapetype id="shapetype_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ID="Forme automatique 1" fillcolor="white" stroked="t" style="position:absolute;margin-left:522.55pt;margin-top:810.75pt;width:28.95pt;height:21.55pt;mso-position-horizontal-relative:page;mso-position-vertical-relative:page" type="shapetype_65">
              <v:textbox>
                <w:txbxContent>
                  <w:p>
                    <w:pPr>
                      <w:bidi w:val="0"/>
                      <w:jc w:val="center"/>
                      <w:rPr/>
                    </w:pPr>
                    <w:r>
                      <w:rPr>
                        <w:rFonts w:eastAsia="Times New Roman" w:cs="Times New Roman" w:ascii="Times New Roman" w:hAnsi="Times New Roman"/>
                        <w:color w:val="auto"/>
                        <w:lang w:bidi="ar-SA"/>
                      </w:rPr>
                      <w:t>4</w:t>
                    </w:r>
                  </w:p>
                </w:txbxContent>
              </v:textbox>
              <w10:wrap type="square"/>
              <v:fill o:detectmouseclick="t" type="solid" color2="black"/>
              <v:stroke color="gray" weight="3240" joinstyle="miter" endcap="square"/>
            </v:shape>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Article %1."/>
      <w:lvlJc w:val="left"/>
      <w:pPr>
        <w:tabs>
          <w:tab w:val="num" w:pos="2084"/>
        </w:tabs>
        <w:ind w:left="284" w:hanging="0"/>
      </w:pPr>
      <w:rPr/>
    </w:lvl>
    <w:lvl w:ilvl="1">
      <w:start w:val="1"/>
      <w:numFmt w:val="decimal"/>
      <w:lvlText w:val="Section %1.%2"/>
      <w:lvlJc w:val="left"/>
      <w:pPr>
        <w:tabs>
          <w:tab w:val="num" w:pos="900"/>
        </w:tabs>
        <w:ind w:left="900" w:hanging="0"/>
      </w:pPr>
      <w:rPr/>
    </w:lvl>
    <w:lvl w:ilvl="2">
      <w:start w:val="1"/>
      <w:numFmt w:val="lowerLetter"/>
      <w:lvlText w:val="(%3)"/>
      <w:lvlJc w:val="left"/>
      <w:pPr>
        <w:tabs>
          <w:tab w:val="num" w:pos="-180"/>
        </w:tabs>
        <w:ind w:left="180" w:hanging="432"/>
      </w:pPr>
      <w:rPr/>
    </w:lvl>
    <w:lvl w:ilvl="3">
      <w:start w:val="1"/>
      <w:numFmt w:val="lowerRoman"/>
      <w:lvlText w:val="(%4)"/>
      <w:lvlJc w:val="right"/>
      <w:pPr>
        <w:tabs>
          <w:tab w:val="num" w:pos="-36"/>
        </w:tabs>
        <w:ind w:left="36" w:hanging="144"/>
      </w:pPr>
      <w:rPr/>
    </w:lvl>
    <w:lvl w:ilvl="4">
      <w:start w:val="1"/>
      <w:numFmt w:val="decimal"/>
      <w:lvlText w:val="%5)"/>
      <w:lvlJc w:val="left"/>
      <w:pPr>
        <w:tabs>
          <w:tab w:val="num" w:pos="2232"/>
        </w:tabs>
        <w:ind w:left="2232" w:hanging="432"/>
      </w:pPr>
      <w:rPr/>
    </w:lvl>
    <w:lvl w:ilvl="5">
      <w:start w:val="1"/>
      <w:numFmt w:val="lowerLetter"/>
      <w:lvlText w:val="%6)"/>
      <w:lvlJc w:val="left"/>
      <w:pPr>
        <w:tabs>
          <w:tab w:val="num" w:pos="252"/>
        </w:tabs>
        <w:ind w:left="252" w:hanging="432"/>
      </w:pPr>
      <w:rPr/>
    </w:lvl>
    <w:lvl w:ilvl="6">
      <w:start w:val="1"/>
      <w:numFmt w:val="lowerRoman"/>
      <w:lvlText w:val="%7)"/>
      <w:lvlJc w:val="right"/>
      <w:pPr>
        <w:tabs>
          <w:tab w:val="num" w:pos="396"/>
        </w:tabs>
        <w:ind w:left="396" w:hanging="288"/>
      </w:pPr>
      <w:rPr/>
    </w:lvl>
    <w:lvl w:ilvl="7">
      <w:start w:val="1"/>
      <w:numFmt w:val="lowerLetter"/>
      <w:lvlText w:val="%8."/>
      <w:lvlJc w:val="left"/>
      <w:pPr>
        <w:tabs>
          <w:tab w:val="num" w:pos="540"/>
        </w:tabs>
        <w:ind w:left="540" w:hanging="432"/>
      </w:pPr>
      <w:rPr/>
    </w:lvl>
    <w:lvl w:ilvl="8">
      <w:start w:val="1"/>
      <w:numFmt w:val="lowerRoman"/>
      <w:lvlText w:val="%9."/>
      <w:lvlJc w:val="right"/>
      <w:pPr>
        <w:tabs>
          <w:tab w:val="num" w:pos="684"/>
        </w:tabs>
        <w:ind w:left="684" w:hanging="144"/>
      </w:pPr>
      <w:rPr/>
    </w:lvl>
  </w:abstractNum>
  <w:abstractNum w:abstractNumId="2">
    <w:lvl w:ilvl="0">
      <w:numFmt w:val="bullet"/>
      <w:lvlText w:val="-"/>
      <w:lvlJc w:val="left"/>
      <w:pPr>
        <w:ind w:left="720" w:hanging="360"/>
      </w:pPr>
      <w:rPr>
        <w:rFonts w:ascii="Times New Roman" w:hAnsi="Times New Roman" w:cs="Times New Roman" w:hint="default"/>
        <w:sz w:val="20"/>
        <w:szCs w:val="20"/>
        <w:rFonts w:cs="Times New Roman"/>
      </w:rPr>
    </w:lvl>
  </w:abstractNum>
  <w:abstractNum w:abstractNumId="3">
    <w:lvl w:ilvl="0">
      <w:numFmt w:val="bullet"/>
      <w:lvlText w:val="-"/>
      <w:lvlJc w:val="left"/>
      <w:pPr>
        <w:tabs>
          <w:tab w:val="num" w:pos="720"/>
        </w:tabs>
        <w:ind w:left="720" w:hanging="360"/>
      </w:pPr>
      <w:rPr>
        <w:rFonts w:ascii="Arial" w:hAnsi="Arial" w:cs="Arial" w:hint="default"/>
        <w:sz w:val="20"/>
        <w:szCs w:val="20"/>
        <w:rFonts w:cs="Aria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spacing w:before="240" w:after="60"/>
      <w:outlineLvl w:val="0"/>
      <w:outlineLvl w:val="0"/>
    </w:pPr>
    <w:rPr>
      <w:rFonts w:ascii="Arial" w:hAnsi="Arial" w:cs="Arial"/>
      <w:b/>
      <w:bCs/>
      <w:sz w:val="32"/>
      <w:szCs w:val="32"/>
    </w:rPr>
  </w:style>
  <w:style w:type="paragraph" w:styleId="Heading2">
    <w:name w:val="Heading 2"/>
    <w:basedOn w:val="Normal"/>
    <w:next w:val="Normal"/>
    <w:qFormat/>
    <w:pPr>
      <w:keepNext/>
      <w:numPr>
        <w:ilvl w:val="1"/>
        <w:numId w:val="1"/>
      </w:numPr>
      <w:spacing w:before="240" w:after="60"/>
      <w:outlineLvl w:val="1"/>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outlineLvl w:val="3"/>
    </w:pPr>
    <w:rPr>
      <w:b/>
      <w:bCs/>
      <w:sz w:val="28"/>
      <w:szCs w:val="28"/>
    </w:rPr>
  </w:style>
  <w:style w:type="paragraph" w:styleId="Heading5">
    <w:name w:val="Heading 5"/>
    <w:basedOn w:val="Normal"/>
    <w:next w:val="Normal"/>
    <w:qFormat/>
    <w:pPr>
      <w:numPr>
        <w:ilvl w:val="4"/>
        <w:numId w:val="1"/>
      </w:numPr>
      <w:spacing w:before="240" w:after="60"/>
      <w:outlineLvl w:val="4"/>
      <w:outlineLvl w:val="4"/>
    </w:pPr>
    <w:rPr>
      <w:rFonts w:ascii="Verdana" w:hAnsi="Verdana" w:cs="Verdana"/>
      <w:b/>
      <w:bCs/>
      <w:i/>
      <w:iCs/>
      <w:sz w:val="26"/>
      <w:szCs w:val="26"/>
    </w:rPr>
  </w:style>
  <w:style w:type="paragraph" w:styleId="Heading6">
    <w:name w:val="Heading 6"/>
    <w:basedOn w:val="Normal"/>
    <w:next w:val="Normal"/>
    <w:qFormat/>
    <w:pPr>
      <w:numPr>
        <w:ilvl w:val="5"/>
        <w:numId w:val="1"/>
      </w:numPr>
      <w:spacing w:before="240" w:after="60"/>
      <w:outlineLvl w:val="5"/>
      <w:outlineLvl w:val="5"/>
    </w:pPr>
    <w:rPr>
      <w:b/>
      <w:bCs/>
      <w:sz w:val="22"/>
      <w:szCs w:val="22"/>
    </w:rPr>
  </w:style>
  <w:style w:type="paragraph" w:styleId="Heading7">
    <w:name w:val="Heading 7"/>
    <w:basedOn w:val="Normal"/>
    <w:next w:val="Normal"/>
    <w:qFormat/>
    <w:pPr>
      <w:numPr>
        <w:ilvl w:val="6"/>
        <w:numId w:val="1"/>
      </w:numPr>
      <w:spacing w:before="240" w:after="60"/>
      <w:outlineLvl w:val="6"/>
      <w:outlineLvl w:val="6"/>
    </w:pPr>
    <w:rPr/>
  </w:style>
  <w:style w:type="paragraph" w:styleId="Heading8">
    <w:name w:val="Heading 8"/>
    <w:basedOn w:val="Normal"/>
    <w:next w:val="Normal"/>
    <w:qFormat/>
    <w:pPr>
      <w:numPr>
        <w:ilvl w:val="7"/>
        <w:numId w:val="1"/>
      </w:numPr>
      <w:spacing w:before="240" w:after="60"/>
      <w:outlineLvl w:val="7"/>
      <w:outlineLvl w:val="7"/>
    </w:pPr>
    <w:rPr>
      <w:i/>
      <w:iCs/>
    </w:rPr>
  </w:style>
  <w:style w:type="paragraph" w:styleId="Heading9">
    <w:name w:val="Heading 9"/>
    <w:basedOn w:val="Normal"/>
    <w:next w:val="Normal"/>
    <w:qFormat/>
    <w:pPr>
      <w:numPr>
        <w:ilvl w:val="8"/>
        <w:numId w:val="1"/>
      </w:numPr>
      <w:spacing w:before="240" w:after="60"/>
      <w:outlineLvl w:val="8"/>
      <w:outlineLvl w:val="8"/>
    </w:pPr>
    <w:rPr>
      <w:rFonts w:ascii="Arial" w:hAnsi="Arial" w:cs="Arial"/>
      <w:sz w:val="22"/>
      <w:szCs w:val="22"/>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Verdana" w:hAnsi="Verdana"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eastAsia="Times New Roman" w:cs="Wingdings"/>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Times New Roman" w:hAnsi="Times New Roman" w:eastAsia="Times New Roman" w:cs="Times New Roman"/>
      <w:sz w:val="20"/>
      <w:szCs w:val="20"/>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rFonts w:ascii="Arial" w:hAnsi="Arial" w:eastAsia="Times New Roman" w:cs="Arial"/>
      <w:sz w:val="20"/>
      <w:szCs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Times New Roman" w:hAnsi="Times New Roman" w:eastAsia="Times New Roman" w:cs="Times New Roman"/>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Policepardfaut">
    <w:name w:val="Police par défaut"/>
    <w:qFormat/>
    <w:rPr/>
  </w:style>
  <w:style w:type="character" w:styleId="PageNumber">
    <w:name w:val="Page Number"/>
    <w:basedOn w:val="Policepardfaut"/>
    <w:rPr/>
  </w:style>
  <w:style w:type="character" w:styleId="Marquedecommentaire">
    <w:name w:val="Marque de commentaire"/>
    <w:qFormat/>
    <w:rPr>
      <w:sz w:val="16"/>
      <w:szCs w:val="16"/>
    </w:rPr>
  </w:style>
  <w:style w:type="character" w:styleId="PieddepageCar">
    <w:name w:val="Pied de page Car"/>
    <w:qFormat/>
    <w:rPr>
      <w:rFonts w:ascii="Verdana" w:hAnsi="Verdana" w:cs="Verdana"/>
      <w:sz w:val="24"/>
      <w:szCs w:val="24"/>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rPr>
      <w:sz w:val="22"/>
      <w:szCs w:val="22"/>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rFonts w:ascii="Verdana" w:hAnsi="Verdana" w:cs="Verdana"/>
    </w:rPr>
  </w:style>
  <w:style w:type="paragraph" w:styleId="Header">
    <w:name w:val="Header"/>
    <w:basedOn w:val="Normal"/>
    <w:pPr>
      <w:tabs>
        <w:tab w:val="center" w:pos="4536" w:leader="none"/>
        <w:tab w:val="right" w:pos="9072" w:leader="none"/>
      </w:tabs>
    </w:pPr>
    <w:rPr>
      <w:rFonts w:ascii="Verdana" w:hAnsi="Verdana" w:cs="Verdana"/>
    </w:rPr>
  </w:style>
  <w:style w:type="paragraph" w:styleId="Corpsdetexte2">
    <w:name w:val="Corps de texte 2"/>
    <w:basedOn w:val="Normal"/>
    <w:qFormat/>
    <w:pPr>
      <w:jc w:val="both"/>
    </w:pPr>
    <w:rPr>
      <w:b/>
      <w:bCs/>
      <w:sz w:val="22"/>
      <w:szCs w:val="22"/>
    </w:rPr>
  </w:style>
  <w:style w:type="paragraph" w:styleId="Listecontinue">
    <w:name w:val="Liste continue"/>
    <w:basedOn w:val="Normal"/>
    <w:qFormat/>
    <w:pPr>
      <w:spacing w:before="0" w:after="120"/>
      <w:ind w:left="283" w:hanging="0"/>
    </w:pPr>
    <w:rPr/>
  </w:style>
  <w:style w:type="paragraph" w:styleId="Corpsdetexte3">
    <w:name w:val="Corps de texte 3"/>
    <w:basedOn w:val="Normal"/>
    <w:qFormat/>
    <w:pPr>
      <w:jc w:val="both"/>
    </w:pPr>
    <w:rPr>
      <w:sz w:val="22"/>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2018-07-20T14:34:00Z</dcterms:created>
  <dc:language>en-GB</dc:language>
  <cp:lastPrinted>2018-05-18T18:13:00Z</cp:lastPrinted>
  <dcterms:modified xsi:type="dcterms:W3CDTF">2018-07-20T14:34:00Z</dcterms:modified>
  <cp:revision>2</cp:revision>
  <dc:title>projet</dc:title>
</cp:coreProperties>
</file>