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pBdr>
          <w:top w:val="single" w:sz="4" w:space="1" w:color="000000"/>
          <w:left w:val="single" w:sz="4" w:space="4" w:color="000000"/>
          <w:bottom w:val="single" w:sz="4" w:space="1" w:color="000000"/>
          <w:right w:val="single" w:sz="4" w:space="4" w:color="000000"/>
        </w:pBdr>
        <w:shd w:fill="F2F2F2" w:val="clear"/>
        <w:spacing w:before="360" w:after="120"/>
        <w:jc w:val="center"/>
        <w:rPr>
          <w:b/>
          <w:b/>
          <w:bCs/>
          <w:sz w:val="28"/>
          <w:szCs w:val="28"/>
        </w:rPr>
      </w:pPr>
      <w:r>
        <w:rPr>
          <w:rFonts w:eastAsia="Calibri"/>
          <w:b/>
          <w:bCs/>
          <w:sz w:val="24"/>
        </w:rPr>
        <w:t xml:space="preserve"> </w:t>
      </w:r>
      <w:r>
        <w:rPr>
          <w:b/>
          <w:bCs/>
          <w:sz w:val="28"/>
          <w:szCs w:val="28"/>
        </w:rPr>
        <w:t>ACCORD RELATIF A L’AUGMENTATION DU CONTINGENT D’HEURES SUPPLEMENTAIRES</w:t>
      </w:r>
    </w:p>
    <w:p>
      <w:pPr>
        <w:pStyle w:val="Normal"/>
        <w:rPr>
          <w:b/>
          <w:b/>
          <w:bCs/>
          <w:sz w:val="24"/>
          <w:szCs w:val="28"/>
        </w:rPr>
      </w:pPr>
      <w:r>
        <w:rPr>
          <w:b/>
          <w:bCs/>
          <w:sz w:val="24"/>
          <w:szCs w:val="28"/>
        </w:rPr>
      </w:r>
    </w:p>
    <w:p>
      <w:pPr>
        <w:pStyle w:val="Normal"/>
        <w:rPr>
          <w:sz w:val="24"/>
        </w:rPr>
      </w:pPr>
      <w:r>
        <w:rPr>
          <w:b/>
          <w:bCs/>
          <w:sz w:val="24"/>
        </w:rPr>
        <w:t>ENTRE LES SOUSSIGNES :</w:t>
      </w:r>
    </w:p>
    <w:p>
      <w:pPr>
        <w:pStyle w:val="Normal"/>
        <w:rPr>
          <w:sz w:val="24"/>
        </w:rPr>
      </w:pPr>
      <w:r>
        <w:rPr>
          <w:sz w:val="24"/>
        </w:rPr>
      </w:r>
    </w:p>
    <w:p>
      <w:pPr>
        <w:pStyle w:val="Normal"/>
        <w:spacing w:before="0" w:after="0"/>
        <w:jc w:val="left"/>
        <w:rPr/>
      </w:pPr>
      <w:r>
        <w:rPr>
          <w:b/>
          <w:bCs/>
          <w:sz w:val="24"/>
        </w:rPr>
        <w:t>Printemps Logistique</w:t>
      </w:r>
      <w:r>
        <w:rPr>
          <w:sz w:val="24"/>
        </w:rPr>
        <w:t xml:space="preserve"> Société par Actions Simplifiée au capital de : 304 000€</w:t>
      </w:r>
    </w:p>
    <w:p>
      <w:pPr>
        <w:pStyle w:val="Normal"/>
        <w:spacing w:before="0" w:after="0"/>
        <w:jc w:val="left"/>
        <w:rPr>
          <w:sz w:val="24"/>
        </w:rPr>
      </w:pPr>
      <w:r>
        <w:rPr>
          <w:sz w:val="24"/>
        </w:rPr>
        <w:t>dont le siège social est situé au 102 rue de Provence – 75009 – PARIS</w:t>
      </w:r>
    </w:p>
    <w:p>
      <w:pPr>
        <w:pStyle w:val="Normal"/>
        <w:spacing w:before="0" w:after="0"/>
        <w:jc w:val="left"/>
        <w:rPr>
          <w:sz w:val="24"/>
        </w:rPr>
      </w:pPr>
      <w:r>
        <w:rPr>
          <w:sz w:val="24"/>
        </w:rPr>
        <w:t>Immatriculée au RCS  PARIS  B  n° de gestion 92  B  03622, SIRET  384   686  788 00041</w:t>
      </w:r>
    </w:p>
    <w:p>
      <w:pPr>
        <w:pStyle w:val="Normal"/>
        <w:spacing w:before="0" w:after="0"/>
        <w:jc w:val="left"/>
        <w:rPr/>
      </w:pPr>
      <w:r>
        <w:rPr>
          <w:sz w:val="24"/>
        </w:rPr>
        <w:t>Représentée par, Directeur Logistique</w:t>
      </w:r>
    </w:p>
    <w:p>
      <w:pPr>
        <w:pStyle w:val="Normal"/>
        <w:rPr>
          <w:rFonts w:cs="Arial"/>
          <w:sz w:val="24"/>
        </w:rPr>
      </w:pPr>
      <w:r>
        <w:rPr>
          <w:rFonts w:cs="Arial"/>
          <w:sz w:val="24"/>
        </w:rPr>
      </w:r>
    </w:p>
    <w:p>
      <w:pPr>
        <w:pStyle w:val="Normal"/>
        <w:jc w:val="right"/>
        <w:rPr>
          <w:rFonts w:cs="Arial"/>
          <w:sz w:val="24"/>
        </w:rPr>
      </w:pPr>
      <w:r>
        <w:rPr>
          <w:rFonts w:cs="Arial"/>
          <w:sz w:val="24"/>
        </w:rPr>
        <w:t>D’une part,</w:t>
      </w:r>
    </w:p>
    <w:p>
      <w:pPr>
        <w:pStyle w:val="Normal"/>
        <w:ind w:right="7938" w:hanging="0"/>
        <w:jc w:val="left"/>
        <w:rPr>
          <w:rFonts w:cs="Arial"/>
          <w:b/>
          <w:b/>
          <w:sz w:val="24"/>
        </w:rPr>
      </w:pPr>
      <w:r>
        <w:rPr>
          <w:rFonts w:cs="Arial"/>
          <w:b/>
          <w:sz w:val="24"/>
        </w:rPr>
        <w:t>ET :</w:t>
      </w:r>
    </w:p>
    <w:p>
      <w:pPr>
        <w:pStyle w:val="Normal"/>
        <w:rPr>
          <w:rFonts w:cs="Arial"/>
          <w:sz w:val="24"/>
        </w:rPr>
      </w:pPr>
      <w:r>
        <w:rPr>
          <w:rFonts w:cs="Arial"/>
          <w:sz w:val="24"/>
        </w:rPr>
        <w:t>Les Organisations Syndicales représentatives du personnel de Printemps Logistique, signataires représentées respectivement par :</w:t>
      </w:r>
    </w:p>
    <w:p>
      <w:pPr>
        <w:pStyle w:val="Normal"/>
        <w:spacing w:before="0" w:after="0"/>
        <w:jc w:val="left"/>
        <w:rPr>
          <w:rFonts w:cs="Arial"/>
          <w:sz w:val="24"/>
        </w:rPr>
      </w:pPr>
      <w:r>
        <w:rPr>
          <w:rFonts w:cs="Arial"/>
          <w:sz w:val="24"/>
        </w:rPr>
      </w:r>
    </w:p>
    <w:p>
      <w:pPr>
        <w:pStyle w:val="Normal"/>
        <w:spacing w:before="0" w:after="0"/>
        <w:jc w:val="left"/>
        <w:rPr>
          <w:rFonts w:cs="Arial"/>
          <w:sz w:val="24"/>
        </w:rPr>
      </w:pPr>
      <w:r>
        <w:rPr>
          <w:rFonts w:cs="Arial"/>
          <w:sz w:val="24"/>
        </w:rPr>
      </w:r>
    </w:p>
    <w:p>
      <w:pPr>
        <w:pStyle w:val="Normal"/>
        <w:keepNext/>
        <w:numPr>
          <w:ilvl w:val="0"/>
          <w:numId w:val="0"/>
        </w:numPr>
        <w:spacing w:before="0" w:after="0"/>
        <w:jc w:val="left"/>
        <w:outlineLvl w:val="0"/>
        <w:rPr>
          <w:b/>
          <w:b/>
          <w:bCs/>
          <w:sz w:val="24"/>
        </w:rPr>
      </w:pPr>
      <w:r>
        <w:rPr>
          <w:b/>
          <w:bCs/>
          <w:sz w:val="24"/>
        </w:rPr>
        <w:t>Le syndicat CFE/CGC</w:t>
      </w:r>
    </w:p>
    <w:p>
      <w:pPr>
        <w:pStyle w:val="Normal"/>
        <w:spacing w:before="0" w:after="0"/>
        <w:jc w:val="left"/>
        <w:rPr>
          <w:sz w:val="24"/>
        </w:rPr>
      </w:pPr>
      <w:r>
        <w:rPr>
          <w:sz w:val="24"/>
        </w:rPr>
        <w:t xml:space="preserve">Représenté par </w:t>
      </w:r>
    </w:p>
    <w:p>
      <w:pPr>
        <w:pStyle w:val="Normal"/>
        <w:spacing w:before="0" w:after="0"/>
        <w:jc w:val="left"/>
        <w:rPr>
          <w:sz w:val="24"/>
        </w:rPr>
      </w:pPr>
      <w:r>
        <w:rPr>
          <w:sz w:val="24"/>
        </w:rPr>
        <w:t>Dûment mandaté à cet effet,</w:t>
      </w:r>
    </w:p>
    <w:p>
      <w:pPr>
        <w:pStyle w:val="Normal"/>
        <w:spacing w:before="0" w:after="0"/>
        <w:jc w:val="left"/>
        <w:rPr>
          <w:b/>
          <w:b/>
          <w:bCs/>
          <w:sz w:val="24"/>
        </w:rPr>
      </w:pPr>
      <w:r>
        <w:rPr>
          <w:b/>
          <w:bCs/>
          <w:sz w:val="24"/>
        </w:rPr>
      </w:r>
    </w:p>
    <w:p>
      <w:pPr>
        <w:pStyle w:val="Normal"/>
        <w:spacing w:before="0" w:after="0"/>
        <w:jc w:val="left"/>
        <w:rPr>
          <w:b/>
          <w:b/>
          <w:bCs/>
          <w:sz w:val="24"/>
        </w:rPr>
      </w:pPr>
      <w:r>
        <w:rPr>
          <w:b/>
          <w:bCs/>
          <w:sz w:val="24"/>
        </w:rPr>
      </w:r>
    </w:p>
    <w:p>
      <w:pPr>
        <w:pStyle w:val="Normal"/>
        <w:keepNext/>
        <w:numPr>
          <w:ilvl w:val="0"/>
          <w:numId w:val="0"/>
        </w:numPr>
        <w:spacing w:before="0" w:after="0"/>
        <w:jc w:val="left"/>
        <w:outlineLvl w:val="0"/>
        <w:rPr>
          <w:b/>
          <w:b/>
          <w:bCs/>
          <w:sz w:val="24"/>
        </w:rPr>
      </w:pPr>
      <w:r>
        <w:rPr>
          <w:b/>
          <w:bCs/>
          <w:sz w:val="24"/>
        </w:rPr>
        <w:t>Le syndicat CFTC – CSFV</w:t>
      </w:r>
    </w:p>
    <w:p>
      <w:pPr>
        <w:pStyle w:val="Normal"/>
        <w:spacing w:before="0" w:after="0"/>
        <w:jc w:val="left"/>
        <w:rPr>
          <w:sz w:val="24"/>
        </w:rPr>
      </w:pPr>
      <w:r>
        <w:rPr>
          <w:sz w:val="24"/>
        </w:rPr>
        <w:t xml:space="preserve">Représenté par </w:t>
      </w:r>
    </w:p>
    <w:p>
      <w:pPr>
        <w:pStyle w:val="Normal"/>
        <w:spacing w:before="0" w:after="0"/>
        <w:jc w:val="left"/>
        <w:rPr>
          <w:sz w:val="24"/>
        </w:rPr>
      </w:pPr>
      <w:r>
        <w:rPr>
          <w:sz w:val="24"/>
        </w:rPr>
        <w:t>Dûment mandatée à cet effet,</w:t>
      </w:r>
    </w:p>
    <w:p>
      <w:pPr>
        <w:pStyle w:val="Normal"/>
        <w:spacing w:before="0" w:after="0"/>
        <w:jc w:val="left"/>
        <w:rPr>
          <w:b/>
          <w:b/>
          <w:bCs/>
          <w:sz w:val="24"/>
        </w:rPr>
      </w:pPr>
      <w:r>
        <w:rPr>
          <w:b/>
          <w:bCs/>
          <w:sz w:val="24"/>
        </w:rPr>
      </w:r>
    </w:p>
    <w:p>
      <w:pPr>
        <w:pStyle w:val="Normal"/>
        <w:spacing w:before="0" w:after="0"/>
        <w:jc w:val="left"/>
        <w:rPr>
          <w:b/>
          <w:b/>
          <w:bCs/>
          <w:sz w:val="24"/>
        </w:rPr>
      </w:pPr>
      <w:r>
        <w:rPr>
          <w:b/>
          <w:bCs/>
          <w:sz w:val="24"/>
        </w:rPr>
      </w:r>
    </w:p>
    <w:p>
      <w:pPr>
        <w:pStyle w:val="Normal"/>
        <w:keepNext/>
        <w:numPr>
          <w:ilvl w:val="0"/>
          <w:numId w:val="0"/>
        </w:numPr>
        <w:spacing w:before="0" w:after="0"/>
        <w:jc w:val="left"/>
        <w:outlineLvl w:val="0"/>
        <w:rPr>
          <w:b/>
          <w:b/>
          <w:bCs/>
          <w:sz w:val="24"/>
        </w:rPr>
      </w:pPr>
      <w:r>
        <w:rPr>
          <w:b/>
          <w:bCs/>
          <w:sz w:val="24"/>
        </w:rPr>
        <w:t>Le syndicat CGT</w:t>
      </w:r>
    </w:p>
    <w:p>
      <w:pPr>
        <w:pStyle w:val="Normal"/>
        <w:spacing w:before="0" w:after="0"/>
        <w:jc w:val="left"/>
        <w:rPr>
          <w:sz w:val="24"/>
        </w:rPr>
      </w:pPr>
      <w:r>
        <w:rPr>
          <w:sz w:val="24"/>
        </w:rPr>
        <w:t xml:space="preserve">Représenté par </w:t>
      </w:r>
    </w:p>
    <w:p>
      <w:pPr>
        <w:pStyle w:val="Normal"/>
        <w:spacing w:before="0" w:after="0"/>
        <w:jc w:val="left"/>
        <w:rPr>
          <w:sz w:val="24"/>
        </w:rPr>
      </w:pPr>
      <w:r>
        <w:rPr>
          <w:sz w:val="24"/>
        </w:rPr>
        <w:t>Dûment mandatée à cet effet,</w:t>
      </w:r>
    </w:p>
    <w:p>
      <w:pPr>
        <w:pStyle w:val="Normal"/>
        <w:spacing w:before="0" w:after="0"/>
        <w:jc w:val="left"/>
        <w:rPr>
          <w:sz w:val="24"/>
        </w:rPr>
      </w:pPr>
      <w:r>
        <w:rPr>
          <w:sz w:val="24"/>
        </w:rPr>
      </w:r>
    </w:p>
    <w:p>
      <w:pPr>
        <w:pStyle w:val="Normal"/>
        <w:spacing w:before="0" w:after="0"/>
        <w:jc w:val="left"/>
        <w:rPr>
          <w:sz w:val="24"/>
        </w:rPr>
      </w:pPr>
      <w:r>
        <w:rPr>
          <w:sz w:val="24"/>
        </w:rPr>
      </w:r>
    </w:p>
    <w:p>
      <w:pPr>
        <w:pStyle w:val="Normal"/>
        <w:spacing w:before="0" w:after="0"/>
        <w:jc w:val="left"/>
        <w:rPr/>
      </w:pPr>
      <w:r>
        <w:rPr>
          <w:b/>
          <w:sz w:val="24"/>
        </w:rPr>
        <w:t>Le syndicat FO</w:t>
      </w:r>
    </w:p>
    <w:p>
      <w:pPr>
        <w:pStyle w:val="Normal"/>
        <w:spacing w:before="0" w:after="0"/>
        <w:jc w:val="left"/>
        <w:rPr>
          <w:sz w:val="24"/>
        </w:rPr>
      </w:pPr>
      <w:r>
        <w:rPr>
          <w:sz w:val="24"/>
        </w:rPr>
        <w:t xml:space="preserve">Représenté par </w:t>
      </w:r>
    </w:p>
    <w:p>
      <w:pPr>
        <w:pStyle w:val="Normal"/>
        <w:spacing w:before="0" w:after="0"/>
        <w:jc w:val="left"/>
        <w:rPr>
          <w:sz w:val="24"/>
        </w:rPr>
      </w:pPr>
      <w:r>
        <w:rPr>
          <w:sz w:val="24"/>
        </w:rPr>
        <w:t>Dûment mandatée à cet effet</w:t>
      </w:r>
    </w:p>
    <w:p>
      <w:pPr>
        <w:pStyle w:val="Normal"/>
        <w:spacing w:before="0" w:after="0"/>
        <w:rPr>
          <w:sz w:val="24"/>
        </w:rPr>
      </w:pPr>
      <w:r>
        <w:rPr>
          <w:sz w:val="24"/>
        </w:rPr>
      </w:r>
    </w:p>
    <w:p>
      <w:pPr>
        <w:pStyle w:val="Normal"/>
        <w:spacing w:before="0" w:after="0"/>
        <w:jc w:val="right"/>
        <w:rPr>
          <w:sz w:val="24"/>
        </w:rPr>
      </w:pPr>
      <w:r>
        <w:rPr>
          <w:sz w:val="24"/>
        </w:rPr>
        <w:t>D’autre part,</w:t>
      </w:r>
    </w:p>
    <w:p>
      <w:pPr>
        <w:pStyle w:val="Normal"/>
        <w:spacing w:before="0" w:after="0"/>
        <w:jc w:val="right"/>
        <w:rPr>
          <w:sz w:val="24"/>
        </w:rPr>
      </w:pPr>
      <w:r>
        <w:rPr>
          <w:sz w:val="24"/>
        </w:rPr>
      </w:r>
    </w:p>
    <w:p>
      <w:pPr>
        <w:pStyle w:val="Heading"/>
        <w:rPr>
          <w:sz w:val="24"/>
        </w:rPr>
      </w:pPr>
      <w:r>
        <w:rPr>
          <w:sz w:val="24"/>
        </w:rPr>
      </w:r>
      <w:r>
        <w:br w:type="page"/>
      </w:r>
    </w:p>
    <w:p>
      <w:pPr>
        <w:pStyle w:val="Heading"/>
        <w:rPr>
          <w:sz w:val="24"/>
          <w:szCs w:val="24"/>
        </w:rPr>
      </w:pPr>
      <w:r>
        <w:rPr>
          <w:sz w:val="24"/>
          <w:szCs w:val="24"/>
        </w:rPr>
        <w:t>PREAMBULE</w:t>
      </w:r>
    </w:p>
    <w:p>
      <w:pPr>
        <w:pStyle w:val="NormalWeb"/>
        <w:spacing w:before="120" w:after="0"/>
        <w:jc w:val="both"/>
        <w:rPr>
          <w:rFonts w:ascii="Calibri" w:hAnsi="Calibri" w:cs="Arial"/>
          <w:spacing w:val="-6"/>
        </w:rPr>
      </w:pPr>
      <w:r>
        <w:rPr>
          <w:rFonts w:cs="Arial" w:ascii="Calibri" w:hAnsi="Calibri"/>
          <w:spacing w:val="-6"/>
        </w:rPr>
        <w:t xml:space="preserve">La convention collective nationale des Maisons à succursales de vente au détail d’habillement (IDCC 675), par laquelle la société est régie, prévoit en son article 4 de l’avenant n°42 du 05 juillet 2001 que le contingent d’heures supplémentaires rémunérées est fixé à 130 heures. Le Code du travail limite quant à lui le recours aux heures supplémentaires payées à 220 heures par an. </w:t>
      </w:r>
    </w:p>
    <w:p>
      <w:pPr>
        <w:pStyle w:val="NormalWeb"/>
        <w:spacing w:before="120" w:after="0"/>
        <w:jc w:val="both"/>
        <w:rPr>
          <w:rFonts w:ascii="Calibri" w:hAnsi="Calibri" w:cs="Arial"/>
          <w:spacing w:val="-6"/>
        </w:rPr>
      </w:pPr>
      <w:r>
        <w:rPr>
          <w:rFonts w:cs="Arial" w:ascii="Calibri" w:hAnsi="Calibri"/>
          <w:spacing w:val="-6"/>
        </w:rPr>
        <w:t>La société permet aux collaborateurs, lorsque la période le justifie, de réaliser des heures supplémentaires. Au choix du salarié, ces heures peuvent être rémunérées ou récupérées. Il est entendu que les heures donnant droit à un repos compensateur de remplacement n’entrent pas dans le contingent d’heures supplémentaires.</w:t>
      </w:r>
    </w:p>
    <w:p>
      <w:pPr>
        <w:pStyle w:val="NormalWeb"/>
        <w:jc w:val="both"/>
        <w:rPr>
          <w:rFonts w:ascii="Calibri" w:hAnsi="Calibri" w:cs="Arial"/>
          <w:spacing w:val="-6"/>
        </w:rPr>
      </w:pPr>
      <w:r>
        <w:rPr>
          <w:rFonts w:cs="Arial" w:ascii="Calibri" w:hAnsi="Calibri"/>
          <w:spacing w:val="-6"/>
        </w:rPr>
        <w:t xml:space="preserve">L’activité de la société est conditionnée par une forte saisonnalité. Afin de limiter le recours au travail précaire durant ces périodes charnières, les partenaires sociaux ont convenu de la nécessité d’augmenter le contingent d’heures supplémentaires rémunérées. </w:t>
      </w:r>
    </w:p>
    <w:p>
      <w:pPr>
        <w:pStyle w:val="NormalWeb"/>
        <w:spacing w:before="120" w:after="0"/>
        <w:jc w:val="both"/>
        <w:rPr>
          <w:rFonts w:ascii="Calibri" w:hAnsi="Calibri" w:cs="Arial"/>
          <w:spacing w:val="-6"/>
        </w:rPr>
      </w:pPr>
      <w:r>
        <w:rPr>
          <w:rFonts w:cs="Arial" w:ascii="Calibri" w:hAnsi="Calibri"/>
          <w:spacing w:val="-6"/>
        </w:rPr>
        <w:t>Le présent accord s’inscrit dans le cadre de la loi Travail du 08 août 2016 relative à la négociation collective et l’article L.3121-33 du Code du travail permettant de fixer le contingent d’heures supplémentaires par voie d’accord d’entreprise.</w:t>
      </w:r>
    </w:p>
    <w:p>
      <w:pPr>
        <w:pStyle w:val="NormalWeb"/>
        <w:jc w:val="both"/>
        <w:rPr>
          <w:rFonts w:ascii="Calibri" w:hAnsi="Calibri" w:cs="Arial"/>
          <w:spacing w:val="-6"/>
        </w:rPr>
      </w:pPr>
      <w:r>
        <w:rPr>
          <w:rFonts w:cs="Arial" w:ascii="Calibri" w:hAnsi="Calibri"/>
          <w:spacing w:val="-6"/>
        </w:rPr>
        <w:t>Dans ce contexte, les parties se sont rencontrées le 19 novembre 2019, et ont convenu de ce qui suit :</w:t>
      </w:r>
    </w:p>
    <w:p>
      <w:pPr>
        <w:pStyle w:val="Normal"/>
        <w:spacing w:before="0" w:after="0"/>
        <w:rPr>
          <w:rFonts w:ascii="Calibri" w:hAnsi="Calibri" w:cs="Calibri"/>
          <w:b/>
          <w:b/>
          <w:spacing w:val="-6"/>
          <w:sz w:val="24"/>
        </w:rPr>
      </w:pPr>
      <w:r>
        <w:rPr>
          <w:rFonts w:cs="Calibri"/>
          <w:b/>
          <w:spacing w:val="-6"/>
          <w:sz w:val="24"/>
        </w:rPr>
      </w:r>
    </w:p>
    <w:p>
      <w:pPr>
        <w:pStyle w:val="Normal"/>
        <w:spacing w:before="0" w:after="0"/>
        <w:rPr>
          <w:rFonts w:cs="Calibri"/>
          <w:b/>
          <w:b/>
          <w:sz w:val="24"/>
        </w:rPr>
      </w:pPr>
      <w:r>
        <w:rPr>
          <w:rFonts w:cs="Calibri"/>
          <w:b/>
          <w:sz w:val="24"/>
        </w:rPr>
        <w:t>Article 1 – Champ d’application</w:t>
      </w:r>
    </w:p>
    <w:p>
      <w:pPr>
        <w:pStyle w:val="Normal"/>
        <w:spacing w:before="120" w:after="120"/>
        <w:rPr>
          <w:rFonts w:cs="Arial"/>
          <w:spacing w:val="-6"/>
          <w:sz w:val="24"/>
        </w:rPr>
      </w:pPr>
      <w:r>
        <w:rPr>
          <w:rFonts w:cs="Arial"/>
          <w:spacing w:val="-6"/>
          <w:sz w:val="24"/>
        </w:rPr>
        <w:t>Le présent accord s’applique à l’ensemble des collaborateurs non cadres de la société Printemps Logistique.</w:t>
      </w:r>
    </w:p>
    <w:p>
      <w:pPr>
        <w:pStyle w:val="Normal"/>
        <w:spacing w:before="0" w:after="0"/>
        <w:rPr>
          <w:rFonts w:cs="Calibri"/>
          <w:spacing w:val="-6"/>
          <w:sz w:val="24"/>
        </w:rPr>
      </w:pPr>
      <w:r>
        <w:rPr>
          <w:rFonts w:cs="Calibri"/>
          <w:spacing w:val="-6"/>
          <w:sz w:val="24"/>
        </w:rPr>
      </w:r>
    </w:p>
    <w:p>
      <w:pPr>
        <w:pStyle w:val="Normal"/>
        <w:spacing w:before="0" w:after="0"/>
        <w:rPr/>
      </w:pPr>
      <w:r>
        <w:rPr>
          <w:rFonts w:cs="Calibri"/>
          <w:b/>
          <w:sz w:val="24"/>
        </w:rPr>
        <w:t xml:space="preserve">Article 2 – Fixation du contingent d’heures supplémentaires </w:t>
      </w:r>
    </w:p>
    <w:p>
      <w:pPr>
        <w:pStyle w:val="NormalWeb"/>
        <w:spacing w:before="120" w:after="0"/>
        <w:jc w:val="both"/>
        <w:rPr>
          <w:rFonts w:ascii="Calibri" w:hAnsi="Calibri" w:cs="Arial"/>
          <w:spacing w:val="-6"/>
        </w:rPr>
      </w:pPr>
      <w:r>
        <w:rPr>
          <w:rFonts w:cs="Arial" w:ascii="Calibri" w:hAnsi="Calibri"/>
          <w:spacing w:val="-6"/>
        </w:rPr>
        <w:t>Les parties ont rappelé l’importance de respecter le droit au repos de chaque collaborateur, ainsi que l’équilibre vie privée/vie professionnelle qui peut notamment dépendre du nombre d’heures travaillées.</w:t>
      </w:r>
    </w:p>
    <w:p>
      <w:pPr>
        <w:pStyle w:val="NormalWeb"/>
        <w:spacing w:before="120" w:after="0"/>
        <w:jc w:val="both"/>
        <w:rPr>
          <w:rFonts w:ascii="Calibri" w:hAnsi="Calibri" w:cs="Arial"/>
          <w:spacing w:val="-6"/>
        </w:rPr>
      </w:pPr>
      <w:r>
        <w:rPr>
          <w:rFonts w:cs="Arial" w:ascii="Calibri" w:hAnsi="Calibri"/>
          <w:spacing w:val="-6"/>
        </w:rPr>
        <w:t>Ceci étant précisé, afin de laisser la possibilité aux collaborateurs qui le souhaitent d’augmenter leur pouvoir d’achat par le biais d’une augmentation de leur rémunération, les parties ont convenu de fixer le contingent d’heures supplémentaires payées à 350 heures annuelles.</w:t>
      </w:r>
    </w:p>
    <w:p>
      <w:pPr>
        <w:pStyle w:val="NormalWeb"/>
        <w:spacing w:before="120" w:after="0"/>
        <w:jc w:val="both"/>
        <w:rPr>
          <w:rFonts w:ascii="Calibri" w:hAnsi="Calibri" w:cs="Arial"/>
          <w:spacing w:val="-6"/>
        </w:rPr>
      </w:pPr>
      <w:r>
        <w:rPr>
          <w:rFonts w:cs="Arial" w:ascii="Calibri" w:hAnsi="Calibri"/>
          <w:spacing w:val="-6"/>
        </w:rPr>
        <w:t>Il est rappelé que seules les heures réalisées au-delà de la durée du travail applicable à l’entreprise, ouvrant droit à majoration et paiement, incrémentent le contingent d’heures supplémentaires.</w:t>
      </w:r>
    </w:p>
    <w:p>
      <w:pPr>
        <w:pStyle w:val="NormalWeb"/>
        <w:spacing w:before="120" w:after="0"/>
        <w:jc w:val="both"/>
        <w:rPr>
          <w:rFonts w:ascii="Calibri" w:hAnsi="Calibri" w:cs="Arial"/>
          <w:spacing w:val="-6"/>
        </w:rPr>
      </w:pPr>
      <w:r>
        <w:rPr>
          <w:rFonts w:cs="Arial" w:ascii="Calibri" w:hAnsi="Calibri"/>
          <w:spacing w:val="-6"/>
        </w:rPr>
        <w:t>Les partenaires sociaux conviennent que l’ensemble des dispositions relatives aux durées maximales de travail journalier et hebdomadaire, ainsi que les durées minimales de repos seront respectées.</w:t>
      </w:r>
    </w:p>
    <w:p>
      <w:pPr>
        <w:pStyle w:val="NormalWeb"/>
        <w:spacing w:before="120" w:after="0"/>
        <w:jc w:val="both"/>
        <w:rPr>
          <w:rFonts w:ascii="Calibri" w:hAnsi="Calibri" w:cs="Arial"/>
          <w:spacing w:val="-6"/>
        </w:rPr>
      </w:pPr>
      <w:r>
        <w:rPr>
          <w:rFonts w:cs="Arial" w:ascii="Calibri" w:hAnsi="Calibri"/>
          <w:spacing w:val="-6"/>
        </w:rPr>
        <w:t xml:space="preserve">Lorsque le plafond du contingent d’heures supplémentaires sera proche d’être atteint, il appartiendra aux responsables hiérarchiques de déterminer si les heures réalisées peuvent être rémunérées, ou faire l’objet de repos compensateur de remplacement.  </w:t>
      </w:r>
    </w:p>
    <w:p>
      <w:pPr>
        <w:pStyle w:val="Normal"/>
        <w:spacing w:before="0" w:after="0"/>
        <w:rPr>
          <w:rFonts w:cs="Calibri"/>
          <w:b/>
          <w:b/>
          <w:sz w:val="24"/>
        </w:rPr>
      </w:pPr>
      <w:r>
        <w:rPr>
          <w:rFonts w:cs="Calibri"/>
          <w:b/>
          <w:sz w:val="24"/>
        </w:rPr>
        <w:t>Article 3 – Entrée en vigueur et durée</w:t>
      </w:r>
    </w:p>
    <w:p>
      <w:pPr>
        <w:pStyle w:val="Normal"/>
        <w:spacing w:before="0" w:after="0"/>
        <w:rPr>
          <w:rFonts w:cs="Calibri"/>
          <w:b/>
          <w:b/>
          <w:sz w:val="24"/>
        </w:rPr>
      </w:pPr>
      <w:r>
        <w:rPr>
          <w:rFonts w:cs="Calibri"/>
          <w:b/>
          <w:sz w:val="24"/>
        </w:rPr>
      </w:r>
    </w:p>
    <w:p>
      <w:pPr>
        <w:pStyle w:val="Normal"/>
        <w:spacing w:before="0" w:after="0"/>
        <w:rPr>
          <w:rFonts w:cs="Arial"/>
          <w:spacing w:val="-6"/>
          <w:sz w:val="24"/>
        </w:rPr>
      </w:pPr>
      <w:r>
        <w:rPr>
          <w:rFonts w:cs="Arial"/>
          <w:spacing w:val="-6"/>
          <w:sz w:val="24"/>
        </w:rPr>
        <w:t>Le présent accord entrera en vigueur à compter du 19 novembre 2019.</w:t>
      </w:r>
    </w:p>
    <w:p>
      <w:pPr>
        <w:pStyle w:val="Normal"/>
        <w:spacing w:before="0" w:after="0"/>
        <w:rPr>
          <w:rFonts w:cs="Arial"/>
          <w:spacing w:val="-6"/>
          <w:sz w:val="24"/>
        </w:rPr>
      </w:pPr>
      <w:r>
        <w:rPr>
          <w:rFonts w:cs="Arial"/>
          <w:spacing w:val="-6"/>
          <w:sz w:val="24"/>
        </w:rPr>
      </w:r>
    </w:p>
    <w:p>
      <w:pPr>
        <w:pStyle w:val="NormalWeb"/>
        <w:spacing w:before="0" w:after="0"/>
        <w:jc w:val="both"/>
        <w:rPr>
          <w:rFonts w:ascii="Calibri" w:hAnsi="Calibri" w:cs="Arial"/>
          <w:spacing w:val="-6"/>
        </w:rPr>
      </w:pPr>
      <w:r>
        <w:rPr>
          <w:rFonts w:cs="Arial" w:ascii="Calibri" w:hAnsi="Calibri"/>
          <w:spacing w:val="-6"/>
        </w:rPr>
        <w:t>Il s’appliquera pour une durée déterminée, et couvrira la période du 1</w:t>
      </w:r>
      <w:r>
        <w:rPr>
          <w:rFonts w:cs="Arial" w:ascii="Calibri" w:hAnsi="Calibri"/>
          <w:spacing w:val="-6"/>
          <w:vertAlign w:val="superscript"/>
        </w:rPr>
        <w:t>er</w:t>
      </w:r>
      <w:r>
        <w:rPr>
          <w:rFonts w:cs="Arial" w:ascii="Calibri" w:hAnsi="Calibri"/>
          <w:spacing w:val="-6"/>
        </w:rPr>
        <w:t xml:space="preserve"> juin 2019 au 31 mai 2020, sans tacite reconduction.</w:t>
      </w:r>
    </w:p>
    <w:p>
      <w:pPr>
        <w:pStyle w:val="NormalWeb"/>
        <w:spacing w:before="0" w:after="0"/>
        <w:jc w:val="both"/>
        <w:rPr>
          <w:rFonts w:ascii="Calibri" w:hAnsi="Calibri" w:cs="Arial"/>
          <w:spacing w:val="-6"/>
        </w:rPr>
      </w:pPr>
      <w:r>
        <w:rPr>
          <w:rFonts w:cs="Arial" w:ascii="Calibri" w:hAnsi="Calibri"/>
          <w:spacing w:val="-6"/>
        </w:rPr>
      </w:r>
    </w:p>
    <w:p>
      <w:pPr>
        <w:pStyle w:val="NormalWeb"/>
        <w:spacing w:before="0" w:after="0"/>
        <w:jc w:val="both"/>
        <w:rPr>
          <w:rFonts w:ascii="Calibri" w:hAnsi="Calibri" w:cs="Calibri"/>
          <w:b/>
          <w:b/>
        </w:rPr>
      </w:pPr>
      <w:r>
        <w:rPr>
          <w:rFonts w:cs="Calibri" w:ascii="Calibri" w:hAnsi="Calibri"/>
          <w:b/>
        </w:rPr>
        <w:t>Article 4 – Notification, dépôt et publicité</w:t>
      </w:r>
    </w:p>
    <w:p>
      <w:pPr>
        <w:pStyle w:val="Normal"/>
        <w:rPr/>
      </w:pPr>
      <w:r>
        <w:rPr>
          <w:sz w:val="24"/>
        </w:rPr>
        <w:t>Le présent accord sera notifié, une fois signé, à l’ensemble des organisations syndicales représentatives de l’entreprise.</w:t>
      </w:r>
    </w:p>
    <w:p>
      <w:pPr>
        <w:pStyle w:val="Normal"/>
        <w:rPr>
          <w:sz w:val="24"/>
        </w:rPr>
      </w:pPr>
      <w:r>
        <w:rPr>
          <w:sz w:val="24"/>
        </w:rPr>
        <w:t xml:space="preserve">Il sera déposé, conformément aux dispositions de l’article D.2231-2 du Code du travail : </w:t>
      </w:r>
    </w:p>
    <w:p>
      <w:pPr>
        <w:pStyle w:val="Normal"/>
        <w:numPr>
          <w:ilvl w:val="0"/>
          <w:numId w:val="2"/>
        </w:numPr>
        <w:spacing w:before="0" w:after="0"/>
        <w:rPr/>
      </w:pPr>
      <w:r>
        <w:rPr>
          <w:sz w:val="24"/>
        </w:rPr>
        <w:t>Selon la procédure de télétransmission aux services de la DIRECCTE, conformément aux dispositions en vigueur ;</w:t>
      </w:r>
    </w:p>
    <w:p>
      <w:pPr>
        <w:pStyle w:val="Normal"/>
        <w:numPr>
          <w:ilvl w:val="0"/>
          <w:numId w:val="2"/>
        </w:numPr>
        <w:spacing w:before="0" w:after="0"/>
        <w:rPr>
          <w:sz w:val="24"/>
        </w:rPr>
      </w:pPr>
      <w:r>
        <w:rPr>
          <w:sz w:val="24"/>
        </w:rPr>
        <w:t>En un exemplaire au greffe du Conseil de prud’hommes du lieu de conclusion de l’accord.</w:t>
      </w:r>
    </w:p>
    <w:p>
      <w:pPr>
        <w:pStyle w:val="Normal"/>
        <w:rPr>
          <w:sz w:val="24"/>
        </w:rPr>
      </w:pPr>
      <w:r>
        <w:rPr>
          <w:sz w:val="24"/>
        </w:rPr>
        <w:t>Il sera publié dans les conditions prévues par :</w:t>
      </w:r>
    </w:p>
    <w:p>
      <w:pPr>
        <w:pStyle w:val="Normal"/>
        <w:numPr>
          <w:ilvl w:val="0"/>
          <w:numId w:val="2"/>
        </w:numPr>
        <w:spacing w:before="0" w:after="0"/>
        <w:rPr/>
      </w:pPr>
      <w:r>
        <w:rPr>
          <w:sz w:val="24"/>
        </w:rPr>
        <w:t>La loi n°2016-1088 du 08 août 2016 relative au travail, à la modernisation du dialogue social et à la sécurisation des parcours professionnels,</w:t>
      </w:r>
    </w:p>
    <w:p>
      <w:pPr>
        <w:pStyle w:val="Normal"/>
        <w:numPr>
          <w:ilvl w:val="0"/>
          <w:numId w:val="2"/>
        </w:numPr>
        <w:spacing w:before="0" w:after="0"/>
        <w:rPr>
          <w:sz w:val="24"/>
        </w:rPr>
      </w:pPr>
      <w:r>
        <w:rPr>
          <w:sz w:val="24"/>
        </w:rPr>
        <w:t>Le décret n°2017-752 du 3 mai 2017 relatif à la publicité des accords collectifs.</w:t>
      </w:r>
    </w:p>
    <w:p>
      <w:pPr>
        <w:pStyle w:val="Normal"/>
        <w:spacing w:before="0" w:after="0"/>
        <w:rPr>
          <w:sz w:val="24"/>
        </w:rPr>
      </w:pPr>
      <w:r>
        <w:rPr>
          <w:sz w:val="24"/>
        </w:rPr>
      </w:r>
    </w:p>
    <w:p>
      <w:pPr>
        <w:pStyle w:val="Normal"/>
        <w:spacing w:before="0" w:after="0"/>
        <w:ind w:left="5664" w:hanging="0"/>
        <w:rPr>
          <w:sz w:val="24"/>
        </w:rPr>
      </w:pPr>
      <w:r>
        <w:rPr>
          <w:sz w:val="24"/>
        </w:rPr>
      </w:r>
    </w:p>
    <w:p>
      <w:pPr>
        <w:pStyle w:val="Normal"/>
        <w:spacing w:before="0" w:after="0"/>
        <w:ind w:left="5664" w:hanging="0"/>
        <w:rPr>
          <w:sz w:val="24"/>
        </w:rPr>
      </w:pPr>
      <w:r>
        <w:rPr>
          <w:sz w:val="24"/>
        </w:rPr>
      </w:r>
    </w:p>
    <w:p>
      <w:pPr>
        <w:pStyle w:val="Normal"/>
        <w:spacing w:before="0" w:after="0"/>
        <w:ind w:left="5664" w:hanging="0"/>
        <w:rPr>
          <w:sz w:val="24"/>
        </w:rPr>
      </w:pPr>
      <w:r>
        <w:rPr>
          <w:sz w:val="24"/>
        </w:rPr>
        <w:t>Fait à la Houssaye en Brie,</w:t>
      </w:r>
    </w:p>
    <w:p>
      <w:pPr>
        <w:pStyle w:val="Normal"/>
        <w:spacing w:before="0" w:after="0"/>
        <w:rPr>
          <w:sz w:val="24"/>
        </w:rPr>
      </w:pPr>
      <w:r>
        <w:rPr>
          <w:sz w:val="24"/>
        </w:rPr>
        <w:tab/>
        <w:tab/>
        <w:tab/>
        <w:t xml:space="preserve">                                                           </w:t>
        <w:tab/>
        <w:t>Le 19 novembre 2019</w:t>
      </w:r>
    </w:p>
    <w:p>
      <w:pPr>
        <w:pStyle w:val="Normal"/>
        <w:spacing w:before="0" w:after="0"/>
        <w:rPr>
          <w:i/>
          <w:i/>
          <w:iCs/>
          <w:sz w:val="24"/>
        </w:rPr>
      </w:pPr>
      <w:r>
        <w:rPr>
          <w:i/>
          <w:iCs/>
          <w:sz w:val="24"/>
        </w:rPr>
      </w:r>
    </w:p>
    <w:p>
      <w:pPr>
        <w:pStyle w:val="Normal"/>
        <w:spacing w:before="0" w:after="0"/>
        <w:rPr>
          <w:i/>
          <w:i/>
          <w:iCs/>
          <w:sz w:val="24"/>
        </w:rPr>
      </w:pPr>
      <w:r>
        <w:rPr>
          <w:i/>
          <w:iCs/>
          <w:sz w:val="24"/>
        </w:rPr>
      </w:r>
    </w:p>
    <w:p>
      <w:pPr>
        <w:pStyle w:val="Normal"/>
        <w:keepNext/>
        <w:numPr>
          <w:ilvl w:val="0"/>
          <w:numId w:val="0"/>
        </w:numPr>
        <w:spacing w:before="0" w:after="0"/>
        <w:outlineLvl w:val="0"/>
        <w:rPr>
          <w:b/>
          <w:b/>
          <w:bCs/>
          <w:sz w:val="24"/>
        </w:rPr>
      </w:pPr>
      <w:r>
        <w:rPr>
          <w:b/>
          <w:bCs/>
          <w:sz w:val="24"/>
        </w:rPr>
        <w:t>Pour PRINTEMPS LOGISTIQUE</w:t>
      </w:r>
    </w:p>
    <w:p>
      <w:pPr>
        <w:pStyle w:val="Normal"/>
        <w:spacing w:before="0" w:after="0"/>
        <w:rPr>
          <w:sz w:val="24"/>
        </w:rPr>
      </w:pPr>
      <w:r>
        <w:rPr>
          <w:sz w:val="24"/>
        </w:rPr>
        <w:t xml:space="preserve">Représenté par </w:t>
      </w:r>
    </w:p>
    <w:p>
      <w:pPr>
        <w:pStyle w:val="Normal"/>
        <w:spacing w:before="0" w:after="0"/>
        <w:rPr/>
      </w:pPr>
      <w:r>
        <w:rPr>
          <w:b/>
          <w:bCs/>
          <w:sz w:val="24"/>
        </w:rPr>
        <w:t>Directeur Logistique</w:t>
      </w:r>
    </w:p>
    <w:p>
      <w:pPr>
        <w:pStyle w:val="Normal"/>
        <w:spacing w:before="0" w:after="0"/>
        <w:rPr>
          <w:b/>
          <w:b/>
          <w:bCs/>
          <w:sz w:val="24"/>
        </w:rPr>
      </w:pPr>
      <w:r>
        <w:rPr>
          <w:b/>
          <w:bCs/>
          <w:sz w:val="24"/>
        </w:rPr>
      </w:r>
    </w:p>
    <w:p>
      <w:pPr>
        <w:pStyle w:val="Normal"/>
        <w:spacing w:before="0" w:after="0"/>
        <w:rPr>
          <w:sz w:val="24"/>
        </w:rPr>
      </w:pPr>
      <w:r>
        <w:rPr>
          <w:sz w:val="24"/>
        </w:rPr>
      </w:r>
    </w:p>
    <w:p>
      <w:pPr>
        <w:pStyle w:val="Normal"/>
        <w:keepNext/>
        <w:numPr>
          <w:ilvl w:val="0"/>
          <w:numId w:val="0"/>
        </w:numPr>
        <w:spacing w:before="0" w:after="0"/>
        <w:jc w:val="left"/>
        <w:outlineLvl w:val="0"/>
        <w:rPr>
          <w:b/>
          <w:b/>
          <w:bCs/>
          <w:sz w:val="24"/>
        </w:rPr>
      </w:pPr>
      <w:r>
        <w:rPr>
          <w:b/>
          <w:bCs/>
          <w:sz w:val="24"/>
        </w:rPr>
        <w:t>Le syndicat CFE/CGC</w:t>
        <w:tab/>
        <w:tab/>
        <w:tab/>
        <w:tab/>
        <w:tab/>
        <w:tab/>
        <w:t>Le syndicat CGT</w:t>
      </w:r>
    </w:p>
    <w:p>
      <w:pPr>
        <w:pStyle w:val="Normal"/>
        <w:spacing w:before="0" w:after="0"/>
        <w:jc w:val="left"/>
        <w:rPr>
          <w:sz w:val="24"/>
        </w:rPr>
      </w:pPr>
      <w:r>
        <w:rPr>
          <w:sz w:val="24"/>
        </w:rPr>
        <w:t>Représenté par</w:t>
        <w:tab/>
        <w:tab/>
        <w:tab/>
        <w:tab/>
        <w:tab/>
        <w:tab/>
        <w:t xml:space="preserve">Représenté par </w:t>
      </w:r>
    </w:p>
    <w:p>
      <w:pPr>
        <w:pStyle w:val="Normal"/>
        <w:spacing w:before="0" w:after="0"/>
        <w:jc w:val="left"/>
        <w:rPr>
          <w:b/>
          <w:b/>
          <w:sz w:val="24"/>
        </w:rPr>
      </w:pPr>
      <w:r>
        <w:rPr>
          <w:sz w:val="24"/>
        </w:rPr>
        <w:t>Dûment mandaté à cet effet,</w:t>
        <w:tab/>
        <w:tab/>
        <w:tab/>
        <w:tab/>
        <w:tab/>
        <w:t>Dûment mandatée à cet effet,</w:t>
      </w:r>
    </w:p>
    <w:p>
      <w:pPr>
        <w:pStyle w:val="Normal"/>
        <w:spacing w:before="0" w:after="0"/>
        <w:jc w:val="left"/>
        <w:rPr>
          <w:b/>
          <w:b/>
          <w:bCs/>
          <w:sz w:val="24"/>
        </w:rPr>
      </w:pPr>
      <w:r>
        <w:rPr>
          <w:b/>
          <w:bCs/>
          <w:sz w:val="24"/>
        </w:rPr>
      </w:r>
    </w:p>
    <w:p>
      <w:pPr>
        <w:pStyle w:val="Normal"/>
        <w:spacing w:before="0" w:after="0"/>
        <w:jc w:val="left"/>
        <w:rPr>
          <w:b/>
          <w:b/>
          <w:bCs/>
          <w:sz w:val="24"/>
        </w:rPr>
      </w:pPr>
      <w:r>
        <w:rPr>
          <w:b/>
          <w:bCs/>
          <w:sz w:val="24"/>
        </w:rPr>
      </w:r>
    </w:p>
    <w:p>
      <w:pPr>
        <w:pStyle w:val="Normal"/>
        <w:keepNext/>
        <w:numPr>
          <w:ilvl w:val="0"/>
          <w:numId w:val="0"/>
        </w:numPr>
        <w:spacing w:before="0" w:after="0"/>
        <w:jc w:val="left"/>
        <w:outlineLvl w:val="0"/>
        <w:rPr>
          <w:b/>
          <w:b/>
          <w:bCs/>
          <w:sz w:val="24"/>
        </w:rPr>
      </w:pPr>
      <w:r>
        <w:rPr>
          <w:b/>
          <w:bCs/>
          <w:sz w:val="24"/>
        </w:rPr>
        <w:t>Le syndicat CFTC – CSFV</w:t>
        <w:tab/>
        <w:tab/>
        <w:tab/>
        <w:tab/>
        <w:tab/>
        <w:t>Le syndicat FO</w:t>
      </w:r>
    </w:p>
    <w:p>
      <w:pPr>
        <w:pStyle w:val="Normal"/>
        <w:spacing w:before="0" w:after="0"/>
        <w:jc w:val="left"/>
        <w:rPr>
          <w:sz w:val="24"/>
        </w:rPr>
      </w:pPr>
      <w:r>
        <w:rPr>
          <w:sz w:val="24"/>
        </w:rPr>
        <w:t>Représenté par</w:t>
        <w:tab/>
        <w:tab/>
        <w:tab/>
        <w:tab/>
        <w:tab/>
        <w:tab/>
        <w:t xml:space="preserve">Représenté par </w:t>
      </w:r>
    </w:p>
    <w:p>
      <w:pPr>
        <w:pStyle w:val="Normal"/>
        <w:spacing w:before="0" w:after="0"/>
        <w:jc w:val="left"/>
        <w:rPr/>
      </w:pPr>
      <w:r>
        <w:rPr>
          <w:sz w:val="24"/>
        </w:rPr>
        <w:t>Dûment mandatée à cet effet,</w:t>
        <w:tab/>
        <w:tab/>
        <w:tab/>
        <w:tab/>
        <w:t>Dûment mandatée à cet effet,</w:t>
      </w:r>
    </w:p>
    <w:sectPr>
      <w:footerReference w:type="default" r:id="rId2"/>
      <w:type w:val="nextPage"/>
      <w:pgSz w:w="11906" w:h="16838"/>
      <w:pgMar w:left="1418" w:right="1418" w:header="0" w:top="1418" w:footer="284" w:bottom="1418"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Symbol">
    <w:charset w:val="01"/>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Consolas">
    <w:charset w:val="00"/>
    <w:family w:val="modern"/>
    <w:pitch w:val="default"/>
  </w:font>
  <w:font w:name="Cambria">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tabs>
        <w:tab w:val="left" w:pos="1200" w:leader="none"/>
        <w:tab w:val="center" w:pos="4536" w:leader="none"/>
        <w:tab w:val="right" w:pos="9072" w:leader="none"/>
      </w:tabs>
      <w:spacing w:before="240" w:after="120"/>
      <w:rPr>
        <w:rStyle w:val="PageNumber"/>
        <w:rFonts w:ascii="Arial" w:hAnsi="Arial" w:cs="Arial"/>
        <w:i/>
        <w:i/>
        <w:sz w:val="16"/>
        <w:szCs w:val="16"/>
        <w:lang w:val="fr-FR"/>
      </w:rPr>
    </w:pPr>
    <w:r>
      <w:rPr>
        <w:rFonts w:cs="Arial" w:ascii="Arial" w:hAnsi="Arial"/>
        <w:i/>
        <w:sz w:val="16"/>
        <w:szCs w:val="16"/>
        <w:lang w:val="fr-FR"/>
      </w:rPr>
      <w:t xml:space="preserve">Printemps Logistique </w:t>
    </w:r>
    <w:r>
      <w:rPr>
        <w:rFonts w:cs="Arial" w:ascii="Arial" w:hAnsi="Arial"/>
        <w:i/>
        <w:sz w:val="16"/>
        <w:szCs w:val="16"/>
      </w:rPr>
      <w:tab/>
    </w:r>
    <w:r>
      <w:rPr>
        <w:rStyle w:val="PageNumber"/>
        <w:rFonts w:cs="Arial" w:ascii="Arial" w:hAnsi="Arial"/>
        <w:i/>
        <w:sz w:val="16"/>
        <w:szCs w:val="16"/>
      </w:rPr>
      <w:fldChar w:fldCharType="begin"/>
    </w:r>
    <w:r>
      <w:instrText> PAGE </w:instrText>
    </w:r>
    <w:r>
      <w:fldChar w:fldCharType="separate"/>
    </w:r>
    <w:r>
      <w:t>3</w:t>
    </w:r>
    <w:r>
      <w:fldChar w:fldCharType="end"/>
    </w:r>
    <w:r>
      <w:rPr>
        <w:rStyle w:val="PageNumber"/>
        <w:rFonts w:cs="Arial" w:ascii="Arial" w:hAnsi="Arial"/>
        <w:i/>
        <w:sz w:val="16"/>
        <w:szCs w:val="16"/>
      </w:rPr>
      <w:t>/</w:t>
    </w:r>
    <w:r>
      <w:rPr>
        <w:rStyle w:val="PageNumber"/>
        <w:rFonts w:cs="Arial" w:ascii="Arial" w:hAnsi="Arial"/>
        <w:i/>
        <w:sz w:val="16"/>
        <w:szCs w:val="16"/>
      </w:rPr>
      <w:fldChar w:fldCharType="begin"/>
    </w:r>
    <w:r>
      <w:instrText> NUMPAGES \* ARABIC </w:instrText>
    </w:r>
    <w:r>
      <w:fldChar w:fldCharType="separate"/>
    </w:r>
    <w:r>
      <w:t>3</w:t>
    </w:r>
    <w:r>
      <w:fldChar w:fldCharType="end"/>
    </w:r>
    <w:r>
      <w:rPr>
        <w:rStyle w:val="PageNumber"/>
        <w:rFonts w:cs="Arial" w:ascii="Arial" w:hAnsi="Arial"/>
        <w:i/>
        <w:sz w:val="16"/>
        <w:szCs w:val="16"/>
      </w:rPr>
      <w:tab/>
      <w:t xml:space="preserve">- </w:t>
    </w:r>
    <w:r>
      <w:rPr>
        <w:rStyle w:val="PageNumber"/>
        <w:rFonts w:cs="Arial" w:ascii="Arial" w:hAnsi="Arial"/>
        <w:i/>
        <w:sz w:val="16"/>
        <w:szCs w:val="16"/>
        <w:lang w:val="fr-FR"/>
      </w:rPr>
      <w:t>Accord</w:t>
    </w:r>
    <w:r>
      <w:rPr>
        <w:rStyle w:val="PageNumber"/>
        <w:rFonts w:cs="Arial" w:ascii="Arial" w:hAnsi="Arial"/>
        <w:i/>
        <w:sz w:val="16"/>
        <w:szCs w:val="16"/>
      </w:rPr>
      <w:t xml:space="preserve"> </w:t>
    </w:r>
    <w:r>
      <w:rPr>
        <w:rStyle w:val="PageNumber"/>
        <w:rFonts w:cs="Arial" w:ascii="Arial" w:hAnsi="Arial"/>
        <w:i/>
        <w:sz w:val="16"/>
        <w:szCs w:val="16"/>
        <w:lang w:val="fr-FR"/>
      </w:rPr>
      <w:t>contingent heures supplémentaire – Novembre 2019</w:t>
    </w:r>
  </w:p>
  <w:p>
    <w:pPr>
      <w:pStyle w:val="Footer"/>
      <w:spacing w:before="240" w:after="120"/>
      <w:jc w:val="right"/>
      <w:rPr>
        <w:rStyle w:val="PageNumber"/>
        <w:rFonts w:ascii="Arial" w:hAnsi="Arial" w:cs="Arial"/>
        <w:i/>
        <w:i/>
        <w:sz w:val="16"/>
        <w:szCs w:val="16"/>
        <w:lang w:val="fr-F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lvl w:ilvl="0">
      <w:start w:val="4"/>
      <w:numFmt w:val="bullet"/>
      <w:lvlText w:val="-"/>
      <w:lvlJc w:val="left"/>
      <w:pPr>
        <w:ind w:left="720" w:hanging="360"/>
      </w:pPr>
      <w:rPr>
        <w:rFonts w:ascii="Calibri" w:hAnsi="Calibri" w:cs="Calibri" w:hint="default"/>
        <w:sz w:val="24"/>
        <w:rFonts w:cs="Calibri"/>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pPrDefault>
  </w:docDefaults>
  <w:style w:type="paragraph" w:styleId="Normal">
    <w:name w:val="Normal"/>
    <w:qFormat/>
    <w:pPr>
      <w:widowControl/>
      <w:bidi w:val="0"/>
      <w:spacing w:before="240" w:after="120"/>
      <w:jc w:val="both"/>
    </w:pPr>
    <w:rPr>
      <w:rFonts w:ascii="Calibri" w:hAnsi="Calibri" w:eastAsia="Times New Roman" w:cs="Calibri"/>
      <w:color w:val="auto"/>
      <w:sz w:val="22"/>
      <w:szCs w:val="24"/>
      <w:lang w:val="fr-FR" w:bidi="ar-SA" w:eastAsia="zh-CN"/>
    </w:rPr>
  </w:style>
  <w:style w:type="paragraph" w:styleId="Heading1">
    <w:name w:val="Heading 1"/>
    <w:basedOn w:val="Normal"/>
    <w:next w:val="Normal"/>
    <w:qFormat/>
    <w:pPr>
      <w:keepNext/>
      <w:numPr>
        <w:ilvl w:val="0"/>
        <w:numId w:val="1"/>
      </w:numPr>
      <w:pBdr>
        <w:bottom w:val="single" w:sz="4" w:space="1" w:color="000000"/>
      </w:pBdr>
      <w:spacing w:before="360" w:after="360"/>
      <w:outlineLvl w:val="0"/>
      <w:outlineLvl w:val="0"/>
    </w:pPr>
    <w:rPr>
      <w:b/>
      <w:bCs/>
      <w:sz w:val="28"/>
    </w:rPr>
  </w:style>
  <w:style w:type="paragraph" w:styleId="Heading2">
    <w:name w:val="Heading 2"/>
    <w:basedOn w:val="Normal"/>
    <w:next w:val="Normal"/>
    <w:qFormat/>
    <w:pPr>
      <w:keepNext/>
      <w:numPr>
        <w:ilvl w:val="1"/>
        <w:numId w:val="1"/>
      </w:numPr>
      <w:spacing w:before="240" w:after="60"/>
      <w:outlineLvl w:val="1"/>
      <w:outlineLvl w:val="1"/>
    </w:pPr>
    <w:rPr>
      <w:b/>
      <w:bCs/>
      <w:iCs/>
      <w:sz w:val="24"/>
      <w:szCs w:val="28"/>
      <w:lang w:val="en-GB"/>
    </w:rPr>
  </w:style>
  <w:style w:type="paragraph" w:styleId="Heading3">
    <w:name w:val="Heading 3"/>
    <w:basedOn w:val="Normal"/>
    <w:next w:val="Normal"/>
    <w:qFormat/>
    <w:pPr>
      <w:keepNext/>
      <w:numPr>
        <w:ilvl w:val="2"/>
        <w:numId w:val="1"/>
      </w:numPr>
      <w:spacing w:before="120" w:after="120"/>
      <w:outlineLvl w:val="2"/>
      <w:outlineLvl w:val="2"/>
    </w:pPr>
    <w:rPr>
      <w:b/>
      <w:bCs/>
      <w:szCs w:val="26"/>
      <w:lang w:val="en-GB"/>
    </w:rPr>
  </w:style>
  <w:style w:type="paragraph" w:styleId="Heading4">
    <w:name w:val="Heading 4"/>
    <w:basedOn w:val="Normal"/>
    <w:next w:val="Normal"/>
    <w:qFormat/>
    <w:pPr>
      <w:keepNext/>
      <w:numPr>
        <w:ilvl w:val="3"/>
        <w:numId w:val="1"/>
      </w:numPr>
      <w:spacing w:before="240" w:after="60"/>
      <w:outlineLvl w:val="3"/>
      <w:outlineLvl w:val="3"/>
    </w:pPr>
    <w:rPr>
      <w:b/>
      <w:bCs/>
      <w:sz w:val="28"/>
      <w:szCs w:val="28"/>
      <w:lang w:val="en-GB"/>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5z1">
    <w:name w:val="WW8Num5z1"/>
    <w:qFormat/>
    <w:rPr/>
  </w:style>
  <w:style w:type="character" w:styleId="WW8Num6z0">
    <w:name w:val="WW8Num6z0"/>
    <w:qFormat/>
    <w:rPr>
      <w:rFonts w:ascii="Calibri" w:hAnsi="Calibri" w:eastAsia="Times New Roman" w:cs="Calibri"/>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style>
  <w:style w:type="character" w:styleId="WW8Num9z1">
    <w:name w:val="WW8Num9z1"/>
    <w:qFormat/>
    <w:rPr/>
  </w:style>
  <w:style w:type="character" w:styleId="WW8Num9z2">
    <w:name w:val="WW8Num9z2"/>
    <w:qFormat/>
    <w:rPr/>
  </w:style>
  <w:style w:type="character" w:styleId="WW8Num9z3">
    <w:name w:val="WW8Num9z3"/>
    <w:qFormat/>
    <w:rPr/>
  </w:style>
  <w:style w:type="character" w:styleId="WW8Num9z4">
    <w:name w:val="WW8Num9z4"/>
    <w:qFormat/>
    <w:rPr/>
  </w:style>
  <w:style w:type="character" w:styleId="WW8Num9z5">
    <w:name w:val="WW8Num9z5"/>
    <w:qFormat/>
    <w:rPr/>
  </w:style>
  <w:style w:type="character" w:styleId="WW8Num9z6">
    <w:name w:val="WW8Num9z6"/>
    <w:qFormat/>
    <w:rPr/>
  </w:style>
  <w:style w:type="character" w:styleId="WW8Num9z7">
    <w:name w:val="WW8Num9z7"/>
    <w:qFormat/>
    <w:rPr/>
  </w:style>
  <w:style w:type="character" w:styleId="WW8Num9z8">
    <w:name w:val="WW8Num9z8"/>
    <w:qFormat/>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b/>
    </w:rPr>
  </w:style>
  <w:style w:type="character" w:styleId="WW8Num11z3">
    <w:name w:val="WW8Num11z3"/>
    <w:qFormat/>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Times New Roman" w:hAnsi="Times New Roman" w:cs="Times New Roman"/>
      <w:b/>
      <w:spacing w:val="-6"/>
      <w:sz w:val="24"/>
      <w:szCs w:val="24"/>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0">
    <w:name w:val="WW8Num15z0"/>
    <w:qFormat/>
    <w:rPr>
      <w:rFonts w:ascii="Wingdings" w:hAnsi="Wingdings" w:cs="Wingdings"/>
    </w:rPr>
  </w:style>
  <w:style w:type="character" w:styleId="WW8Num15z1">
    <w:name w:val="WW8Num15z1"/>
    <w:qFormat/>
    <w:rPr>
      <w:rFonts w:ascii="Courier New" w:hAnsi="Courier New" w:cs="Courier New"/>
    </w:rPr>
  </w:style>
  <w:style w:type="character" w:styleId="WW8Num15z3">
    <w:name w:val="WW8Num15z3"/>
    <w:qFormat/>
    <w:rPr>
      <w:rFonts w:ascii="Symbol" w:hAnsi="Symbol" w:cs="Symbol"/>
    </w:rPr>
  </w:style>
  <w:style w:type="character" w:styleId="WW8Num16z0">
    <w:name w:val="WW8Num16z0"/>
    <w:qFormat/>
    <w:rPr>
      <w:rFonts w:ascii="Wingdings" w:hAnsi="Wingdings" w:cs="Wingdings"/>
    </w:rPr>
  </w:style>
  <w:style w:type="character" w:styleId="WW8Num16z3">
    <w:name w:val="WW8Num16z3"/>
    <w:qFormat/>
    <w:rPr>
      <w:rFonts w:ascii="Symbol" w:hAnsi="Symbol" w:cs="Symbol"/>
    </w:rPr>
  </w:style>
  <w:style w:type="character" w:styleId="WW8Num16z4">
    <w:name w:val="WW8Num16z4"/>
    <w:qFormat/>
    <w:rPr>
      <w:rFonts w:ascii="Courier New" w:hAnsi="Courier New" w:cs="Courier New"/>
    </w:rPr>
  </w:style>
  <w:style w:type="character" w:styleId="WW8Num17z0">
    <w:name w:val="WW8Num17z0"/>
    <w:qFormat/>
    <w:rPr>
      <w:rFonts w:ascii="Calibri" w:hAnsi="Calibri" w:eastAsia="Calibri" w:cs="Calibri"/>
      <w:sz w:val="21"/>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Wingdings" w:hAnsi="Wingdings" w:cs="Wingdings"/>
    </w:rPr>
  </w:style>
  <w:style w:type="character" w:styleId="WW8Num18z1">
    <w:name w:val="WW8Num18z1"/>
    <w:qFormat/>
    <w:rPr>
      <w:rFonts w:ascii="Calibri" w:hAnsi="Calibri" w:eastAsia="Times New Roman" w:cs="Times New Roman"/>
    </w:rPr>
  </w:style>
  <w:style w:type="character" w:styleId="WW8Num18z3">
    <w:name w:val="WW8Num18z3"/>
    <w:qFormat/>
    <w:rPr>
      <w:rFonts w:ascii="Symbol" w:hAnsi="Symbol" w:cs="Symbol"/>
    </w:rPr>
  </w:style>
  <w:style w:type="character" w:styleId="WW8Num18z4">
    <w:name w:val="WW8Num18z4"/>
    <w:qFormat/>
    <w:rPr>
      <w:rFonts w:ascii="Courier New" w:hAnsi="Courier New" w:cs="Courier New"/>
    </w:rPr>
  </w:style>
  <w:style w:type="character" w:styleId="WW8Num19z0">
    <w:name w:val="WW8Num19z0"/>
    <w:qFormat/>
    <w:rPr>
      <w:rFonts w:ascii="Symbol" w:hAnsi="Symbol" w:cs="Symbol"/>
    </w:rPr>
  </w:style>
  <w:style w:type="character" w:styleId="WW8Num19z1">
    <w:name w:val="WW8Num19z1"/>
    <w:qFormat/>
    <w:rPr>
      <w:rFonts w:ascii="Wingdings" w:hAnsi="Wingdings" w:cs="Wingdings"/>
    </w:rPr>
  </w:style>
  <w:style w:type="character" w:styleId="WW8Num19z4">
    <w:name w:val="WW8Num19z4"/>
    <w:qFormat/>
    <w:rPr>
      <w:rFonts w:ascii="Courier New" w:hAnsi="Courier New" w:cs="Courier New"/>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Wingdings" w:hAnsi="Wingdings" w:cs="Wingdings"/>
    </w:rPr>
  </w:style>
  <w:style w:type="character" w:styleId="WW8Num21z1">
    <w:name w:val="WW8Num21z1"/>
    <w:qFormat/>
    <w:rPr>
      <w:rFonts w:ascii="Calibri" w:hAnsi="Calibri" w:eastAsia="Times New Roman" w:cs="Times New Roman"/>
    </w:rPr>
  </w:style>
  <w:style w:type="character" w:styleId="WW8Num21z2">
    <w:name w:val="WW8Num21z2"/>
    <w:qFormat/>
    <w:rPr>
      <w:rFonts w:ascii="Courier New" w:hAnsi="Courier New" w:cs="Courier New"/>
    </w:rPr>
  </w:style>
  <w:style w:type="character" w:styleId="WW8Num21z3">
    <w:name w:val="WW8Num21z3"/>
    <w:qFormat/>
    <w:rPr>
      <w:rFonts w:ascii="Symbol" w:hAnsi="Symbol" w:cs="Symbol"/>
    </w:rPr>
  </w:style>
  <w:style w:type="character" w:styleId="WW8Num22z0">
    <w:name w:val="WW8Num22z0"/>
    <w:qFormat/>
    <w:rPr>
      <w:rFonts w:ascii="Symbol" w:hAnsi="Symbol" w:cs="Symbol"/>
    </w:rPr>
  </w:style>
  <w:style w:type="character" w:styleId="WW8Num22z1">
    <w:name w:val="WW8Num22z1"/>
    <w:qFormat/>
    <w:rPr>
      <w:rFonts w:ascii="Calibri" w:hAnsi="Calibri" w:eastAsia="Times New Roman" w:cs="Times New Roman"/>
    </w:rPr>
  </w:style>
  <w:style w:type="character" w:styleId="WW8Num22z2">
    <w:name w:val="WW8Num22z2"/>
    <w:qFormat/>
    <w:rPr>
      <w:rFonts w:ascii="Wingdings" w:hAnsi="Wingdings" w:cs="Wingdings"/>
    </w:rPr>
  </w:style>
  <w:style w:type="character" w:styleId="WW8Num22z4">
    <w:name w:val="WW8Num22z4"/>
    <w:qFormat/>
    <w:rPr>
      <w:rFonts w:ascii="Courier New" w:hAnsi="Courier New" w:cs="Courier New"/>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Wingdings" w:hAnsi="Wingdings" w:cs="Wingdings"/>
    </w:rPr>
  </w:style>
  <w:style w:type="character" w:styleId="WW8Num24z3">
    <w:name w:val="WW8Num24z3"/>
    <w:qFormat/>
    <w:rPr>
      <w:rFonts w:ascii="Symbol" w:hAnsi="Symbol" w:cs="Symbol"/>
    </w:rPr>
  </w:style>
  <w:style w:type="character" w:styleId="WW8Num24z4">
    <w:name w:val="WW8Num24z4"/>
    <w:qFormat/>
    <w:rPr>
      <w:rFonts w:ascii="Courier New" w:hAnsi="Courier New" w:cs="Courier New"/>
    </w:rPr>
  </w:style>
  <w:style w:type="character" w:styleId="WW8Num25z0">
    <w:name w:val="WW8Num25z0"/>
    <w:qFormat/>
    <w:rPr>
      <w:rFonts w:ascii="Calibri" w:hAnsi="Calibri" w:eastAsia="Times New Roman" w:cs="Calibri"/>
      <w:sz w:val="24"/>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color w:val="000000"/>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8z3">
    <w:name w:val="WW8Num28z3"/>
    <w:qFormat/>
    <w:rPr>
      <w:rFonts w:ascii="Symbol" w:hAnsi="Symbol" w:cs="Symbol"/>
    </w:rPr>
  </w:style>
  <w:style w:type="character" w:styleId="WW8Num29z0">
    <w:name w:val="WW8Num29z0"/>
    <w:qFormat/>
    <w:rPr>
      <w:rFonts w:ascii="Wingdings" w:hAnsi="Wingdings" w:cs="Wingdings"/>
    </w:rPr>
  </w:style>
  <w:style w:type="character" w:styleId="WW8Num29z3">
    <w:name w:val="WW8Num29z3"/>
    <w:qFormat/>
    <w:rPr>
      <w:rFonts w:ascii="Symbol" w:hAnsi="Symbol" w:cs="Symbol"/>
    </w:rPr>
  </w:style>
  <w:style w:type="character" w:styleId="WW8Num29z4">
    <w:name w:val="WW8Num29z4"/>
    <w:qFormat/>
    <w:rPr>
      <w:rFonts w:ascii="Courier New" w:hAnsi="Courier New" w:cs="Courier New"/>
    </w:rPr>
  </w:style>
  <w:style w:type="character" w:styleId="WW8Num30z0">
    <w:name w:val="WW8Num30z0"/>
    <w:qFormat/>
    <w:rPr/>
  </w:style>
  <w:style w:type="character" w:styleId="WW8Num31z0">
    <w:name w:val="WW8Num31z0"/>
    <w:qFormat/>
    <w:rPr>
      <w:rFonts w:ascii="Wingdings" w:hAnsi="Wingdings" w:cs="Wingdings"/>
    </w:rPr>
  </w:style>
  <w:style w:type="character" w:styleId="WW8Num31z3">
    <w:name w:val="WW8Num31z3"/>
    <w:qFormat/>
    <w:rPr>
      <w:rFonts w:ascii="Symbol" w:hAnsi="Symbol" w:cs="Symbol"/>
    </w:rPr>
  </w:style>
  <w:style w:type="character" w:styleId="WW8Num31z4">
    <w:name w:val="WW8Num31z4"/>
    <w:qFormat/>
    <w:rPr>
      <w:rFonts w:ascii="Courier New" w:hAnsi="Courier New" w:cs="Courier New"/>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Wingdings" w:hAnsi="Wingdings" w:cs="Wingdings"/>
    </w:rPr>
  </w:style>
  <w:style w:type="character" w:styleId="WW8Num33z1">
    <w:name w:val="WW8Num33z1"/>
    <w:qFormat/>
    <w:rPr>
      <w:rFonts w:ascii="Calibri" w:hAnsi="Calibri" w:eastAsia="Times New Roman" w:cs="Times New Roman"/>
    </w:rPr>
  </w:style>
  <w:style w:type="character" w:styleId="WW8Num33z2">
    <w:name w:val="WW8Num33z2"/>
    <w:qFormat/>
    <w:rPr>
      <w:rFonts w:ascii="Courier New" w:hAnsi="Courier New" w:cs="Courier New"/>
    </w:rPr>
  </w:style>
  <w:style w:type="character" w:styleId="WW8Num33z3">
    <w:name w:val="WW8Num33z3"/>
    <w:qFormat/>
    <w:rPr>
      <w:rFonts w:ascii="Symbol" w:hAnsi="Symbol" w:cs="Symbol"/>
    </w:rPr>
  </w:style>
  <w:style w:type="character" w:styleId="WW8Num34z0">
    <w:name w:val="WW8Num34z0"/>
    <w:qFormat/>
    <w:rPr>
      <w:rFonts w:ascii="Symbol" w:hAnsi="Symbol" w:cs="Symbol"/>
    </w:rPr>
  </w:style>
  <w:style w:type="character" w:styleId="WW8Num34z1">
    <w:name w:val="WW8Num34z1"/>
    <w:qFormat/>
    <w:rPr>
      <w:rFonts w:ascii="Calibri" w:hAnsi="Calibri" w:eastAsia="Times New Roman" w:cs="Times New Roman"/>
    </w:rPr>
  </w:style>
  <w:style w:type="character" w:styleId="WW8Num34z2">
    <w:name w:val="WW8Num34z2"/>
    <w:qFormat/>
    <w:rPr>
      <w:rFonts w:ascii="Wingdings" w:hAnsi="Wingdings" w:cs="Wingdings"/>
    </w:rPr>
  </w:style>
  <w:style w:type="character" w:styleId="WW8Num34z4">
    <w:name w:val="WW8Num34z4"/>
    <w:qFormat/>
    <w:rPr>
      <w:rFonts w:ascii="Courier New" w:hAnsi="Courier New" w:cs="Courier New"/>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rFonts w:ascii="Symbol" w:hAnsi="Symbol" w:cs="Symbol"/>
    </w:rPr>
  </w:style>
  <w:style w:type="character" w:styleId="WW8Num36z1">
    <w:name w:val="WW8Num36z1"/>
    <w:qFormat/>
    <w:rPr>
      <w:rFonts w:ascii="Wingdings" w:hAnsi="Wingdings" w:cs="Wingdings"/>
    </w:rPr>
  </w:style>
  <w:style w:type="character" w:styleId="WW8Num36z4">
    <w:name w:val="WW8Num36z4"/>
    <w:qFormat/>
    <w:rPr>
      <w:rFonts w:ascii="Courier New" w:hAnsi="Courier New" w:cs="Courier New"/>
    </w:rPr>
  </w:style>
  <w:style w:type="character" w:styleId="WW8Num37z0">
    <w:name w:val="WW8Num37z0"/>
    <w:qFormat/>
    <w:rPr>
      <w:rFonts w:ascii="Wingdings" w:hAnsi="Wingdings" w:cs="Wingdings"/>
    </w:rPr>
  </w:style>
  <w:style w:type="character" w:styleId="WW8Num37z3">
    <w:name w:val="WW8Num37z3"/>
    <w:qFormat/>
    <w:rPr>
      <w:rFonts w:ascii="Symbol" w:hAnsi="Symbol" w:cs="Symbol"/>
    </w:rPr>
  </w:style>
  <w:style w:type="character" w:styleId="WW8Num37z4">
    <w:name w:val="WW8Num37z4"/>
    <w:qFormat/>
    <w:rPr>
      <w:rFonts w:ascii="Courier New" w:hAnsi="Courier New" w:cs="Courier New"/>
    </w:rPr>
  </w:style>
  <w:style w:type="character" w:styleId="WW8Num38z0">
    <w:name w:val="WW8Num38z0"/>
    <w:qFormat/>
    <w:rPr>
      <w:rFonts w:ascii="Wingdings" w:hAnsi="Wingdings" w:cs="Wingdings"/>
    </w:rPr>
  </w:style>
  <w:style w:type="character" w:styleId="WW8Num38z1">
    <w:name w:val="WW8Num38z1"/>
    <w:qFormat/>
    <w:rPr>
      <w:rFonts w:ascii="Calibri" w:hAnsi="Calibri" w:eastAsia="Times New Roman" w:cs="Times New Roman"/>
    </w:rPr>
  </w:style>
  <w:style w:type="character" w:styleId="WW8Num38z2">
    <w:name w:val="WW8Num38z2"/>
    <w:qFormat/>
    <w:rPr>
      <w:rFonts w:ascii="Courier New" w:hAnsi="Courier New" w:cs="Courier New"/>
    </w:rPr>
  </w:style>
  <w:style w:type="character" w:styleId="WW8Num38z3">
    <w:name w:val="WW8Num38z3"/>
    <w:qFormat/>
    <w:rPr>
      <w:rFonts w:ascii="Symbol" w:hAnsi="Symbol" w:cs="Symbol"/>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0z0">
    <w:name w:val="WW8Num40z0"/>
    <w:qFormat/>
    <w:rPr>
      <w:rFonts w:ascii="Symbol" w:hAnsi="Symbol" w:cs="Symbo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1z0">
    <w:name w:val="WW8Num41z0"/>
    <w:qFormat/>
    <w:rPr>
      <w:rFonts w:ascii="Wingdings" w:hAnsi="Wingdings" w:cs="Wingdings"/>
    </w:rPr>
  </w:style>
  <w:style w:type="character" w:styleId="WW8Num41z1">
    <w:name w:val="WW8Num41z1"/>
    <w:qFormat/>
    <w:rPr>
      <w:rFonts w:ascii="Courier New" w:hAnsi="Courier New" w:cs="Courier New"/>
    </w:rPr>
  </w:style>
  <w:style w:type="character" w:styleId="WW8Num41z3">
    <w:name w:val="WW8Num41z3"/>
    <w:qFormat/>
    <w:rPr>
      <w:rFonts w:ascii="Symbol" w:hAnsi="Symbol" w:cs="Symbol"/>
    </w:rPr>
  </w:style>
  <w:style w:type="character" w:styleId="WW8Num42z0">
    <w:name w:val="WW8Num42z0"/>
    <w:qFormat/>
    <w:rPr>
      <w:rFonts w:ascii="Symbol" w:hAnsi="Symbol" w:cs="Symbol"/>
    </w:rPr>
  </w:style>
  <w:style w:type="character" w:styleId="WW8Num42z1">
    <w:name w:val="WW8Num42z1"/>
    <w:qFormat/>
    <w:rPr>
      <w:rFonts w:ascii="Wingdings" w:hAnsi="Wingdings" w:cs="Wingdings"/>
    </w:rPr>
  </w:style>
  <w:style w:type="character" w:styleId="WW8Num42z4">
    <w:name w:val="WW8Num42z4"/>
    <w:qFormat/>
    <w:rPr>
      <w:rFonts w:ascii="Courier New" w:hAnsi="Courier New" w:cs="Courier New"/>
    </w:rPr>
  </w:style>
  <w:style w:type="character" w:styleId="WW8Num43z0">
    <w:name w:val="WW8Num43z0"/>
    <w:qFormat/>
    <w:rPr>
      <w:rFonts w:ascii="Wingdings" w:hAnsi="Wingdings" w:cs="Wingdings"/>
    </w:rPr>
  </w:style>
  <w:style w:type="character" w:styleId="WW8Num43z1">
    <w:name w:val="WW8Num43z1"/>
    <w:qFormat/>
    <w:rPr>
      <w:rFonts w:ascii="Courier New" w:hAnsi="Courier New" w:cs="Courier New"/>
    </w:rPr>
  </w:style>
  <w:style w:type="character" w:styleId="WW8Num43z3">
    <w:name w:val="WW8Num43z3"/>
    <w:qFormat/>
    <w:rPr>
      <w:rFonts w:ascii="Symbol" w:hAnsi="Symbol" w:cs="Symbol"/>
    </w:rPr>
  </w:style>
  <w:style w:type="character" w:styleId="WW8Num44z0">
    <w:name w:val="WW8Num44z0"/>
    <w:qFormat/>
    <w:rPr>
      <w:rFonts w:ascii="Wingdings" w:hAnsi="Wingdings" w:cs="Wingdings"/>
    </w:rPr>
  </w:style>
  <w:style w:type="character" w:styleId="WW8Num44z1">
    <w:name w:val="WW8Num44z1"/>
    <w:qFormat/>
    <w:rPr>
      <w:rFonts w:ascii="Courier New" w:hAnsi="Courier New" w:cs="Courier New"/>
    </w:rPr>
  </w:style>
  <w:style w:type="character" w:styleId="WW8Num44z3">
    <w:name w:val="WW8Num44z3"/>
    <w:qFormat/>
    <w:rPr>
      <w:rFonts w:ascii="Symbol" w:hAnsi="Symbol" w:cs="Symbol"/>
    </w:rPr>
  </w:style>
  <w:style w:type="character" w:styleId="WW8Num45z0">
    <w:name w:val="WW8Num45z0"/>
    <w:qFormat/>
    <w:rPr>
      <w:rFonts w:ascii="Symbol" w:hAnsi="Symbol" w:cs="Symbol"/>
    </w:rPr>
  </w:style>
  <w:style w:type="character" w:styleId="WW8Num45z1">
    <w:name w:val="WW8Num45z1"/>
    <w:qFormat/>
    <w:rPr>
      <w:rFonts w:ascii="Courier New" w:hAnsi="Courier New" w:cs="Courier New"/>
    </w:rPr>
  </w:style>
  <w:style w:type="character" w:styleId="WW8Num45z2">
    <w:name w:val="WW8Num45z2"/>
    <w:qFormat/>
    <w:rPr>
      <w:rFonts w:ascii="Wingdings" w:hAnsi="Wingdings" w:cs="Wingdings"/>
    </w:rPr>
  </w:style>
  <w:style w:type="character" w:styleId="WW8Num46z0">
    <w:name w:val="WW8Num46z0"/>
    <w:qFormat/>
    <w:rPr>
      <w:rFonts w:ascii="Symbol" w:hAnsi="Symbol" w:cs="Symbol"/>
    </w:rPr>
  </w:style>
  <w:style w:type="character" w:styleId="WW8Num46z2">
    <w:name w:val="WW8Num46z2"/>
    <w:qFormat/>
    <w:rPr>
      <w:rFonts w:ascii="Wingdings" w:hAnsi="Wingdings" w:cs="Wingdings"/>
    </w:rPr>
  </w:style>
  <w:style w:type="character" w:styleId="WW8Num46z4">
    <w:name w:val="WW8Num46z4"/>
    <w:qFormat/>
    <w:rPr>
      <w:rFonts w:ascii="Courier New" w:hAnsi="Courier New" w:cs="Courier New"/>
    </w:rPr>
  </w:style>
  <w:style w:type="character" w:styleId="WW8Num47z0">
    <w:name w:val="WW8Num47z0"/>
    <w:qFormat/>
    <w:rPr>
      <w:rFonts w:ascii="Symbol" w:hAnsi="Symbol" w:cs="Symbol"/>
    </w:rPr>
  </w:style>
  <w:style w:type="character" w:styleId="WW8Num47z1">
    <w:name w:val="WW8Num47z1"/>
    <w:qFormat/>
    <w:rPr>
      <w:rFonts w:ascii="Calibri" w:hAnsi="Calibri" w:eastAsia="Times New Roman" w:cs="Times New Roman"/>
    </w:rPr>
  </w:style>
  <w:style w:type="character" w:styleId="WW8Num47z2">
    <w:name w:val="WW8Num47z2"/>
    <w:qFormat/>
    <w:rPr>
      <w:rFonts w:ascii="Wingdings" w:hAnsi="Wingdings" w:cs="Wingdings"/>
    </w:rPr>
  </w:style>
  <w:style w:type="character" w:styleId="WW8Num47z4">
    <w:name w:val="WW8Num47z4"/>
    <w:qFormat/>
    <w:rPr>
      <w:rFonts w:ascii="Courier New" w:hAnsi="Courier New" w:cs="Courier New"/>
    </w:rPr>
  </w:style>
  <w:style w:type="character" w:styleId="WW8Num48z0">
    <w:name w:val="WW8Num48z0"/>
    <w:qFormat/>
    <w:rPr/>
  </w:style>
  <w:style w:type="character" w:styleId="WW8Num48z1">
    <w:name w:val="WW8Num48z1"/>
    <w:qFormat/>
    <w:rPr/>
  </w:style>
  <w:style w:type="character" w:styleId="WW8Num48z2">
    <w:name w:val="WW8Num48z2"/>
    <w:qFormat/>
    <w:rPr/>
  </w:style>
  <w:style w:type="character" w:styleId="WW8Num48z3">
    <w:name w:val="WW8Num48z3"/>
    <w:qFormat/>
    <w:rPr/>
  </w:style>
  <w:style w:type="character" w:styleId="WW8Num48z4">
    <w:name w:val="WW8Num48z4"/>
    <w:qFormat/>
    <w:rPr/>
  </w:style>
  <w:style w:type="character" w:styleId="WW8Num48z5">
    <w:name w:val="WW8Num48z5"/>
    <w:qFormat/>
    <w:rPr/>
  </w:style>
  <w:style w:type="character" w:styleId="WW8Num48z6">
    <w:name w:val="WW8Num48z6"/>
    <w:qFormat/>
    <w:rPr/>
  </w:style>
  <w:style w:type="character" w:styleId="WW8Num48z7">
    <w:name w:val="WW8Num48z7"/>
    <w:qFormat/>
    <w:rPr/>
  </w:style>
  <w:style w:type="character" w:styleId="WW8Num48z8">
    <w:name w:val="WW8Num48z8"/>
    <w:qFormat/>
    <w:rPr/>
  </w:style>
  <w:style w:type="character" w:styleId="WW8Num49z0">
    <w:name w:val="WW8Num49z0"/>
    <w:qFormat/>
    <w:rPr>
      <w:rFonts w:ascii="Symbol" w:hAnsi="Symbol" w:cs="Symbol"/>
    </w:rPr>
  </w:style>
  <w:style w:type="character" w:styleId="WW8Num49z1">
    <w:name w:val="WW8Num49z1"/>
    <w:qFormat/>
    <w:rPr>
      <w:rFonts w:ascii="Wingdings" w:hAnsi="Wingdings" w:cs="Wingdings"/>
    </w:rPr>
  </w:style>
  <w:style w:type="character" w:styleId="WW8Num49z4">
    <w:name w:val="WW8Num49z4"/>
    <w:qFormat/>
    <w:rPr>
      <w:rFonts w:ascii="Courier New" w:hAnsi="Courier New" w:cs="Courier New"/>
    </w:rPr>
  </w:style>
  <w:style w:type="character" w:styleId="WW8Num50z0">
    <w:name w:val="WW8Num50z0"/>
    <w:qFormat/>
    <w:rPr>
      <w:rFonts w:ascii="Symbol" w:hAnsi="Symbol" w:cs="Symbol"/>
    </w:rPr>
  </w:style>
  <w:style w:type="character" w:styleId="WW8Num50z1">
    <w:name w:val="WW8Num50z1"/>
    <w:qFormat/>
    <w:rPr>
      <w:rFonts w:ascii="Courier New" w:hAnsi="Courier New" w:cs="Courier New"/>
    </w:rPr>
  </w:style>
  <w:style w:type="character" w:styleId="WW8Num50z2">
    <w:name w:val="WW8Num50z2"/>
    <w:qFormat/>
    <w:rPr>
      <w:rFonts w:ascii="Wingdings" w:hAnsi="Wingdings" w:cs="Wingdings"/>
    </w:rPr>
  </w:style>
  <w:style w:type="character" w:styleId="Policepardfaut">
    <w:name w:val="Police par défaut"/>
    <w:qFormat/>
    <w:rPr/>
  </w:style>
  <w:style w:type="character" w:styleId="StyleTimesNewRoman">
    <w:name w:val="Style Times New Roman"/>
    <w:qFormat/>
    <w:rPr>
      <w:rFonts w:ascii="Arial" w:hAnsi="Arial" w:cs="Arial"/>
      <w:sz w:val="20"/>
    </w:rPr>
  </w:style>
  <w:style w:type="character" w:styleId="PageNumber">
    <w:name w:val="Page Number"/>
    <w:basedOn w:val="Policepardfaut"/>
    <w:rPr/>
  </w:style>
  <w:style w:type="character" w:styleId="Titre2Car">
    <w:name w:val="Titre 2 Car"/>
    <w:qFormat/>
    <w:rPr>
      <w:rFonts w:ascii="Calibri" w:hAnsi="Calibri" w:cs="Calibri"/>
      <w:b/>
      <w:bCs/>
      <w:iCs/>
      <w:sz w:val="24"/>
      <w:szCs w:val="28"/>
      <w:lang w:val="en-GB"/>
    </w:rPr>
  </w:style>
  <w:style w:type="character" w:styleId="Titre3Car">
    <w:name w:val="Titre 3 Car"/>
    <w:qFormat/>
    <w:rPr>
      <w:rFonts w:ascii="Calibri" w:hAnsi="Calibri" w:cs="Calibri"/>
      <w:b/>
      <w:bCs/>
      <w:sz w:val="22"/>
      <w:szCs w:val="26"/>
    </w:rPr>
  </w:style>
  <w:style w:type="character" w:styleId="InternetLink">
    <w:name w:val="Internet Link"/>
    <w:rPr>
      <w:color w:val="0000FF"/>
      <w:u w:val="single"/>
    </w:rPr>
  </w:style>
  <w:style w:type="character" w:styleId="PieddepageCar">
    <w:name w:val="Pied de page Car"/>
    <w:qFormat/>
    <w:rPr>
      <w:rFonts w:ascii="Calibri" w:hAnsi="Calibri" w:cs="Calibri"/>
      <w:sz w:val="22"/>
      <w:szCs w:val="24"/>
    </w:rPr>
  </w:style>
  <w:style w:type="character" w:styleId="TitreCar">
    <w:name w:val="Titre Car"/>
    <w:qFormat/>
    <w:rPr>
      <w:rFonts w:ascii="Calibri" w:hAnsi="Calibri" w:cs="Calibri"/>
      <w:b/>
      <w:bCs/>
      <w:sz w:val="28"/>
      <w:szCs w:val="32"/>
      <w:lang w:val="en-GB"/>
    </w:rPr>
  </w:style>
  <w:style w:type="character" w:styleId="TextedebullesCar">
    <w:name w:val="Texte de bulles Car"/>
    <w:qFormat/>
    <w:rPr>
      <w:rFonts w:ascii="Tahoma" w:hAnsi="Tahoma" w:cs="Tahoma"/>
      <w:sz w:val="16"/>
      <w:szCs w:val="16"/>
    </w:rPr>
  </w:style>
  <w:style w:type="character" w:styleId="Corpsdetexte2Car">
    <w:name w:val="Corps de texte 2 Car"/>
    <w:qFormat/>
    <w:rPr>
      <w:sz w:val="24"/>
      <w:szCs w:val="24"/>
    </w:rPr>
  </w:style>
  <w:style w:type="character" w:styleId="NotedebasdepageCar">
    <w:name w:val="Note de bas de page Car"/>
    <w:basedOn w:val="Policepardfaut"/>
    <w:qFormat/>
    <w:rPr/>
  </w:style>
  <w:style w:type="character" w:styleId="FootnoteCharacters">
    <w:name w:val="Footnote Characters"/>
    <w:qFormat/>
    <w:rPr>
      <w:vertAlign w:val="superscript"/>
    </w:rPr>
  </w:style>
  <w:style w:type="character" w:styleId="Titre4Car">
    <w:name w:val="Titre 4 Car"/>
    <w:qFormat/>
    <w:rPr>
      <w:rFonts w:ascii="Calibri" w:hAnsi="Calibri" w:eastAsia="Times New Roman" w:cs="Times New Roman"/>
      <w:b/>
      <w:bCs/>
      <w:sz w:val="28"/>
      <w:szCs w:val="28"/>
    </w:rPr>
  </w:style>
  <w:style w:type="character" w:styleId="NotedefinCar">
    <w:name w:val="Note de fin Car"/>
    <w:qFormat/>
    <w:rPr>
      <w:rFonts w:ascii="Calibri" w:hAnsi="Calibri" w:cs="Calibri"/>
    </w:rPr>
  </w:style>
  <w:style w:type="character" w:styleId="EndnoteCharacters">
    <w:name w:val="Endnote Characters"/>
    <w:qFormat/>
    <w:rPr>
      <w:vertAlign w:val="superscript"/>
    </w:rPr>
  </w:style>
  <w:style w:type="character" w:styleId="Emphasis">
    <w:name w:val="Emphasis"/>
    <w:qFormat/>
    <w:rPr>
      <w:i/>
      <w:iCs/>
    </w:rPr>
  </w:style>
  <w:style w:type="character" w:styleId="TextebrutCar">
    <w:name w:val="Texte brut Car"/>
    <w:qFormat/>
    <w:rPr>
      <w:rFonts w:ascii="Consolas" w:hAnsi="Consolas" w:eastAsia="Calibri" w:cs="Times New Roman"/>
      <w:sz w:val="21"/>
      <w:szCs w:val="21"/>
    </w:rPr>
  </w:style>
  <w:style w:type="character" w:styleId="CorpsdetexteCar">
    <w:name w:val="Corps de texte Car"/>
    <w:qFormat/>
    <w:rPr>
      <w:rFonts w:ascii="Calibri" w:hAnsi="Calibri" w:cs="Calibri"/>
      <w:sz w:val="22"/>
      <w:szCs w:val="24"/>
    </w:rPr>
  </w:style>
  <w:style w:type="character" w:styleId="StrongEmphasis">
    <w:name w:val="Strong Emphasis"/>
    <w:rPr>
      <w:b/>
      <w:bCs/>
    </w:rPr>
  </w:style>
  <w:style w:type="character" w:styleId="Corps2">
    <w:name w:val="Corps2"/>
    <w:qFormat/>
    <w:rPr>
      <w:rFonts w:ascii="Times New Roman" w:hAnsi="Times New Roman" w:cs="Times New Roman"/>
      <w:sz w:val="24"/>
    </w:rPr>
  </w:style>
  <w:style w:type="character" w:styleId="Txt">
    <w:name w:val="txt"/>
    <w:basedOn w:val="Policepardfaut"/>
    <w:qFormat/>
    <w:rPr/>
  </w:style>
  <w:style w:type="character" w:styleId="SoustitreCar">
    <w:name w:val="Sous-titre Car"/>
    <w:qFormat/>
    <w:rPr>
      <w:rFonts w:ascii="Calibri" w:hAnsi="Calibri" w:eastAsia="Times New Roman" w:cs="Times New Roman"/>
      <w:b/>
      <w:sz w:val="22"/>
      <w:szCs w:val="24"/>
    </w:rPr>
  </w:style>
  <w:style w:type="character" w:styleId="WWInternetLink">
    <w:name w:val="WW-Internet Link"/>
    <w:qFormat/>
    <w:rPr>
      <w:color w:val="0000FF"/>
      <w:u w:val="single"/>
    </w:rPr>
  </w:style>
  <w:style w:type="paragraph" w:styleId="Heading">
    <w:name w:val="Heading"/>
    <w:basedOn w:val="Normal"/>
    <w:next w:val="Normal"/>
    <w:qFormat/>
    <w:pPr>
      <w:spacing w:before="360" w:after="360"/>
      <w:jc w:val="left"/>
      <w:outlineLvl w:val="0"/>
    </w:pPr>
    <w:rPr>
      <w:b/>
      <w:bCs/>
      <w:sz w:val="28"/>
      <w:szCs w:val="32"/>
      <w:lang w:val="en-GB"/>
    </w:rPr>
  </w:style>
  <w:style w:type="paragraph" w:styleId="TextBody">
    <w:name w:val="Text Body"/>
    <w:basedOn w:val="Normal"/>
    <w:pPr/>
    <w:rPr>
      <w:lang w:val="en-GB"/>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BodyText2">
    <w:name w:val="Body Text 2"/>
    <w:basedOn w:val="Normal"/>
    <w:qFormat/>
    <w:pPr>
      <w:overflowPunct w:val="false"/>
      <w:autoSpaceDE w:val="false"/>
      <w:textAlignment w:val="baseline"/>
    </w:pPr>
    <w:rPr>
      <w:rFonts w:ascii="Arial" w:hAnsi="Arial" w:cs="Arial"/>
    </w:rPr>
  </w:style>
  <w:style w:type="paragraph" w:styleId="Header">
    <w:name w:val="Header"/>
    <w:basedOn w:val="Normal"/>
    <w:pPr>
      <w:tabs>
        <w:tab w:val="center" w:pos="4536" w:leader="none"/>
        <w:tab w:val="right" w:pos="9072" w:leader="none"/>
      </w:tabs>
    </w:pPr>
    <w:rPr/>
  </w:style>
  <w:style w:type="paragraph" w:styleId="Footer">
    <w:name w:val="Footer"/>
    <w:basedOn w:val="Normal"/>
    <w:pPr>
      <w:tabs>
        <w:tab w:val="center" w:pos="4536" w:leader="none"/>
        <w:tab w:val="right" w:pos="9072" w:leader="none"/>
      </w:tabs>
    </w:pPr>
    <w:rPr>
      <w:lang w:val="en-GB"/>
    </w:rPr>
  </w:style>
  <w:style w:type="paragraph" w:styleId="BodyText3">
    <w:name w:val="Body Text 3"/>
    <w:basedOn w:val="Normal"/>
    <w:qFormat/>
    <w:pPr>
      <w:overflowPunct w:val="false"/>
      <w:autoSpaceDE w:val="false"/>
      <w:spacing w:before="0" w:after="0"/>
      <w:textAlignment w:val="baseline"/>
    </w:pPr>
    <w:rPr>
      <w:rFonts w:ascii="Arial" w:hAnsi="Arial" w:cs="Arial"/>
      <w:b/>
      <w:bCs/>
      <w:szCs w:val="22"/>
    </w:rPr>
  </w:style>
  <w:style w:type="paragraph" w:styleId="NormalWeb">
    <w:name w:val="Normal (Web)"/>
    <w:basedOn w:val="Normal"/>
    <w:qFormat/>
    <w:pPr>
      <w:spacing w:before="280" w:after="280"/>
      <w:jc w:val="left"/>
    </w:pPr>
    <w:rPr>
      <w:rFonts w:ascii="Times New Roman" w:hAnsi="Times New Roman" w:cs="Times New Roman"/>
      <w:sz w:val="24"/>
    </w:rPr>
  </w:style>
  <w:style w:type="paragraph" w:styleId="Enttedetabledesmatires">
    <w:name w:val="En-tête de table des matières"/>
    <w:basedOn w:val="Heading1"/>
    <w:next w:val="Normal"/>
    <w:qFormat/>
    <w:pPr>
      <w:keepLines/>
      <w:numPr>
        <w:ilvl w:val="0"/>
        <w:numId w:val="0"/>
      </w:numPr>
      <w:spacing w:lineRule="auto" w:line="276" w:before="480" w:after="0"/>
      <w:jc w:val="left"/>
    </w:pPr>
    <w:rPr>
      <w:rFonts w:ascii="Cambria" w:hAnsi="Cambria" w:cs="Cambria"/>
      <w:color w:val="365F91"/>
      <w:szCs w:val="28"/>
    </w:rPr>
  </w:style>
  <w:style w:type="paragraph" w:styleId="Contents3">
    <w:name w:val="Contents 3"/>
    <w:basedOn w:val="Normal"/>
    <w:next w:val="Normal"/>
    <w:pPr>
      <w:tabs>
        <w:tab w:val="left" w:pos="1100" w:leader="none"/>
        <w:tab w:val="right" w:pos="9060" w:leader="dot"/>
      </w:tabs>
      <w:spacing w:before="60" w:after="40"/>
      <w:ind w:left="442" w:hanging="0"/>
    </w:pPr>
    <w:rPr>
      <w:sz w:val="20"/>
    </w:rPr>
  </w:style>
  <w:style w:type="paragraph" w:styleId="Contents1">
    <w:name w:val="Contents 1"/>
    <w:basedOn w:val="Normal"/>
    <w:next w:val="Normal"/>
    <w:pPr>
      <w:tabs>
        <w:tab w:val="left" w:pos="440" w:leader="none"/>
        <w:tab w:val="right" w:pos="9060" w:leader="dot"/>
      </w:tabs>
      <w:spacing w:before="80" w:after="40"/>
    </w:pPr>
    <w:rPr>
      <w:b/>
      <w:sz w:val="24"/>
    </w:rPr>
  </w:style>
  <w:style w:type="paragraph" w:styleId="Contents2">
    <w:name w:val="Contents 2"/>
    <w:basedOn w:val="Normal"/>
    <w:next w:val="Normal"/>
    <w:pPr>
      <w:spacing w:before="80" w:after="40"/>
      <w:jc w:val="left"/>
    </w:pPr>
    <w:rPr>
      <w:b/>
      <w:lang w:val="en-GB" w:eastAsia="en-GB"/>
    </w:rPr>
  </w:style>
  <w:style w:type="paragraph" w:styleId="Textedebulles">
    <w:name w:val="Texte de bulles"/>
    <w:basedOn w:val="Normal"/>
    <w:qFormat/>
    <w:pPr>
      <w:spacing w:before="0" w:after="0"/>
    </w:pPr>
    <w:rPr>
      <w:rFonts w:ascii="Tahoma" w:hAnsi="Tahoma" w:cs="Tahoma"/>
      <w:sz w:val="16"/>
      <w:szCs w:val="16"/>
      <w:lang w:val="en-GB"/>
    </w:rPr>
  </w:style>
  <w:style w:type="paragraph" w:styleId="Corpsdetexte2">
    <w:name w:val="Corps de texte 2"/>
    <w:basedOn w:val="Normal"/>
    <w:qFormat/>
    <w:pPr>
      <w:spacing w:lineRule="auto" w:line="480" w:before="0" w:after="120"/>
      <w:jc w:val="left"/>
    </w:pPr>
    <w:rPr>
      <w:rFonts w:ascii="Times New Roman" w:hAnsi="Times New Roman" w:cs="Times New Roman"/>
      <w:sz w:val="24"/>
      <w:lang w:val="en-GB"/>
    </w:rPr>
  </w:style>
  <w:style w:type="paragraph" w:styleId="Paragraphedeliste">
    <w:name w:val="Paragraphe de liste"/>
    <w:basedOn w:val="Normal"/>
    <w:qFormat/>
    <w:pPr>
      <w:ind w:left="708" w:hanging="0"/>
    </w:pPr>
    <w:rPr>
      <w:b/>
    </w:rPr>
  </w:style>
  <w:style w:type="paragraph" w:styleId="Space">
    <w:name w:val="space"/>
    <w:basedOn w:val="Normal"/>
    <w:qFormat/>
    <w:pPr>
      <w:spacing w:before="280" w:after="150"/>
      <w:jc w:val="left"/>
    </w:pPr>
    <w:rPr>
      <w:rFonts w:ascii="Times New Roman" w:hAnsi="Times New Roman" w:eastAsia="Calibri" w:cs="Times New Roman"/>
      <w:sz w:val="24"/>
    </w:rPr>
  </w:style>
  <w:style w:type="paragraph" w:styleId="Footnote">
    <w:name w:val="Footnote"/>
    <w:basedOn w:val="Normal"/>
    <w:pPr>
      <w:spacing w:before="0" w:after="0"/>
      <w:jc w:val="left"/>
    </w:pPr>
    <w:rPr>
      <w:rFonts w:ascii="Times New Roman" w:hAnsi="Times New Roman" w:cs="Times New Roman"/>
      <w:sz w:val="20"/>
      <w:szCs w:val="20"/>
    </w:rPr>
  </w:style>
  <w:style w:type="paragraph" w:styleId="Endnote">
    <w:name w:val="Endnote"/>
    <w:basedOn w:val="Normal"/>
    <w:pPr/>
    <w:rPr>
      <w:sz w:val="20"/>
      <w:szCs w:val="20"/>
      <w:lang w:val="en-GB"/>
    </w:rPr>
  </w:style>
  <w:style w:type="paragraph" w:styleId="Textebrut">
    <w:name w:val="Texte brut"/>
    <w:basedOn w:val="Normal"/>
    <w:qFormat/>
    <w:pPr>
      <w:spacing w:before="0" w:after="0"/>
      <w:jc w:val="left"/>
    </w:pPr>
    <w:rPr>
      <w:rFonts w:ascii="Consolas" w:hAnsi="Consolas" w:eastAsia="Calibri" w:cs="Consolas"/>
      <w:sz w:val="21"/>
      <w:szCs w:val="21"/>
      <w:lang w:val="en-GB"/>
    </w:rPr>
  </w:style>
  <w:style w:type="paragraph" w:styleId="Default">
    <w:name w:val="Default"/>
    <w:qFormat/>
    <w:pPr>
      <w:widowControl/>
      <w:autoSpaceDE w:val="false"/>
    </w:pPr>
    <w:rPr>
      <w:rFonts w:ascii="Arial" w:hAnsi="Arial" w:eastAsia="Times New Roman" w:cs="Arial"/>
      <w:color w:val="000000"/>
      <w:sz w:val="24"/>
      <w:szCs w:val="24"/>
      <w:lang w:val="fr-FR" w:bidi="ar-SA" w:eastAsia="zh-CN"/>
    </w:rPr>
  </w:style>
  <w:style w:type="paragraph" w:styleId="Subtitle">
    <w:name w:val="Subtitle"/>
    <w:basedOn w:val="Normal"/>
    <w:next w:val="Normal"/>
    <w:qFormat/>
    <w:pPr>
      <w:spacing w:before="240" w:after="60"/>
      <w:jc w:val="left"/>
      <w:outlineLvl w:val="3"/>
    </w:pPr>
    <w:rPr>
      <w:b/>
      <w:lang w:val="en-GB"/>
    </w:rPr>
  </w:style>
  <w:style w:type="paragraph" w:styleId="Contents4">
    <w:name w:val="Contents 4"/>
    <w:basedOn w:val="Normal"/>
    <w:next w:val="Normal"/>
    <w:pPr>
      <w:tabs>
        <w:tab w:val="left" w:pos="1540" w:leader="none"/>
        <w:tab w:val="right" w:pos="9060" w:leader="dot"/>
      </w:tabs>
      <w:spacing w:before="40" w:after="40"/>
      <w:ind w:left="658" w:hanging="0"/>
    </w:pPr>
    <w:rPr>
      <w:sz w:val="20"/>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 w:type="numbering" w:styleId="WW8Num29">
    <w:name w:val="WW8Num29"/>
  </w:style>
  <w:style w:type="numbering" w:styleId="WW8Num30">
    <w:name w:val="WW8Num30"/>
  </w:style>
  <w:style w:type="numbering" w:styleId="WW8Num31">
    <w:name w:val="WW8Num31"/>
  </w:style>
  <w:style w:type="numbering" w:styleId="WW8Num32">
    <w:name w:val="WW8Num32"/>
  </w:style>
  <w:style w:type="numbering" w:styleId="WW8Num33">
    <w:name w:val="WW8Num33"/>
  </w:style>
  <w:style w:type="numbering" w:styleId="WW8Num34">
    <w:name w:val="WW8Num34"/>
  </w:style>
  <w:style w:type="numbering" w:styleId="WW8Num35">
    <w:name w:val="WW8Num35"/>
  </w:style>
  <w:style w:type="numbering" w:styleId="WW8Num36">
    <w:name w:val="WW8Num36"/>
  </w:style>
  <w:style w:type="numbering" w:styleId="WW8Num37">
    <w:name w:val="WW8Num37"/>
  </w:style>
  <w:style w:type="numbering" w:styleId="WW8Num38">
    <w:name w:val="WW8Num38"/>
  </w:style>
  <w:style w:type="numbering" w:styleId="WW8Num39">
    <w:name w:val="WW8Num39"/>
  </w:style>
  <w:style w:type="numbering" w:styleId="WW8Num40">
    <w:name w:val="WW8Num40"/>
  </w:style>
  <w:style w:type="numbering" w:styleId="WW8Num41">
    <w:name w:val="WW8Num41"/>
  </w:style>
  <w:style w:type="numbering" w:styleId="WW8Num42">
    <w:name w:val="WW8Num42"/>
  </w:style>
  <w:style w:type="numbering" w:styleId="WW8Num43">
    <w:name w:val="WW8Num43"/>
  </w:style>
  <w:style w:type="numbering" w:styleId="WW8Num44">
    <w:name w:val="WW8Num44"/>
  </w:style>
  <w:style w:type="numbering" w:styleId="WW8Num45">
    <w:name w:val="WW8Num45"/>
  </w:style>
  <w:style w:type="numbering" w:styleId="WW8Num46">
    <w:name w:val="WW8Num46"/>
  </w:style>
  <w:style w:type="numbering" w:styleId="WW8Num47">
    <w:name w:val="WW8Num47"/>
  </w:style>
  <w:style w:type="numbering" w:styleId="WW8Num48">
    <w:name w:val="WW8Num48"/>
  </w:style>
  <w:style w:type="numbering" w:styleId="WW8Num49">
    <w:name w:val="WW8Num49"/>
  </w:style>
  <w:style w:type="numbering" w:styleId="WW8Num50">
    <w:name w:val="WW8Num50"/>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486</TotalTime>
  <Application>LibreOffice/5.0.6.2$Linux_X86_64 LibreOffice_project/00$Build-2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2018-03-28T15:35:00Z</dcterms:created>
  <dc:language>en-GB</dc:language>
  <cp:lastPrinted>2018-07-27T15:12:00Z</cp:lastPrinted>
  <dcterms:modified xsi:type="dcterms:W3CDTF">2019-11-27T15:53:00Z</dcterms:modified>
  <cp:revision>16</cp:revision>
  <dc:title>PROJET D’ACCORD RELATIF A XXXXXXXXXXX</dc:title>
</cp:coreProperties>
</file>