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color w:val="FFFFFF"/>
          <w:sz w:val="36"/>
          <w:szCs w:val="36"/>
        </w:rPr>
      </w:pPr>
      <w:r>
        <w:rPr>
          <w:rFonts w:cs="Arial" w:ascii="Arial" w:hAnsi="Arial"/>
          <w:b/>
          <w:color w:val="FFFFFF"/>
          <w:sz w:val="36"/>
          <w:szCs w:val="36"/>
          <w:highlight w:val="black"/>
        </w:rPr>
        <w:t>Négociation Annuelle Obligatoire</w:t>
      </w:r>
    </w:p>
    <w:p>
      <w:pPr>
        <w:pStyle w:val="Normal"/>
        <w:jc w:val="center"/>
        <w:rPr>
          <w:rFonts w:ascii="Arial" w:hAnsi="Arial" w:cs="Arial"/>
          <w:b/>
          <w:b/>
          <w:color w:val="FFFFFF"/>
          <w:sz w:val="32"/>
          <w:szCs w:val="32"/>
          <w:u w:val="single"/>
        </w:rPr>
      </w:pPr>
      <w:r>
        <w:rPr>
          <w:rFonts w:cs="Arial" w:ascii="Arial" w:hAnsi="Arial"/>
          <w:b/>
          <w:color w:val="FFFFFF"/>
          <w:sz w:val="32"/>
          <w:szCs w:val="32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  <w:u w:val="single"/>
        </w:rPr>
      </w:pPr>
      <w:r>
        <w:rPr>
          <w:rFonts w:cs="Arial" w:ascii="Arial" w:hAnsi="Arial"/>
          <w:b/>
          <w:sz w:val="32"/>
          <w:szCs w:val="32"/>
          <w:u w:val="single"/>
        </w:rPr>
        <w:t>Procès Verbal d’Accord</w:t>
      </w:r>
    </w:p>
    <w:p>
      <w:pPr>
        <w:pStyle w:val="Normal"/>
        <w:rPr>
          <w:rFonts w:ascii="Arial" w:hAnsi="Arial" w:cs="Arial"/>
          <w:b/>
          <w:b/>
          <w:sz w:val="32"/>
          <w:szCs w:val="32"/>
          <w:u w:val="single"/>
        </w:rPr>
      </w:pPr>
      <w:r>
        <w:rPr>
          <w:rFonts w:cs="Arial" w:ascii="Arial" w:hAnsi="Arial"/>
          <w:b/>
          <w:sz w:val="32"/>
          <w:szCs w:val="32"/>
          <w:u w:val="single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  <w:u w:val="single"/>
        </w:rPr>
      </w:pPr>
      <w:r>
        <w:rPr>
          <w:rFonts w:cs="Arial" w:ascii="Arial" w:hAnsi="Arial"/>
          <w:b/>
          <w:sz w:val="32"/>
          <w:szCs w:val="32"/>
          <w:u w:val="single"/>
        </w:rPr>
        <w:t>Réunions des 04 mars, 13 mars et 26 mars 2020</w:t>
      </w:r>
    </w:p>
    <w:p>
      <w:pPr>
        <w:pStyle w:val="Normal"/>
        <w:rPr>
          <w:rFonts w:ascii="Arial" w:hAnsi="Arial" w:cs="Arial"/>
          <w:b/>
          <w:b/>
          <w:sz w:val="32"/>
          <w:szCs w:val="32"/>
          <w:u w:val="single"/>
        </w:rPr>
      </w:pPr>
      <w:r>
        <w:rPr>
          <w:rFonts w:cs="Arial" w:ascii="Arial" w:hAnsi="Arial"/>
          <w:b/>
          <w:sz w:val="32"/>
          <w:szCs w:val="32"/>
          <w:u w:val="single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  <w:u w:val="single"/>
        </w:rPr>
        <w:t>Entre :</w:t>
      </w:r>
      <w:r>
        <w:rPr>
          <w:rFonts w:cs="Arial" w:ascii="Arial" w:hAnsi="Arial"/>
        </w:rPr>
        <w:t xml:space="preserve"> </w:t>
        <w:tab/>
      </w:r>
      <w:r>
        <w:rPr>
          <w:rFonts w:cs="Arial" w:ascii="Arial" w:hAnsi="Arial"/>
          <w:b/>
        </w:rPr>
        <w:t>Monsieur                , Délégué Syndical CFDT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ab/>
        <w:tab/>
        <w:tab/>
      </w:r>
    </w:p>
    <w:p>
      <w:pPr>
        <w:pStyle w:val="Normal"/>
        <w:ind w:left="708" w:firstLine="708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Monsieur                , Délégué Syndical CGT</w:t>
      </w:r>
    </w:p>
    <w:p>
      <w:pPr>
        <w:pStyle w:val="Normal"/>
        <w:ind w:left="708" w:firstLine="708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left="708" w:firstLine="708"/>
        <w:rPr/>
      </w:pPr>
      <w:r>
        <w:rPr>
          <w:rFonts w:cs="Arial" w:ascii="Arial" w:hAnsi="Arial"/>
          <w:b/>
        </w:rPr>
        <w:t>Monsieur                , Délégué Syndical FO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ab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</w:rPr>
        <w:tab/>
        <w:tab/>
      </w:r>
      <w:r>
        <w:rPr>
          <w:rFonts w:cs="Arial" w:ascii="Arial" w:hAnsi="Arial"/>
          <w:b/>
          <w:u w:val="single"/>
        </w:rPr>
        <w:t>Représentants  les Salariés de la Société OURRY S.A.S.</w:t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Et </w:t>
        <w:tab/>
        <w:tab/>
        <w:t>Monsieur                , Directeur Général</w:t>
      </w:r>
    </w:p>
    <w:p>
      <w:pPr>
        <w:pStyle w:val="Normal"/>
        <w:ind w:left="1410" w:hanging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</w:rPr>
        <w:tab/>
        <w:tab/>
      </w:r>
      <w:r>
        <w:rPr>
          <w:rFonts w:cs="Arial" w:ascii="Arial" w:hAnsi="Arial"/>
          <w:b/>
          <w:u w:val="single"/>
        </w:rPr>
        <w:t>Représentant la Société OURRY S.A.S.</w:t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Préambule et cadre de référence</w:t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/>
      </w:pPr>
      <w:r>
        <w:rPr>
          <w:rFonts w:cs="Arial" w:ascii="Arial" w:hAnsi="Arial"/>
        </w:rPr>
        <w:t>Conformément à l’article L.2242 du Code du Travail, une négociation s’est engagée entre la direction et les organisations syndicales représentées au sein de la société OURRY.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Après négociation et discussion, la Direction a présenté les propositions et le protocole d’accord suivant à la signature des organisations syndicales, en ce qui concerne :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1- NEGOCIATION SALARIALE : augmentation de salaire 2020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Pour le personnel de la catégorie Ouvrier des activités du Transport, il est accordé une augmentation générale de 1,20 % appliquée au 1</w:t>
      </w:r>
      <w:r>
        <w:rPr>
          <w:rFonts w:cs="Arial" w:ascii="Arial" w:hAnsi="Arial"/>
          <w:vertAlign w:val="superscript"/>
        </w:rPr>
        <w:t>er</w:t>
      </w:r>
      <w:r>
        <w:rPr>
          <w:rFonts w:cs="Arial" w:ascii="Arial" w:hAnsi="Arial"/>
        </w:rPr>
        <w:t xml:space="preserve"> janvier 2020. 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fldChar w:fldCharType="begin"/>
      </w:r>
      <w:r>
        <w:instrText> LINK Excel.Sheet.12 "C:\\Users\\s.laboutade\\AppData\\Local\\Microsoft\\Windows\\Temporary Internet Files\\Content.Outlook\\6AX4QAO7\\OURRY PREPA NAO 2018.xlsx" "nao!L2C2:L6C4" \a \f 4 \h  \* MERGEFORMAT </w:instrText>
      </w:r>
      <w:r>
        <w:fldChar w:fldCharType="separate"/>
      </w:r>
      <w:bookmarkStart w:id="0" w:name="_1581921929"/>
      <w:bookmarkStart w:id="1" w:name="__Fieldmark__3_3249139765"/>
      <w:bookmarkEnd w:id="0"/>
      <w:r>
        <w:rPr>
          <w:rFonts w:cs="Arial" w:ascii="Arial" w:hAnsi="Arial"/>
          <w:sz w:val="20"/>
          <w:szCs w:val="20"/>
        </w:rPr>
      </w:r>
    </w:p>
    <w:tbl>
      <w:tblPr>
        <w:tblW w:w="5128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</w:tblPr>
      <w:tblGrid>
        <w:gridCol w:w="3600"/>
        <w:gridCol w:w="753"/>
        <w:gridCol w:w="755"/>
        <w:gridCol w:w="20"/>
      </w:tblGrid>
      <w:tr>
        <w:trPr>
          <w:trHeight w:val="300" w:hRule="atLeast"/>
        </w:trPr>
        <w:tc>
          <w:tcPr>
            <w:tcW w:w="5108" w:type="dxa"/>
            <w:gridSpan w:val="3"/>
            <w:tcBorders/>
            <w:shd w:fill="auto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  <w:u w:val="single"/>
              </w:rPr>
              <w:t>Taux horaire conducteur routier</w:t>
            </w:r>
          </w:p>
        </w:tc>
      </w:tr>
      <w:tr>
        <w:trPr>
          <w:trHeight w:val="315" w:hRule="atLeast"/>
        </w:trPr>
        <w:tc>
          <w:tcPr>
            <w:tcW w:w="3600" w:type="dxa"/>
            <w:tcBorders/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  <w:u w:val="single"/>
              </w:rPr>
            </w:r>
          </w:p>
        </w:tc>
        <w:tc>
          <w:tcPr>
            <w:tcW w:w="753" w:type="dxa"/>
            <w:tcBorders/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u w:val="single"/>
              </w:rPr>
            </w:r>
          </w:p>
        </w:tc>
        <w:tc>
          <w:tcPr>
            <w:tcW w:w="755" w:type="dxa"/>
            <w:tcBorders/>
            <w:shd w:fill="auto" w:val="clear"/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</w:rPr>
              <w:t>Coef</w:t>
            </w:r>
          </w:p>
        </w:tc>
        <w:tc>
          <w:tcPr>
            <w:tcW w:w="7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</w:rPr>
              <w:t>2020</w:t>
            </w:r>
          </w:p>
        </w:tc>
      </w:tr>
      <w:tr>
        <w:trPr>
          <w:trHeight w:val="300" w:hRule="atLeast"/>
        </w:trPr>
        <w:tc>
          <w:tcPr>
            <w:tcW w:w="36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138M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11,135</w:t>
            </w: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11,268</w:t>
            </w:r>
          </w:p>
        </w:tc>
      </w:tr>
      <w:tr>
        <w:trPr>
          <w:trHeight w:val="315" w:hRule="atLeast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150M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11,260</w:t>
            </w:r>
          </w:p>
        </w:tc>
        <w:tc>
          <w:tcPr>
            <w:tcW w:w="775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11,395</w:t>
            </w:r>
          </w:p>
        </w:tc>
      </w:tr>
    </w:tbl>
    <w:p>
      <w:pPr>
        <w:pStyle w:val="Normal"/>
        <w:rPr>
          <w:rFonts w:ascii="Arial" w:hAnsi="Arial" w:cs="Arial"/>
        </w:rPr>
      </w:pPr>
      <w:bookmarkStart w:id="2" w:name="__Fieldmark__3_3249139765"/>
      <w:bookmarkEnd w:id="2"/>
      <w:r>
        <w:rPr/>
      </w:r>
      <w:r>
        <w:fldChar w:fldCharType="end"/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Pour le personnel de la catégorie Ouvrier des activités du Déchet, il est accordé une augmentation de 1,20 % sur la grille de rémunération interne OURRY appliquée au 1er janvier 2020.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fldChar w:fldCharType="begin"/>
      </w:r>
      <w:r>
        <w:instrText> LINK Excel.Sheet.12 "Classeur1" "Feuil1!L1C1:L8C3" \a \f 4 \h </w:instrText>
      </w:r>
      <w:r>
        <w:fldChar w:fldCharType="separate"/>
      </w:r>
      <w:bookmarkStart w:id="3" w:name="_1615267262"/>
      <w:bookmarkStart w:id="4" w:name="__Fieldmark__4_3249139765"/>
      <w:bookmarkEnd w:id="3"/>
      <w:r>
        <w:rPr>
          <w:rFonts w:cs="Arial" w:ascii="Arial" w:hAnsi="Arial"/>
          <w:sz w:val="20"/>
          <w:szCs w:val="20"/>
        </w:rPr>
      </w:r>
    </w:p>
    <w:tbl>
      <w:tblPr>
        <w:tblW w:w="3620" w:type="dxa"/>
        <w:jc w:val="left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top w:w="0" w:type="dxa"/>
          <w:left w:w="60" w:type="dxa"/>
          <w:bottom w:w="0" w:type="dxa"/>
          <w:right w:w="70" w:type="dxa"/>
        </w:tblCellMar>
      </w:tblPr>
      <w:tblGrid>
        <w:gridCol w:w="1200"/>
        <w:gridCol w:w="1200"/>
        <w:gridCol w:w="1220"/>
      </w:tblGrid>
      <w:tr>
        <w:trPr>
          <w:trHeight w:val="315" w:hRule="atLeast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Coef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2020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1596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1615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1658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1678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1715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1735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1751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1772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1823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1845</w:t>
            </w:r>
          </w:p>
        </w:tc>
      </w:tr>
      <w:tr>
        <w:trPr>
          <w:trHeight w:val="300" w:hRule="atLeast"/>
        </w:trPr>
        <w:tc>
          <w:tcPr>
            <w:tcW w:w="1200" w:type="dxa"/>
            <w:tcBorders>
              <w:left w:val="single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1901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1924</w:t>
            </w:r>
          </w:p>
        </w:tc>
      </w:tr>
      <w:tr>
        <w:trPr>
          <w:trHeight w:val="315" w:hRule="atLeast"/>
        </w:trPr>
        <w:tc>
          <w:tcPr>
            <w:tcW w:w="1200" w:type="dxa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0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1988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FFF00" w:val="clear"/>
            <w:tcMar>
              <w:left w:w="65" w:type="dxa"/>
            </w:tcMar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</w:tr>
    </w:tbl>
    <w:p>
      <w:pPr>
        <w:pStyle w:val="Normal"/>
        <w:rPr>
          <w:rFonts w:ascii="Arial" w:hAnsi="Arial" w:cs="Arial"/>
        </w:rPr>
      </w:pPr>
      <w:bookmarkStart w:id="5" w:name="__Fieldmark__4_3249139765"/>
      <w:bookmarkEnd w:id="5"/>
      <w:r>
        <w:rPr/>
      </w:r>
      <w:r>
        <w:fldChar w:fldCharType="end"/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2 - AUGMENTATION DE LA PART PATRONALE POUR LA MUTUELLE</w:t>
      </w:r>
    </w:p>
    <w:p>
      <w:pPr>
        <w:pStyle w:val="Normal"/>
        <w:autoSpaceDE w:val="false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br/>
      </w:r>
      <w:r>
        <w:rPr>
          <w:rFonts w:cs="Arial" w:ascii="Arial" w:hAnsi="Arial"/>
        </w:rPr>
        <w:t xml:space="preserve">Il a été décidé que la part employeur passerait de 55% de prise en charge à 60% de prise en charge faisant passer la part salariale à 40%. </w:t>
      </w:r>
    </w:p>
    <w:p>
      <w:pPr>
        <w:pStyle w:val="Normal"/>
        <w:autoSpaceDE w:val="false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3 – DEPLAFONNEMENT DU CONTINGENT D’HEURES SUPPLEMENTAIRESES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br/>
      </w:r>
      <w:r>
        <w:rPr>
          <w:rFonts w:cs="Arial" w:ascii="Arial" w:hAnsi="Arial"/>
        </w:rPr>
        <w:t xml:space="preserve">Il a été décidé de réécrire l’accord d’entreprise sur ce sujet et d’augmenter le contingent d’heures supplémentaires avec une application sur les deux CCN de l’entreprise. 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u w:val="single"/>
        </w:rPr>
        <w:t>4 - LE MAINTIEN DES ACQUIS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Les avantages acquis ne sont pas remis en cause.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5 - APPLICATION DE L’ACCORD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/>
      </w:pPr>
      <w:r>
        <w:rPr>
          <w:rFonts w:cs="Arial" w:ascii="Arial" w:hAnsi="Arial"/>
        </w:rPr>
        <w:t xml:space="preserve">Le présent accord est conclu dans le cadre de la négociation annuelle obligatoire, pour une durée de 12 mois à compter du </w:t>
      </w:r>
      <w:r>
        <w:rPr>
          <w:rFonts w:cs="Arial" w:ascii="Arial" w:hAnsi="Arial"/>
          <w:b/>
        </w:rPr>
        <w:t>1</w:t>
      </w:r>
      <w:r>
        <w:rPr>
          <w:rFonts w:cs="Arial" w:ascii="Arial" w:hAnsi="Arial"/>
          <w:b/>
          <w:vertAlign w:val="superscript"/>
        </w:rPr>
        <w:t>er</w:t>
      </w:r>
      <w:r>
        <w:rPr>
          <w:rFonts w:cs="Arial" w:ascii="Arial" w:hAnsi="Arial"/>
          <w:b/>
        </w:rPr>
        <w:t xml:space="preserve"> janvier 2020</w:t>
      </w:r>
      <w:r>
        <w:rPr>
          <w:rFonts w:cs="Arial" w:ascii="Arial" w:hAnsi="Arial"/>
        </w:rPr>
        <w:t xml:space="preserve">.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A l’issue de cette période les parties se rencontreront pour une nouvelle négociation.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  <w:t>6 - DEPÔT DE L’ACCORD</w:t>
      </w:r>
    </w:p>
    <w:p>
      <w:pPr>
        <w:pStyle w:val="Normal"/>
        <w:jc w:val="both"/>
        <w:rPr>
          <w:rFonts w:ascii="Arial" w:hAnsi="Arial" w:cs="Arial"/>
          <w:b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Le présent accord est établi en un nombre suffisant d’exemplaires pour remise à chacune des parties signataires et dépôt dans les conditions prévues à l’article D.2231-2 du Code du Travail. Il est notifié à l’ensemble des organisations syndicales représentatives dans le champ d’application de l’accord. Les formalités de dépôt seront effectuées au plus tôt 8 jours après cette notification. Le dépôt à l’Administration du Travail s’accompagnera de la copie de la notification de l’accord aux organisations syndicales, de la copie des résultats des dernières élections professionnelles, et d’un bordereau de dépôt.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Fait à Champdeuil, le 30 mars 2020.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Pour la CFDT,</w:t>
        <w:tab/>
        <w:tab/>
        <w:tab/>
        <w:tab/>
        <w:tab/>
        <w:tab/>
        <w:tab/>
        <w:t>Pour la Société OURRY,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ab/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Pour la CGT,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Pour FO,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9" w:top="1134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Gill Sans MT">
    <w:charset w:val="00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Style w:val="PageNumber"/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PV NAO du 30 mars 2020</w:t>
    </w:r>
    <w:r>
      <w:rPr>
        <w:sz w:val="20"/>
        <w:szCs w:val="20"/>
      </w:rPr>
      <w:tab/>
      <w:tab/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instrText> PAGE </w:instrText>
    </w:r>
    <w:r>
      <w:fldChar w:fldCharType="separate"/>
    </w:r>
    <w:r>
      <w:t>3</w:t>
    </w:r>
    <w:r>
      <w:fldChar w:fldCharType="end"/>
    </w:r>
    <w:r>
      <w:rPr>
        <w:rStyle w:val="PageNumber"/>
        <w:rFonts w:cs="Arial" w:ascii="Arial" w:hAnsi="Arial"/>
        <w:sz w:val="20"/>
        <w:szCs w:val="20"/>
      </w:rPr>
      <w:t>/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instrText> NUMPAGES \* ARABIC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 w:val="false"/>
      <w:sz w:val="24"/>
      <w:szCs w:val="24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Arial" w:hAnsi="Aria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>
      <w:rFonts w:ascii="Arial" w:hAnsi="Arial" w:eastAsia="Times New Roman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Arial" w:hAnsi="Arial" w:eastAsia="Times New Roman" w:cs="Aria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Arial" w:hAnsi="Arial" w:eastAsia="Times New Roman" w:cs="Aria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Arial" w:hAnsi="Arial" w:eastAsia="Times New Roman" w:cs="Aria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rFonts w:ascii="Arial" w:hAnsi="Arial" w:eastAsia="Times New Roman" w:cs="Aria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>
      <w:rFonts w:ascii="Arial" w:hAnsi="Arial" w:eastAsia="Times New Roman" w:cs="Aria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Arial" w:hAnsi="Arial" w:eastAsia="Times New Roman" w:cs="Aria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PageNumber">
    <w:name w:val="Page Number"/>
    <w:basedOn w:val="Policepardfau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Gill Sans MT" w:hAnsi="Gill Sans MT" w:cs="Gill Sans MT"/>
      <w:sz w:val="20"/>
      <w:szCs w:val="20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2020-06-16T17:08:00Z</dcterms:created>
  <dc:creator/>
  <dc:description/>
  <dc:language>en-GB</dc:language>
  <cp:lastModifiedBy/>
  <cp:lastPrinted>2019-03-28T08:53:00Z</cp:lastPrinted>
  <dcterms:modified xsi:type="dcterms:W3CDTF">2020-06-16T17:08:00Z</dcterms:modified>
  <cp:revision>2</cp:revision>
  <dc:subject/>
  <dc:title>Négociation annuelle obligatoire</dc:title>
</cp:coreProperties>
</file>