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4678" w:leader="none"/>
        </w:tabs>
        <w:rPr>
          <w:rFonts w:ascii="Calibri" w:hAnsi="Calibri" w:cs="Calibri"/>
          <w:sz w:val="22"/>
          <w:szCs w:val="22"/>
        </w:rPr>
      </w:pPr>
      <w:r>
        <w:rPr/>
        <w:tab/>
        <w:t xml:space="preserve">                      </w:t>
      </w:r>
    </w:p>
    <w:p>
      <w:pPr>
        <w:pStyle w:val="Normal"/>
        <w:tabs>
          <w:tab w:val="left" w:pos="4678" w:leader="none"/>
        </w:tabs>
        <w:rPr>
          <w:sz w:val="22"/>
          <w:szCs w:val="22"/>
        </w:rPr>
      </w:pPr>
      <w:r>
        <w:rPr>
          <w:rFonts w:eastAsia="Trebuchet MS" w:cs="Trebuchet MS" w:ascii="Trebuchet MS" w:hAnsi="Trebuchet MS"/>
          <w:b/>
          <w:bCs/>
        </w:rPr>
        <w:t xml:space="preserve">                                                                               </w:t>
      </w:r>
    </w:p>
    <w:p>
      <w:pPr>
        <w:pStyle w:val="Normal"/>
        <w:tabs>
          <w:tab w:val="left" w:pos="1888" w:leader="none"/>
        </w:tabs>
        <w:rPr>
          <w:sz w:val="22"/>
          <w:szCs w:val="22"/>
        </w:rPr>
      </w:pPr>
      <w:r>
        <w:rPr>
          <w:sz w:val="22"/>
          <w:szCs w:val="22"/>
        </w:rPr>
        <w:tab/>
        <w:tab/>
        <w:tab/>
        <w:tab/>
        <w:tab/>
        <w:tab/>
        <w:tab/>
      </w:r>
    </w:p>
    <w:p>
      <w:pPr>
        <w:pStyle w:val="Normal"/>
        <w:jc w:val="center"/>
        <w:rPr>
          <w:rFonts w:ascii="Trebuchet MS" w:hAnsi="Trebuchet MS" w:cs="Trebuchet MS"/>
          <w:b/>
          <w:b/>
          <w:sz w:val="36"/>
        </w:rPr>
      </w:pPr>
      <w:r>
        <w:rPr>
          <w:rFonts w:cs="Trebuchet MS" w:ascii="Trebuchet MS" w:hAnsi="Trebuchet MS"/>
          <w:b/>
          <w:sz w:val="36"/>
        </w:rPr>
      </w:r>
    </w:p>
    <w:p>
      <w:pPr>
        <w:pStyle w:val="Normal"/>
        <w:jc w:val="center"/>
        <w:rPr>
          <w:rFonts w:ascii="Trebuchet MS" w:hAnsi="Trebuchet MS" w:cs="Trebuchet MS"/>
          <w:b/>
          <w:b/>
          <w:sz w:val="36"/>
        </w:rPr>
      </w:pPr>
      <w:r>
        <w:rPr>
          <w:rFonts w:cs="Trebuchet MS" w:ascii="Trebuchet MS" w:hAnsi="Trebuchet MS"/>
          <w:b/>
          <w:sz w:val="36"/>
        </w:rPr>
        <w:t xml:space="preserve">Accord d’entreprise sur le contingent d’heures supplémentaires </w:t>
      </w:r>
    </w:p>
    <w:p>
      <w:pPr>
        <w:pStyle w:val="Enttedetabledesmatires"/>
        <w:rPr>
          <w:color w:val="C00000"/>
          <w:sz w:val="22"/>
        </w:rPr>
      </w:pPr>
      <w:r>
        <w:rPr>
          <w:color w:val="C00000"/>
          <w:sz w:val="22"/>
        </w:rPr>
        <w:t>Table des matières</w:t>
      </w:r>
    </w:p>
    <w:p>
      <w:pPr>
        <w:pStyle w:val="Normal"/>
        <w:rPr>
          <w:color w:val="C00000"/>
          <w:sz w:val="22"/>
          <w:lang w:bidi="en-US"/>
        </w:rPr>
      </w:pPr>
      <w:r>
        <w:rPr>
          <w:color w:val="C00000"/>
          <w:sz w:val="22"/>
          <w:lang w:bidi="en-US"/>
        </w:rPr>
      </w:r>
    </w:p>
    <w:p>
      <w:pPr>
        <w:pStyle w:val="Contents2"/>
        <w:tabs>
          <w:tab w:val="right" w:pos="10196" w:leader="dot"/>
        </w:tabs>
        <w:rPr>
          <w:rFonts w:eastAsia="Times New Roman"/>
          <w:lang w:val="en-GB" w:eastAsia="en-GB"/>
        </w:rPr>
      </w:pPr>
      <w:r>
        <w:fldChar w:fldCharType="begin"/>
      </w:r>
      <w:r>
        <w:instrText> TOC \o "1-3" \h \z \u </w:instrText>
      </w:r>
      <w:r>
        <w:fldChar w:fldCharType="separate"/>
      </w:r>
      <w:hyperlink w:anchor="__RefHeading___Toc10731074">
        <w:r>
          <w:rPr>
            <w:rStyle w:val="IndexLink"/>
            <w:lang w:val="en-GB" w:eastAsia="en-GB"/>
          </w:rPr>
          <w:t>PREAMBULE</w:t>
          <w:tab/>
          <w:t>1</w:t>
        </w:r>
      </w:hyperlink>
    </w:p>
    <w:p>
      <w:pPr>
        <w:pStyle w:val="Contents2"/>
        <w:tabs>
          <w:tab w:val="right" w:pos="10196" w:leader="dot"/>
        </w:tabs>
        <w:rPr>
          <w:rFonts w:eastAsia="Times New Roman"/>
          <w:lang w:val="en-GB" w:eastAsia="en-GB"/>
        </w:rPr>
      </w:pPr>
      <w:hyperlink w:anchor="__RefHeading___Toc10731075">
        <w:r>
          <w:rPr>
            <w:rStyle w:val="IndexLink"/>
            <w:lang w:val="en-GB" w:eastAsia="en-GB"/>
          </w:rPr>
          <w:t>Article 1 : Champ d'application</w:t>
          <w:tab/>
          <w:t>1</w:t>
        </w:r>
      </w:hyperlink>
    </w:p>
    <w:p>
      <w:pPr>
        <w:pStyle w:val="Contents2"/>
        <w:tabs>
          <w:tab w:val="right" w:pos="10196" w:leader="dot"/>
        </w:tabs>
        <w:rPr>
          <w:rFonts w:eastAsia="Times New Roman"/>
          <w:lang w:val="en-GB" w:eastAsia="en-GB"/>
        </w:rPr>
      </w:pPr>
      <w:hyperlink w:anchor="__RefHeading___Toc10731076">
        <w:r>
          <w:rPr>
            <w:rStyle w:val="IndexLink"/>
            <w:lang w:val="en-GB" w:eastAsia="en-GB"/>
          </w:rPr>
          <w:t>Article 2: Objet</w:t>
          <w:tab/>
          <w:t>2</w:t>
        </w:r>
      </w:hyperlink>
    </w:p>
    <w:p>
      <w:pPr>
        <w:pStyle w:val="Contents2"/>
        <w:tabs>
          <w:tab w:val="right" w:pos="10196" w:leader="dot"/>
        </w:tabs>
        <w:rPr>
          <w:rFonts w:eastAsia="Times New Roman"/>
          <w:lang w:val="en-GB" w:eastAsia="en-GB"/>
        </w:rPr>
      </w:pPr>
      <w:hyperlink w:anchor="__RefHeading___Toc10731077">
        <w:r>
          <w:rPr>
            <w:rStyle w:val="IndexLink"/>
            <w:lang w:val="en-GB" w:eastAsia="en-GB"/>
          </w:rPr>
          <w:t>Article 3 : Contingent annuel d’heures supplémentaires</w:t>
          <w:tab/>
          <w:t>2</w:t>
        </w:r>
      </w:hyperlink>
    </w:p>
    <w:p>
      <w:pPr>
        <w:pStyle w:val="Contents2"/>
        <w:tabs>
          <w:tab w:val="right" w:pos="10196" w:leader="dot"/>
        </w:tabs>
        <w:rPr>
          <w:rFonts w:eastAsia="Times New Roman"/>
          <w:lang w:val="en-GB" w:eastAsia="en-GB"/>
        </w:rPr>
      </w:pPr>
      <w:hyperlink w:anchor="__RefHeading___Toc10731078">
        <w:r>
          <w:rPr>
            <w:rStyle w:val="IndexLink"/>
            <w:lang w:val="en-GB" w:eastAsia="en-GB"/>
          </w:rPr>
          <w:t>Article 4 : Suivi de l'accord</w:t>
          <w:tab/>
          <w:t>2</w:t>
        </w:r>
      </w:hyperlink>
    </w:p>
    <w:p>
      <w:pPr>
        <w:pStyle w:val="Contents2"/>
        <w:tabs>
          <w:tab w:val="right" w:pos="10196" w:leader="dot"/>
        </w:tabs>
        <w:rPr>
          <w:rFonts w:eastAsia="Times New Roman"/>
          <w:lang w:val="en-GB" w:eastAsia="en-GB"/>
        </w:rPr>
      </w:pPr>
      <w:hyperlink w:anchor="__RefHeading___Toc10731079">
        <w:r>
          <w:rPr>
            <w:rStyle w:val="IndexLink"/>
            <w:lang w:val="en-GB" w:eastAsia="en-GB"/>
          </w:rPr>
          <w:t>Article 5 : Durée de l'accord d'entreprise et entrée en vigueur</w:t>
          <w:tab/>
          <w:t>2</w:t>
        </w:r>
      </w:hyperlink>
    </w:p>
    <w:p>
      <w:pPr>
        <w:pStyle w:val="Contents2"/>
        <w:tabs>
          <w:tab w:val="right" w:pos="10196" w:leader="dot"/>
        </w:tabs>
        <w:rPr>
          <w:rFonts w:eastAsia="Times New Roman"/>
          <w:lang w:val="en-GB" w:eastAsia="en-GB"/>
        </w:rPr>
      </w:pPr>
      <w:hyperlink w:anchor="__RefHeading___Toc10731080">
        <w:r>
          <w:rPr>
            <w:rStyle w:val="IndexLink"/>
            <w:lang w:val="en-GB" w:eastAsia="en-GB"/>
          </w:rPr>
          <w:t>Article 6 : Révision de l'accord d'entreprise</w:t>
          <w:tab/>
          <w:t>2</w:t>
        </w:r>
      </w:hyperlink>
    </w:p>
    <w:p>
      <w:pPr>
        <w:pStyle w:val="Contents2"/>
        <w:tabs>
          <w:tab w:val="right" w:pos="10196" w:leader="dot"/>
        </w:tabs>
        <w:rPr>
          <w:rFonts w:eastAsia="Times New Roman"/>
          <w:lang w:val="en-GB" w:eastAsia="en-GB"/>
        </w:rPr>
      </w:pPr>
      <w:hyperlink w:anchor="__RefHeading___Toc10731081">
        <w:r>
          <w:rPr>
            <w:rStyle w:val="IndexLink"/>
            <w:lang w:val="en-GB" w:eastAsia="en-GB"/>
          </w:rPr>
          <w:t>Article 7 : Dénonciation de l'accord d'entreprise</w:t>
          <w:tab/>
          <w:t>2</w:t>
        </w:r>
      </w:hyperlink>
    </w:p>
    <w:p>
      <w:pPr>
        <w:pStyle w:val="Contents2"/>
        <w:tabs>
          <w:tab w:val="right" w:pos="10196" w:leader="dot"/>
        </w:tabs>
        <w:rPr>
          <w:rFonts w:eastAsia="Times New Roman"/>
          <w:lang w:val="en-GB" w:eastAsia="en-GB"/>
        </w:rPr>
      </w:pPr>
      <w:hyperlink w:anchor="__RefHeading___Toc10731082">
        <w:r>
          <w:rPr>
            <w:rStyle w:val="IndexLink"/>
            <w:lang w:val="en-GB" w:eastAsia="en-GB"/>
          </w:rPr>
          <w:t>Article 8 : Dépôt et publicité de l'accord d'entreprise</w:t>
          <w:tab/>
          <w:t>2</w:t>
        </w:r>
      </w:hyperlink>
    </w:p>
    <w:p>
      <w:pPr>
        <w:pStyle w:val="Contents2"/>
        <w:tabs>
          <w:tab w:val="right" w:pos="10196" w:leader="dot"/>
        </w:tabs>
        <w:rPr>
          <w:rFonts w:eastAsia="Times New Roman"/>
          <w:lang w:val="en-GB" w:eastAsia="en-GB"/>
        </w:rPr>
      </w:pPr>
      <w:hyperlink w:anchor="__RefHeading___Toc10731083">
        <w:r>
          <w:rPr>
            <w:rStyle w:val="IndexLink"/>
            <w:rFonts w:eastAsia="Times New Roman"/>
            <w:lang w:val="en-GB" w:eastAsia="en-GB"/>
          </w:rPr>
          <w:t>Article 9 : Base de données nationale des accords collectifs</w:t>
        </w:r>
        <w:r>
          <w:rPr>
            <w:rStyle w:val="IndexLink"/>
            <w:lang w:val="en-GB" w:eastAsia="en-GB"/>
          </w:rPr>
          <w:tab/>
          <w:t>3</w:t>
        </w:r>
      </w:hyperlink>
      <w:r>
        <w:fldChar w:fldCharType="end"/>
      </w:r>
    </w:p>
    <w:p>
      <w:pPr>
        <w:pStyle w:val="Contents2"/>
        <w:tabs>
          <w:tab w:val="right" w:pos="10196" w:leader="dot"/>
        </w:tabs>
        <w:ind w:left="0" w:hanging="0"/>
        <w:rPr>
          <w:rFonts w:eastAsia="Times New Roman"/>
          <w:b/>
          <w:b/>
          <w:bCs/>
          <w:lang w:val="en-GB" w:eastAsia="en-GB"/>
        </w:rPr>
      </w:pPr>
      <w:r>
        <w:rPr>
          <w:rFonts w:eastAsia="Times New Roman"/>
          <w:b/>
          <w:bCs/>
          <w:lang w:val="en-GB" w:eastAsia="en-GB"/>
        </w:rPr>
      </w:r>
    </w:p>
    <w:p>
      <w:pPr>
        <w:pStyle w:val="Contents2"/>
        <w:tabs>
          <w:tab w:val="right" w:pos="10196" w:leader="dot"/>
        </w:tabs>
        <w:ind w:left="0" w:hanging="0"/>
        <w:rPr/>
      </w:pPr>
      <w:r>
        <w:rPr/>
        <w:t>La société</w:t>
      </w:r>
      <w:r>
        <w:rPr>
          <w:rFonts w:cs="Trebuchet MS" w:ascii="Trebuchet MS" w:hAnsi="Trebuchet MS"/>
          <w:sz w:val="20"/>
          <w:szCs w:val="20"/>
        </w:rPr>
        <w:t xml:space="preserve"> dénommée SARL Thierry FAVREAU, représentée par  Monsieur XXX agissant en qualité de gérant, relevant du code APE 4321A, immatriculée sous le n° de SIRET 43756233300033 et située au 9 Rue Joseph Monnier 85220 COËX, dans le cadre des dispositions des articles L 2232-21 et suivants du code du travail, a soumis à l'ensemble des salariés un projet d'accord d'entreprise.</w:t>
      </w:r>
    </w:p>
    <w:p>
      <w:pPr>
        <w:pStyle w:val="Normal"/>
        <w:spacing w:lineRule="auto" w:line="254" w:before="0" w:after="160"/>
        <w:jc w:val="both"/>
        <w:rPr/>
      </w:pPr>
      <w:r>
        <w:rPr>
          <w:rFonts w:cs="Trebuchet MS" w:ascii="Trebuchet MS" w:hAnsi="Trebuchet MS"/>
          <w:sz w:val="20"/>
          <w:szCs w:val="20"/>
        </w:rPr>
        <w:t xml:space="preserve">Ce projet d'accord d'entreprise a été soumis à la consultation des salariés en date du 19 juillet 2019 et a été approuvé à la majorité des 2/3. </w:t>
      </w:r>
    </w:p>
    <w:p>
      <w:pPr>
        <w:pStyle w:val="Heading2"/>
        <w:numPr>
          <w:ilvl w:val="1"/>
          <w:numId w:val="1"/>
        </w:numPr>
        <w:rPr/>
      </w:pPr>
      <w:bookmarkStart w:id="0" w:name="__RefHeading___Toc10731074"/>
      <w:r>
        <w:rPr/>
        <w:t>PREAMBULE</w:t>
      </w:r>
      <w:bookmarkEnd w:id="0"/>
      <w:r>
        <w:rPr/>
        <w:t xml:space="preserve"> </w:t>
      </w:r>
    </w:p>
    <w:p>
      <w:pPr>
        <w:pStyle w:val="Normal"/>
        <w:spacing w:lineRule="auto" w:line="254" w:before="0" w:after="160"/>
        <w:jc w:val="both"/>
        <w:rPr/>
      </w:pPr>
      <w:r>
        <w:rPr>
          <w:rFonts w:cs="Trebuchet MS" w:ascii="Trebuchet MS" w:hAnsi="Trebuchet MS"/>
          <w:sz w:val="20"/>
          <w:szCs w:val="20"/>
        </w:rPr>
        <w:t xml:space="preserve">Par application des articles L. 2232-21 à L 2232-23-1 du code du travail, l’entreprise, dépourvue de délégué syndical a décidé de soumettre à son personnel un projet d’accord dont l’objet est défini ci-dessous. </w:t>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t>Le présent accord est conclu en application des articles L.2253-1 à 3 du Code du travail qui autorisent l’accord d’entreprise à déroger aux dispositions conventionnelles.</w:t>
      </w:r>
    </w:p>
    <w:p>
      <w:pPr>
        <w:pStyle w:val="Normal"/>
        <w:spacing w:lineRule="auto" w:line="254" w:before="0" w:after="160"/>
        <w:rPr>
          <w:rFonts w:ascii="Trebuchet MS" w:hAnsi="Trebuchet MS" w:cs="Trebuchet MS"/>
          <w:sz w:val="20"/>
          <w:szCs w:val="20"/>
        </w:rPr>
      </w:pPr>
      <w:r>
        <w:rPr>
          <w:rFonts w:cs="Trebuchet MS" w:ascii="Trebuchet MS" w:hAnsi="Trebuchet MS"/>
          <w:sz w:val="20"/>
          <w:szCs w:val="20"/>
        </w:rPr>
        <w:t>Dans ce cadre, il a été convenu ce qui suit.</w:t>
      </w:r>
    </w:p>
    <w:p>
      <w:pPr>
        <w:pStyle w:val="Normal"/>
        <w:spacing w:lineRule="auto" w:line="254" w:before="0" w:after="160"/>
        <w:rPr>
          <w:rFonts w:ascii="Trebuchet MS" w:hAnsi="Trebuchet MS" w:cs="Trebuchet MS"/>
          <w:sz w:val="20"/>
          <w:szCs w:val="20"/>
        </w:rPr>
      </w:pPr>
      <w:r>
        <w:rPr>
          <w:rFonts w:cs="Trebuchet MS" w:ascii="Trebuchet MS" w:hAnsi="Trebuchet MS"/>
          <w:sz w:val="20"/>
          <w:szCs w:val="20"/>
        </w:rPr>
      </w:r>
    </w:p>
    <w:p>
      <w:pPr>
        <w:pStyle w:val="Heading2"/>
        <w:numPr>
          <w:ilvl w:val="1"/>
          <w:numId w:val="1"/>
        </w:numPr>
        <w:rPr/>
      </w:pPr>
      <w:bookmarkStart w:id="1" w:name="__RefHeading___Toc10731075"/>
      <w:r>
        <w:rPr/>
        <w:t>Article 1 : Champ d'application</w:t>
      </w:r>
      <w:bookmarkEnd w:id="1"/>
      <w:r>
        <w:rPr/>
        <w:t xml:space="preserve"> </w:t>
      </w:r>
    </w:p>
    <w:p>
      <w:pPr>
        <w:pStyle w:val="Normal"/>
        <w:rPr/>
      </w:pPr>
      <w:r>
        <w:rPr/>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t>Le présent accord d'entreprise s'applique aux salariés ETAM et Ouvriers de la société SARL Thierry FAVREAU, quelque soit le type de contrat ainsi qu’aux salariés mis à disposition (intérimaires, …).</w:t>
      </w:r>
    </w:p>
    <w:p>
      <w:pPr>
        <w:pStyle w:val="Heading2"/>
        <w:numPr>
          <w:ilvl w:val="1"/>
          <w:numId w:val="1"/>
        </w:numPr>
        <w:rPr/>
      </w:pPr>
      <w:bookmarkStart w:id="2" w:name="__RefHeading___Toc10731076"/>
      <w:r>
        <w:rPr/>
        <w:t>Article 2: Objet</w:t>
      </w:r>
      <w:bookmarkEnd w:id="2"/>
      <w:r>
        <w:rPr/>
        <w:t xml:space="preserve"> </w:t>
      </w:r>
    </w:p>
    <w:p>
      <w:pPr>
        <w:pStyle w:val="Normal"/>
        <w:rPr/>
      </w:pPr>
      <w:r>
        <w:rPr/>
      </w:r>
    </w:p>
    <w:p>
      <w:pPr>
        <w:pStyle w:val="Normal"/>
        <w:spacing w:lineRule="auto" w:line="254" w:before="0" w:after="160"/>
        <w:jc w:val="both"/>
        <w:rPr/>
      </w:pPr>
      <w:r>
        <w:rPr>
          <w:rFonts w:cs="Trebuchet MS" w:ascii="Trebuchet MS" w:hAnsi="Trebuchet MS"/>
          <w:sz w:val="20"/>
          <w:szCs w:val="20"/>
        </w:rPr>
        <w:t>Cet accord vise à instituer des règles adaptées aux besoins de l’entreprise et de ses salariés sur le contingent annuel d’heures supplémentaires.</w:t>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r>
    </w:p>
    <w:p>
      <w:pPr>
        <w:pStyle w:val="Heading2"/>
        <w:numPr>
          <w:ilvl w:val="1"/>
          <w:numId w:val="1"/>
        </w:numPr>
        <w:rPr/>
      </w:pPr>
      <w:bookmarkStart w:id="3" w:name="__RefHeading___Toc10731077"/>
      <w:bookmarkEnd w:id="3"/>
      <w:r>
        <w:rPr/>
        <w:t>Article 3 : Contingent annuel d’heures supplémentaires</w:t>
      </w:r>
    </w:p>
    <w:p>
      <w:pPr>
        <w:pStyle w:val="Normal"/>
        <w:rPr/>
      </w:pPr>
      <w:r>
        <w:rPr/>
      </w:r>
    </w:p>
    <w:p>
      <w:pPr>
        <w:pStyle w:val="TabNote"/>
        <w:spacing w:before="0" w:after="0"/>
        <w:jc w:val="both"/>
        <w:rPr>
          <w:sz w:val="20"/>
          <w:szCs w:val="20"/>
        </w:rPr>
      </w:pPr>
      <w:r>
        <w:rPr>
          <w:sz w:val="20"/>
          <w:szCs w:val="20"/>
        </w:rPr>
        <w:t xml:space="preserve">La durée légale du travail est de 35 heures par semaine. </w:t>
      </w:r>
    </w:p>
    <w:p>
      <w:pPr>
        <w:pStyle w:val="TabNote"/>
        <w:spacing w:before="120" w:after="0"/>
        <w:contextualSpacing/>
        <w:jc w:val="both"/>
        <w:rPr>
          <w:sz w:val="20"/>
          <w:szCs w:val="20"/>
        </w:rPr>
      </w:pPr>
      <w:r>
        <w:rPr>
          <w:sz w:val="20"/>
          <w:szCs w:val="20"/>
        </w:rPr>
        <w:t>Le présent accord augmente le contingent annuel d’heures supplémentaires fixé par les conventions collectives du bâtiment. Le contingent fixé par cet accord est de 300 heures par an et par salarié.</w:t>
      </w:r>
    </w:p>
    <w:p>
      <w:pPr>
        <w:pStyle w:val="TabNote"/>
        <w:spacing w:before="120" w:after="0"/>
        <w:contextualSpacing/>
        <w:jc w:val="both"/>
        <w:rPr/>
      </w:pPr>
      <w:r>
        <w:rPr>
          <w:sz w:val="20"/>
          <w:szCs w:val="20"/>
        </w:rPr>
        <w:t>La période de référence pour calculer le contingent est l’année civile.</w:t>
      </w:r>
    </w:p>
    <w:p>
      <w:pPr>
        <w:pStyle w:val="TabNote"/>
        <w:spacing w:before="120" w:after="0"/>
        <w:contextualSpacing/>
        <w:jc w:val="both"/>
        <w:rPr>
          <w:sz w:val="20"/>
          <w:szCs w:val="20"/>
        </w:rPr>
      </w:pPr>
      <w:r>
        <w:rPr>
          <w:sz w:val="20"/>
          <w:szCs w:val="20"/>
        </w:rPr>
      </w:r>
    </w:p>
    <w:p>
      <w:pPr>
        <w:pStyle w:val="Heading2"/>
        <w:numPr>
          <w:ilvl w:val="1"/>
          <w:numId w:val="1"/>
        </w:numPr>
        <w:rPr/>
      </w:pPr>
      <w:bookmarkStart w:id="4" w:name="__RefHeading___Toc10731078"/>
      <w:r>
        <w:rPr/>
        <w:t>Article 4 : Suivi de l'accord</w:t>
      </w:r>
      <w:bookmarkEnd w:id="4"/>
      <w:r>
        <w:rPr/>
        <w:t xml:space="preserve"> </w:t>
      </w:r>
    </w:p>
    <w:p>
      <w:pPr>
        <w:pStyle w:val="Normal"/>
        <w:rPr/>
      </w:pPr>
      <w:r>
        <w:rPr/>
      </w:r>
    </w:p>
    <w:p>
      <w:pPr>
        <w:pStyle w:val="Normal"/>
        <w:spacing w:lineRule="auto" w:line="254" w:before="0" w:after="160"/>
        <w:jc w:val="both"/>
        <w:rPr/>
      </w:pPr>
      <w:r>
        <w:rPr>
          <w:rFonts w:cs="Trebuchet MS" w:ascii="Trebuchet MS" w:hAnsi="Trebuchet MS"/>
          <w:sz w:val="20"/>
          <w:szCs w:val="20"/>
        </w:rPr>
        <w:t>Une réunion se tiendra, une fois par an au siège de la société SARL Thierry FAVREAU afin d'examiner les conditions d’application de l'accord et de répondre aux observations formulées.</w:t>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r>
    </w:p>
    <w:p>
      <w:pPr>
        <w:pStyle w:val="Heading2"/>
        <w:numPr>
          <w:ilvl w:val="1"/>
          <w:numId w:val="1"/>
        </w:numPr>
        <w:rPr/>
      </w:pPr>
      <w:bookmarkStart w:id="5" w:name="__RefHeading___Toc10731079"/>
      <w:r>
        <w:rPr/>
        <w:t>Article 5 : Durée de l'accord d'entreprise et entrée en vigueur</w:t>
      </w:r>
      <w:bookmarkEnd w:id="5"/>
      <w:r>
        <w:rPr/>
        <w:t xml:space="preserve"> </w:t>
      </w:r>
    </w:p>
    <w:p>
      <w:pPr>
        <w:pStyle w:val="Normal"/>
        <w:rPr/>
      </w:pPr>
      <w:r>
        <w:rPr/>
      </w:r>
    </w:p>
    <w:p>
      <w:pPr>
        <w:pStyle w:val="Heading2"/>
        <w:numPr>
          <w:ilvl w:val="1"/>
          <w:numId w:val="1"/>
        </w:numPr>
        <w:rPr>
          <w:rFonts w:ascii="Trebuchet MS" w:hAnsi="Trebuchet MS" w:cs="Trebuchet MS"/>
          <w:sz w:val="20"/>
          <w:szCs w:val="20"/>
        </w:rPr>
      </w:pPr>
      <w:r>
        <w:rPr>
          <w:rFonts w:cs="Trebuchet MS" w:ascii="Trebuchet MS" w:hAnsi="Trebuchet MS"/>
          <w:sz w:val="20"/>
          <w:szCs w:val="20"/>
        </w:rPr>
        <w:t xml:space="preserve">Le présent accord est conclu pour une durée indéterminée. </w:t>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t>Il entrera en vigueur le 31/07/2019</w:t>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r>
    </w:p>
    <w:p>
      <w:pPr>
        <w:pStyle w:val="Heading2"/>
        <w:numPr>
          <w:ilvl w:val="1"/>
          <w:numId w:val="1"/>
        </w:numPr>
        <w:rPr/>
      </w:pPr>
      <w:bookmarkStart w:id="6" w:name="__RefHeading___Toc10731080"/>
      <w:r>
        <w:rPr/>
        <w:t>Article 6 : Révision de l'accord d'entreprise</w:t>
      </w:r>
      <w:bookmarkEnd w:id="6"/>
      <w:r>
        <w:rPr/>
        <w:t xml:space="preserve"> </w:t>
      </w:r>
    </w:p>
    <w:p>
      <w:pPr>
        <w:pStyle w:val="Normal"/>
        <w:rPr/>
      </w:pPr>
      <w:r>
        <w:rPr/>
      </w:r>
    </w:p>
    <w:p>
      <w:pPr>
        <w:pStyle w:val="Normal"/>
        <w:spacing w:lineRule="auto" w:line="254" w:before="0" w:after="160"/>
        <w:jc w:val="both"/>
        <w:rPr/>
      </w:pPr>
      <w:r>
        <w:rPr>
          <w:rFonts w:cs="Trebuchet MS" w:ascii="Trebuchet MS" w:hAnsi="Trebuchet MS"/>
          <w:sz w:val="20"/>
          <w:szCs w:val="20"/>
        </w:rPr>
        <w:t>Conformément aux dispositions de l'article L.2222-5 du code du travail, à l'issue d'une période de douze mois d'application de l'accord d'entreprise, toute disposition modifiant le présent accord d'entreprise pourra faire l'objet de l'établissement d'un avenant.</w:t>
      </w:r>
    </w:p>
    <w:p>
      <w:pPr>
        <w:pStyle w:val="Normal"/>
        <w:spacing w:lineRule="auto" w:line="254" w:before="0" w:after="160"/>
        <w:jc w:val="both"/>
        <w:rPr/>
      </w:pPr>
      <w:r>
        <w:rPr>
          <w:rFonts w:cs="Trebuchet MS" w:ascii="Trebuchet MS" w:hAnsi="Trebuchet MS"/>
          <w:sz w:val="20"/>
          <w:szCs w:val="20"/>
        </w:rPr>
        <w:t>(</w:t>
      </w:r>
      <w:r>
        <w:rPr>
          <w:rFonts w:cs="Trebuchet MS" w:ascii="Trebuchet MS" w:hAnsi="Trebuchet MS"/>
          <w:i/>
          <w:sz w:val="20"/>
          <w:szCs w:val="20"/>
        </w:rPr>
        <w:t>Toute demande de révision sera notifiée par lettre recommandée avec avis de réception à l'autre partie, déposée auprès des services centraux du ministre chargé du travail et comporter un projet relatif aux dispositions dont la révision est demandée</w:t>
      </w:r>
      <w:r>
        <w:rPr>
          <w:rFonts w:cs="Trebuchet MS" w:ascii="Trebuchet MS" w:hAnsi="Trebuchet MS"/>
          <w:sz w:val="20"/>
          <w:szCs w:val="20"/>
        </w:rPr>
        <w:t>).</w:t>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t>Les dispositions, objet de la demande de révision, resteront en vigueur jusqu'à la conclusion de l'avenant de révision et seront maintenues dans l'hypothèse où les négociations d'un avenant n'aboutiraient pas.</w:t>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r>
    </w:p>
    <w:p>
      <w:pPr>
        <w:pStyle w:val="Heading2"/>
        <w:numPr>
          <w:ilvl w:val="1"/>
          <w:numId w:val="1"/>
        </w:numPr>
        <w:rPr/>
      </w:pPr>
      <w:bookmarkStart w:id="7" w:name="__RefHeading___Toc10731081"/>
      <w:r>
        <w:rPr/>
        <w:t>Article 7 : Dénonciation de l'accord d'entreprise</w:t>
      </w:r>
      <w:bookmarkEnd w:id="7"/>
      <w:r>
        <w:rPr/>
        <w:t xml:space="preserve"> </w:t>
      </w:r>
    </w:p>
    <w:p>
      <w:pPr>
        <w:pStyle w:val="Normal"/>
        <w:rPr/>
      </w:pPr>
      <w:r>
        <w:rPr/>
      </w:r>
    </w:p>
    <w:p>
      <w:pPr>
        <w:pStyle w:val="Normal"/>
        <w:spacing w:lineRule="auto" w:line="254" w:before="0" w:after="160"/>
        <w:jc w:val="both"/>
        <w:rPr/>
      </w:pPr>
      <w:r>
        <w:rPr>
          <w:rFonts w:cs="Trebuchet MS" w:ascii="Trebuchet MS" w:hAnsi="Trebuchet MS"/>
          <w:sz w:val="20"/>
          <w:szCs w:val="20"/>
        </w:rPr>
        <w:t xml:space="preserve">Conformément aux dispositions de l'article L 2222-6 du code du travail, le présent accord pourra être dénoncé en tout ou partie par l'une des parties, après un préavis de trois mois. </w:t>
      </w:r>
      <w:r>
        <w:rPr>
          <w:rFonts w:cs="Trebuchet MS" w:ascii="Trebuchet MS" w:hAnsi="Trebuchet MS"/>
          <w:i/>
          <w:sz w:val="20"/>
          <w:szCs w:val="20"/>
        </w:rPr>
        <w:t>.</w:t>
      </w:r>
      <w:r>
        <w:rPr>
          <w:rFonts w:cs="Trebuchet MS" w:ascii="Trebuchet MS" w:hAnsi="Trebuchet MS"/>
          <w:sz w:val="20"/>
          <w:szCs w:val="20"/>
        </w:rPr>
        <w:t>La dénonciation est notifiée à l'autre partie par lettre recommandée avec avis de réception et déposée auprès des services centraux du ministre chargé du travail.</w:t>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t>En cas de dénonciation totale ou partielle, la disposition dénoncée ou la totalité de l'accord restera en vigueur pendant une durée d'un an, à partir de l'expiration du délai de préavis fixé au paragraphe précédent, à moins qu'un nouveau texte ne l'ait remplacé, avant cette date.</w:t>
      </w:r>
    </w:p>
    <w:p>
      <w:pPr>
        <w:pStyle w:val="Heading2"/>
        <w:numPr>
          <w:ilvl w:val="1"/>
          <w:numId w:val="1"/>
        </w:numPr>
        <w:rPr/>
      </w:pPr>
      <w:bookmarkStart w:id="8" w:name="__RefHeading___Toc10731082"/>
      <w:r>
        <w:rPr/>
        <w:t>Article 8 : Dépôt et publicité de l'accord d'entreprise</w:t>
      </w:r>
      <w:bookmarkEnd w:id="8"/>
      <w:r>
        <w:rPr/>
        <w:t xml:space="preserve"> </w:t>
      </w:r>
    </w:p>
    <w:p>
      <w:pPr>
        <w:pStyle w:val="Normal"/>
        <w:rPr/>
      </w:pPr>
      <w:r>
        <w:rPr/>
      </w:r>
    </w:p>
    <w:p>
      <w:pPr>
        <w:pStyle w:val="Normal"/>
        <w:jc w:val="both"/>
        <w:rPr>
          <w:rFonts w:ascii="Trebuchet MS" w:hAnsi="Trebuchet MS" w:cs="Trebuchet MS"/>
          <w:sz w:val="20"/>
          <w:szCs w:val="20"/>
        </w:rPr>
      </w:pPr>
      <w:r>
        <w:rPr>
          <w:rFonts w:cs="Trebuchet MS" w:ascii="Trebuchet MS" w:hAnsi="Trebuchet MS"/>
          <w:sz w:val="20"/>
          <w:szCs w:val="20"/>
        </w:rPr>
        <w:t xml:space="preserve">Le présent accord est déposé par la société SARL Thierry FAVREAU sur support électronique à l'adresse : </w:t>
      </w:r>
      <w:hyperlink r:id="rId2" w:tgtFrame="_blank">
        <w:r>
          <w:rPr>
            <w:rStyle w:val="InternetLink"/>
            <w:rFonts w:cs="Arial" w:ascii="Arial" w:hAnsi="Arial"/>
            <w:color w:val="003399"/>
            <w:sz w:val="20"/>
            <w:szCs w:val="20"/>
            <w:shd w:fill="FFFFFF" w:val="clear"/>
          </w:rPr>
          <w:t>https://www.teleaccords.travail-emploi.gouv.fr/</w:t>
        </w:r>
      </w:hyperlink>
      <w:r>
        <w:rPr>
          <w:rFonts w:cs="Trebuchet MS" w:ascii="Trebuchet MS" w:hAnsi="Trebuchet MS"/>
          <w:i/>
          <w:sz w:val="20"/>
          <w:szCs w:val="20"/>
        </w:rPr>
        <w:t>.</w:t>
      </w:r>
    </w:p>
    <w:p>
      <w:pPr>
        <w:pStyle w:val="Normal"/>
        <w:jc w:val="both"/>
        <w:rPr>
          <w:rFonts w:ascii="Trebuchet MS" w:hAnsi="Trebuchet MS" w:cs="Trebuchet MS"/>
          <w:sz w:val="20"/>
          <w:szCs w:val="20"/>
        </w:rPr>
      </w:pPr>
      <w:r>
        <w:rPr>
          <w:rFonts w:cs="Trebuchet MS" w:ascii="Trebuchet MS" w:hAnsi="Trebuchet MS"/>
          <w:sz w:val="20"/>
          <w:szCs w:val="20"/>
        </w:rPr>
        <w:t>Le dépôt comprend également une copie du procès-verbal établi à l'issue de la consultation des salariés.</w:t>
      </w:r>
    </w:p>
    <w:p>
      <w:pPr>
        <w:pStyle w:val="Normal"/>
        <w:jc w:val="both"/>
        <w:rPr>
          <w:rFonts w:ascii="Trebuchet MS" w:hAnsi="Trebuchet MS" w:cs="Trebuchet MS"/>
          <w:sz w:val="20"/>
          <w:szCs w:val="20"/>
        </w:rPr>
      </w:pPr>
      <w:r>
        <w:rPr>
          <w:rFonts w:cs="Trebuchet MS" w:ascii="Trebuchet MS" w:hAnsi="Trebuchet MS"/>
          <w:sz w:val="20"/>
          <w:szCs w:val="20"/>
        </w:rPr>
        <w:t>Un exemplaire sera également adressé au secrétariat- greffe du conseil de prud'hommes DES SABLES D’OLONNE, ainsi qu'à chacun des salariés.</w:t>
      </w:r>
    </w:p>
    <w:p>
      <w:pPr>
        <w:pStyle w:val="Normal"/>
        <w:jc w:val="both"/>
        <w:rPr>
          <w:rFonts w:ascii="Trebuchet MS" w:hAnsi="Trebuchet MS" w:cs="Trebuchet MS"/>
          <w:sz w:val="20"/>
          <w:szCs w:val="20"/>
        </w:rPr>
      </w:pPr>
      <w:r>
        <w:rPr>
          <w:rFonts w:cs="Trebuchet MS" w:ascii="Trebuchet MS" w:hAnsi="Trebuchet MS"/>
          <w:sz w:val="20"/>
          <w:szCs w:val="20"/>
        </w:rPr>
      </w:r>
    </w:p>
    <w:p>
      <w:pPr>
        <w:pStyle w:val="Normal"/>
        <w:jc w:val="both"/>
        <w:rPr>
          <w:rFonts w:ascii="Trebuchet MS" w:hAnsi="Trebuchet MS" w:cs="Trebuchet MS"/>
          <w:sz w:val="20"/>
          <w:szCs w:val="20"/>
        </w:rPr>
      </w:pPr>
      <w:bookmarkStart w:id="9" w:name="_GoBack"/>
      <w:bookmarkStart w:id="10" w:name="_GoBack"/>
      <w:bookmarkEnd w:id="10"/>
      <w:r>
        <w:rPr>
          <w:rFonts w:cs="Trebuchet MS" w:ascii="Trebuchet MS" w:hAnsi="Trebuchet MS"/>
          <w:sz w:val="20"/>
          <w:szCs w:val="20"/>
        </w:rPr>
      </w:r>
    </w:p>
    <w:p>
      <w:pPr>
        <w:pStyle w:val="Heading2"/>
        <w:numPr>
          <w:ilvl w:val="1"/>
          <w:numId w:val="1"/>
        </w:numPr>
        <w:rPr/>
      </w:pPr>
      <w:bookmarkStart w:id="11" w:name="__RefHeading___Toc10731083"/>
      <w:r>
        <w:rPr/>
        <w:t>Article 9 : Base de données nationale des accords collectifs</w:t>
      </w:r>
      <w:bookmarkEnd w:id="11"/>
      <w:r>
        <w:rPr/>
        <w:t xml:space="preserve"> </w:t>
      </w:r>
    </w:p>
    <w:p>
      <w:pPr>
        <w:pStyle w:val="Normal"/>
        <w:rPr/>
      </w:pPr>
      <w:r>
        <w:rPr/>
      </w:r>
    </w:p>
    <w:p>
      <w:pPr>
        <w:pStyle w:val="Normal"/>
        <w:spacing w:lineRule="auto" w:line="254" w:before="0" w:after="160"/>
        <w:jc w:val="both"/>
        <w:rPr>
          <w:rFonts w:ascii="Trebuchet MS" w:hAnsi="Trebuchet MS" w:cs="Trebuchet MS"/>
          <w:sz w:val="20"/>
          <w:szCs w:val="20"/>
        </w:rPr>
      </w:pPr>
      <w:r>
        <w:rPr>
          <w:rFonts w:cs="Trebuchet MS" w:ascii="Trebuchet MS" w:hAnsi="Trebuchet MS"/>
          <w:sz w:val="20"/>
          <w:szCs w:val="20"/>
        </w:rPr>
        <w:t>Conformément aux dispositions de l'article L 2231-5-1 du code du travail et dans les 20 jours qui suivent le dépôt du présent accord d'entreprise auprès de la DIRECCTE, le présent accord est déposé, dans sa version intégrale, sur la base de données des accords collectifs</w:t>
      </w:r>
    </w:p>
    <w:p>
      <w:pPr>
        <w:pStyle w:val="Normal"/>
        <w:jc w:val="both"/>
        <w:rPr>
          <w:rFonts w:ascii="Trebuchet MS" w:hAnsi="Trebuchet MS" w:cs="Arial"/>
          <w:sz w:val="20"/>
          <w:szCs w:val="20"/>
        </w:rPr>
      </w:pPr>
      <w:r>
        <w:rPr>
          <w:rFonts w:cs="Arial" w:ascii="Trebuchet MS" w:hAnsi="Trebuchet MS"/>
          <w:sz w:val="20"/>
          <w:szCs w:val="20"/>
        </w:rPr>
        <w:t>Fait à Coëx</w:t>
      </w:r>
    </w:p>
    <w:p>
      <w:pPr>
        <w:pStyle w:val="Normal"/>
        <w:jc w:val="both"/>
        <w:rPr>
          <w:rFonts w:ascii="Trebuchet MS" w:hAnsi="Trebuchet MS" w:cs="Arial"/>
          <w:sz w:val="20"/>
          <w:szCs w:val="20"/>
        </w:rPr>
      </w:pPr>
      <w:r>
        <w:rPr>
          <w:rFonts w:cs="Arial" w:ascii="Trebuchet MS" w:hAnsi="Trebuchet MS"/>
          <w:sz w:val="20"/>
          <w:szCs w:val="20"/>
        </w:rPr>
        <w:t>Le 4 Juillet 2019</w:t>
      </w:r>
    </w:p>
    <w:p>
      <w:pPr>
        <w:pStyle w:val="Normal"/>
        <w:jc w:val="both"/>
        <w:rPr>
          <w:rFonts w:ascii="Trebuchet MS" w:hAnsi="Trebuchet MS" w:cs="Arial"/>
          <w:sz w:val="20"/>
          <w:szCs w:val="20"/>
        </w:rPr>
      </w:pPr>
      <w:r>
        <w:rPr>
          <w:rFonts w:cs="Arial" w:ascii="Trebuchet MS" w:hAnsi="Trebuchet MS"/>
          <w:sz w:val="20"/>
          <w:szCs w:val="20"/>
        </w:rPr>
      </w:r>
    </w:p>
    <w:p>
      <w:pPr>
        <w:pStyle w:val="Normal"/>
        <w:jc w:val="both"/>
        <w:rPr>
          <w:rFonts w:ascii="Trebuchet MS" w:hAnsi="Trebuchet MS" w:cs="Arial"/>
          <w:sz w:val="20"/>
          <w:szCs w:val="20"/>
        </w:rPr>
      </w:pPr>
      <w:r>
        <w:rPr>
          <w:rFonts w:cs="Arial" w:ascii="Trebuchet MS" w:hAnsi="Trebuchet MS"/>
          <w:sz w:val="20"/>
          <w:szCs w:val="20"/>
        </w:rPr>
      </w:r>
    </w:p>
    <w:p>
      <w:pPr>
        <w:pStyle w:val="Normal"/>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t>Le Gérant</w:t>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rFonts w:ascii="Trebuchet MS" w:hAnsi="Trebuchet MS" w:cs="Arial"/>
          <w:sz w:val="20"/>
          <w:szCs w:val="20"/>
        </w:rPr>
      </w:pPr>
      <w:r>
        <w:rPr>
          <w:rFonts w:cs="Arial" w:ascii="Trebuchet MS" w:hAnsi="Trebuchet MS"/>
          <w:sz w:val="20"/>
          <w:szCs w:val="20"/>
        </w:rPr>
      </w:r>
    </w:p>
    <w:p>
      <w:pPr>
        <w:pStyle w:val="Normal"/>
        <w:ind w:left="4395" w:hanging="0"/>
        <w:jc w:val="both"/>
        <w:rPr/>
      </w:pPr>
      <w:r>
        <w:rPr>
          <w:rFonts w:cs="Arial" w:ascii="Trebuchet MS" w:hAnsi="Trebuchet MS"/>
          <w:sz w:val="20"/>
          <w:szCs w:val="20"/>
        </w:rPr>
        <w:t>Le Représentant des salariés  (+Feuille d’émargement)</w:t>
      </w:r>
    </w:p>
    <w:p>
      <w:pPr>
        <w:pStyle w:val="Normal"/>
        <w:tabs>
          <w:tab w:val="left" w:pos="6640" w:leader="none"/>
        </w:tabs>
        <w:rPr>
          <w:rFonts w:ascii="Trebuchet MS" w:hAnsi="Trebuchet MS" w:cs="Arial"/>
          <w:sz w:val="22"/>
          <w:szCs w:val="22"/>
        </w:rPr>
      </w:pPr>
      <w:r>
        <w:rPr>
          <w:rFonts w:cs="Arial" w:ascii="Trebuchet MS" w:hAnsi="Trebuchet MS"/>
          <w:sz w:val="22"/>
          <w:szCs w:val="22"/>
        </w:rPr>
      </w:r>
    </w:p>
    <w:sectPr>
      <w:type w:val="nextPage"/>
      <w:pgSz w:w="11906" w:h="16838"/>
      <w:pgMar w:left="720" w:right="720" w:header="0" w:top="720" w:footer="0" w:bottom="72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ymbol">
    <w:charset w:val="01"/>
    <w:family w:val="roman"/>
    <w:pitch w:val="variable"/>
  </w:font>
  <w:font w:name="Liberation Sans">
    <w:altName w:val="Arial"/>
    <w:charset w:val="01"/>
    <w:family w:val="swiss"/>
    <w:pitch w:val="variable"/>
  </w:font>
  <w:font w:name="Tahoma">
    <w:charset w:val="00"/>
    <w:family w:val="swiss"/>
    <w:pitch w:val="variable"/>
  </w:font>
  <w:font w:name="Trebuchet MS">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bering>
</file>

<file path=word/settings.xml><?xml version="1.0" encoding="utf-8"?>
<w:settings xmlns:w="http://schemas.openxmlformats.org/wordprocessingml/2006/main">
  <w:zoom w:percent="7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numPr>
        <w:ilvl w:val="0"/>
        <w:numId w:val="1"/>
      </w:numPr>
      <w:outlineLvl w:val="0"/>
      <w:outlineLvl w:val="0"/>
    </w:pPr>
    <w:rPr>
      <w:b/>
      <w:bCs/>
    </w:rPr>
  </w:style>
  <w:style w:type="paragraph" w:styleId="Heading2">
    <w:name w:val="Heading 2"/>
    <w:basedOn w:val="Normal"/>
    <w:next w:val="Normal"/>
    <w:qFormat/>
    <w:pPr>
      <w:keepNext/>
      <w:numPr>
        <w:ilvl w:val="1"/>
        <w:numId w:val="1"/>
      </w:numPr>
      <w:spacing w:lineRule="auto" w:line="360"/>
      <w:outlineLvl w:val="1"/>
      <w:outlineLvl w:val="1"/>
    </w:pPr>
    <w:rPr>
      <w:b/>
      <w:bCs/>
      <w:sz w:val="28"/>
    </w:rPr>
  </w:style>
  <w:style w:type="paragraph" w:styleId="Heading3">
    <w:name w:val="Heading 3"/>
    <w:basedOn w:val="Normal"/>
    <w:next w:val="Normal"/>
    <w:qFormat/>
    <w:pPr>
      <w:keepNext/>
      <w:numPr>
        <w:ilvl w:val="2"/>
        <w:numId w:val="1"/>
      </w:numPr>
      <w:outlineLvl w:val="2"/>
      <w:outlineLvl w:val="2"/>
    </w:pPr>
    <w:rPr>
      <w:sz w:val="28"/>
    </w:rPr>
  </w:style>
  <w:style w:type="paragraph" w:styleId="Heading4">
    <w:name w:val="Heading 4"/>
    <w:basedOn w:val="Normal"/>
    <w:next w:val="Normal"/>
    <w:qFormat/>
    <w:pPr>
      <w:keepNext/>
      <w:numPr>
        <w:ilvl w:val="3"/>
        <w:numId w:val="1"/>
      </w:numPr>
      <w:tabs>
        <w:tab w:val="left" w:pos="3080" w:leader="none"/>
      </w:tabs>
      <w:jc w:val="center"/>
      <w:outlineLvl w:val="3"/>
      <w:outlineLvl w:val="3"/>
    </w:pPr>
    <w:rPr>
      <w:u w:val="single"/>
    </w:rPr>
  </w:style>
  <w:style w:type="paragraph" w:styleId="Heading5">
    <w:name w:val="Heading 5"/>
    <w:basedOn w:val="Normal"/>
    <w:next w:val="Normal"/>
    <w:qFormat/>
    <w:pPr>
      <w:keepNext/>
      <w:numPr>
        <w:ilvl w:val="4"/>
        <w:numId w:val="1"/>
      </w:numPr>
      <w:tabs>
        <w:tab w:val="left" w:pos="5400" w:leader="none"/>
      </w:tabs>
      <w:outlineLvl w:val="4"/>
      <w:outlineLvl w:val="4"/>
    </w:pPr>
    <w:rPr>
      <w:b/>
      <w:bCs/>
      <w:sz w:val="32"/>
    </w:rPr>
  </w:style>
  <w:style w:type="paragraph" w:styleId="Heading6">
    <w:name w:val="Heading 6"/>
    <w:basedOn w:val="Normal"/>
    <w:next w:val="Normal"/>
    <w:qFormat/>
    <w:pPr>
      <w:keepNext/>
      <w:numPr>
        <w:ilvl w:val="5"/>
        <w:numId w:val="1"/>
      </w:numPr>
      <w:tabs>
        <w:tab w:val="left" w:pos="5400" w:leader="none"/>
      </w:tabs>
      <w:outlineLvl w:val="5"/>
      <w:outlineLvl w:val="5"/>
    </w:pPr>
    <w:rPr>
      <w:b/>
      <w:bCs/>
      <w:sz w:val="36"/>
      <w:lang w:val="en-GB"/>
    </w:rPr>
  </w:style>
  <w:style w:type="paragraph" w:styleId="Heading7">
    <w:name w:val="Heading 7"/>
    <w:basedOn w:val="Normal"/>
    <w:next w:val="Normal"/>
    <w:qFormat/>
    <w:pPr>
      <w:keepNext/>
      <w:numPr>
        <w:ilvl w:val="6"/>
        <w:numId w:val="1"/>
      </w:numPr>
      <w:tabs>
        <w:tab w:val="left" w:pos="2700" w:leader="none"/>
      </w:tabs>
      <w:jc w:val="center"/>
      <w:outlineLvl w:val="6"/>
      <w:outlineLvl w:val="6"/>
    </w:pPr>
    <w:rPr>
      <w:b/>
      <w:bCs/>
      <w:sz w:val="28"/>
      <w:u w:val="single"/>
    </w:rPr>
  </w:style>
  <w:style w:type="paragraph" w:styleId="Heading8">
    <w:name w:val="Heading 8"/>
    <w:basedOn w:val="Normal"/>
    <w:next w:val="Normal"/>
    <w:qFormat/>
    <w:pPr>
      <w:keepNext/>
      <w:numPr>
        <w:ilvl w:val="7"/>
        <w:numId w:val="1"/>
      </w:numPr>
      <w:outlineLvl w:val="7"/>
      <w:outlineLvl w:val="7"/>
    </w:pPr>
    <w:rPr>
      <w:u w:val="single"/>
    </w:rPr>
  </w:style>
  <w:style w:type="paragraph" w:styleId="Heading9">
    <w:name w:val="Heading 9"/>
    <w:basedOn w:val="Normal"/>
    <w:next w:val="Normal"/>
    <w:qFormat/>
    <w:pPr>
      <w:keepNext/>
      <w:numPr>
        <w:ilvl w:val="8"/>
        <w:numId w:val="1"/>
      </w:numPr>
      <w:tabs>
        <w:tab w:val="left" w:pos="1600" w:leader="none"/>
      </w:tabs>
      <w:outlineLvl w:val="8"/>
      <w:outlineLvl w:val="8"/>
    </w:pPr>
    <w:rPr>
      <w:color w:val="FF0000"/>
      <w:sz w:val="36"/>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Policepardfaut">
    <w:name w:val="Police par défaut"/>
    <w:qFormat/>
    <w:rPr/>
  </w:style>
  <w:style w:type="character" w:styleId="EntteCar">
    <w:name w:val="En-tête Car"/>
    <w:qFormat/>
    <w:rPr>
      <w:sz w:val="24"/>
      <w:szCs w:val="24"/>
    </w:rPr>
  </w:style>
  <w:style w:type="character" w:styleId="PieddepageCar">
    <w:name w:val="Pied de page Car"/>
    <w:qFormat/>
    <w:rPr>
      <w:sz w:val="24"/>
      <w:szCs w:val="24"/>
    </w:rPr>
  </w:style>
  <w:style w:type="character" w:styleId="InternetLink">
    <w:name w:val="Internet Link"/>
    <w:rPr>
      <w:color w:val="0000FF"/>
      <w:u w:val="single"/>
    </w:rPr>
  </w:style>
  <w:style w:type="character" w:styleId="IndexLink">
    <w:name w:val="Index Link"/>
    <w:qFormat/>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tabs>
        <w:tab w:val="left" w:pos="3080" w:leader="none"/>
      </w:tabs>
      <w:ind w:right="-648" w:hanging="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BodyIndent">
    <w:name w:val="Text Body Indent"/>
    <w:basedOn w:val="Normal"/>
    <w:pPr>
      <w:ind w:firstLine="2160"/>
    </w:pPr>
    <w:rPr/>
  </w:style>
  <w:style w:type="paragraph" w:styleId="Retraitcorpsdetexte2">
    <w:name w:val="Retrait corps de texte 2"/>
    <w:basedOn w:val="Normal"/>
    <w:qFormat/>
    <w:pPr>
      <w:tabs>
        <w:tab w:val="left" w:pos="3080" w:leader="none"/>
      </w:tabs>
      <w:ind w:right="-648" w:firstLine="1995"/>
    </w:pPr>
    <w:rPr/>
  </w:style>
  <w:style w:type="paragraph" w:styleId="Retraitcorpsdetexte3">
    <w:name w:val="Retrait corps de texte 3"/>
    <w:basedOn w:val="Normal"/>
    <w:qFormat/>
    <w:pPr>
      <w:tabs>
        <w:tab w:val="left" w:pos="3780" w:leader="none"/>
      </w:tabs>
      <w:ind w:left="3780" w:hanging="0"/>
    </w:pPr>
    <w:rPr/>
  </w:style>
  <w:style w:type="paragraph" w:styleId="Corpsdetexte2">
    <w:name w:val="Corps de texte 2"/>
    <w:basedOn w:val="Normal"/>
    <w:qFormat/>
    <w:pPr/>
    <w:rPr>
      <w:sz w:val="36"/>
    </w:rPr>
  </w:style>
  <w:style w:type="paragraph" w:styleId="Corpsdetexte3">
    <w:name w:val="Corps de texte 3"/>
    <w:basedOn w:val="Normal"/>
    <w:qFormat/>
    <w:pPr>
      <w:tabs>
        <w:tab w:val="left" w:pos="3520" w:leader="none"/>
      </w:tabs>
      <w:ind w:right="-311" w:hanging="0"/>
    </w:pPr>
    <w:rPr>
      <w:sz w:val="28"/>
    </w:rPr>
  </w:style>
  <w:style w:type="paragraph" w:styleId="Textedebulles">
    <w:name w:val="Texte de bulles"/>
    <w:basedOn w:val="Normal"/>
    <w:qFormat/>
    <w:pPr/>
    <w:rPr>
      <w:rFonts w:ascii="Tahoma" w:hAnsi="Tahoma" w:cs="Tahoma"/>
      <w:sz w:val="16"/>
      <w:szCs w:val="16"/>
    </w:rPr>
  </w:style>
  <w:style w:type="paragraph" w:styleId="Explorateurdedocuments">
    <w:name w:val="Explorateur de documents"/>
    <w:basedOn w:val="Normal"/>
    <w:qFormat/>
    <w:pPr>
      <w:shd w:fill="000080" w:val="clear"/>
    </w:pPr>
    <w:rPr>
      <w:rFonts w:ascii="Tahoma" w:hAnsi="Tahoma" w:cs="Tahoma"/>
      <w:sz w:val="20"/>
      <w:szCs w:val="20"/>
    </w:rPr>
  </w:style>
  <w:style w:type="paragraph" w:styleId="Header">
    <w:name w:val="Header"/>
    <w:basedOn w:val="Normal"/>
    <w:pPr>
      <w:tabs>
        <w:tab w:val="center" w:pos="4536" w:leader="none"/>
        <w:tab w:val="right" w:pos="9072" w:leader="none"/>
      </w:tabs>
    </w:pPr>
    <w:rPr>
      <w:lang w:val="en-GB"/>
    </w:rPr>
  </w:style>
  <w:style w:type="paragraph" w:styleId="Footer">
    <w:name w:val="Footer"/>
    <w:basedOn w:val="Normal"/>
    <w:pPr>
      <w:tabs>
        <w:tab w:val="center" w:pos="4536" w:leader="none"/>
        <w:tab w:val="right" w:pos="9072" w:leader="none"/>
      </w:tabs>
    </w:pPr>
    <w:rPr>
      <w:lang w:val="en-GB"/>
    </w:rPr>
  </w:style>
  <w:style w:type="paragraph" w:styleId="Enttedetabledesmatires">
    <w:name w:val="En-tête de table des matières"/>
    <w:basedOn w:val="Heading1"/>
    <w:next w:val="Normal"/>
    <w:qFormat/>
    <w:pPr>
      <w:keepNext/>
      <w:numPr>
        <w:ilvl w:val="0"/>
        <w:numId w:val="0"/>
      </w:numPr>
      <w:spacing w:lineRule="auto" w:line="276" w:before="240" w:after="40"/>
    </w:pPr>
    <w:rPr>
      <w:rFonts w:ascii="Trebuchet MS" w:hAnsi="Trebuchet MS" w:eastAsia="Times New Roman" w:cs="Times New Roman"/>
      <w:bCs w:val="false"/>
      <w:caps/>
      <w:color w:val="FF0000"/>
      <w:spacing w:val="5"/>
      <w:sz w:val="36"/>
      <w:szCs w:val="32"/>
      <w:u w:val="single"/>
      <w:lang w:bidi="en-US"/>
    </w:rPr>
  </w:style>
  <w:style w:type="paragraph" w:styleId="TabNote">
    <w:name w:val="Tab_Note"/>
    <w:basedOn w:val="Normal"/>
    <w:qFormat/>
    <w:pPr>
      <w:spacing w:lineRule="auto" w:line="276" w:before="120" w:after="120"/>
      <w:contextualSpacing/>
    </w:pPr>
    <w:rPr>
      <w:rFonts w:ascii="Trebuchet MS" w:hAnsi="Trebuchet MS" w:eastAsia="Calibri" w:cs="Trebuchet MS"/>
      <w:sz w:val="18"/>
      <w:szCs w:val="22"/>
    </w:rPr>
  </w:style>
  <w:style w:type="paragraph" w:styleId="Contents2">
    <w:name w:val="Contents 2"/>
    <w:basedOn w:val="Normal"/>
    <w:next w:val="Normal"/>
    <w:pPr>
      <w:spacing w:lineRule="auto" w:line="276" w:before="0" w:after="100"/>
      <w:ind w:left="220" w:hanging="0"/>
    </w:pPr>
    <w:rPr>
      <w:rFonts w:ascii="Calibri" w:hAnsi="Calibri" w:eastAsia="Calibri" w:cs="Times New Roman"/>
      <w:sz w:val="22"/>
      <w:szCs w:val="22"/>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eleaccords.travail-emploi.gouv.f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2019-07-23T09:23:00Z</dcterms:created>
  <dc:language>en-GB</dc:language>
  <cp:lastPrinted>2019-06-06T10:08:00Z</cp:lastPrinted>
  <dcterms:modified xsi:type="dcterms:W3CDTF">2019-07-23T09:24:00Z</dcterms:modified>
  <cp:revision>3</cp:revision>
  <dc:title>ELECTRICITE GENERALE</dc:title>
</cp:coreProperties>
</file>