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IntenseQuote"/>
        <w:pBdr>
          <w:top w:color="4F81BD" w:space="10" w:sz="4" w:val="single"/>
          <w:bottom w:color="4F81BD" w:space="10" w:sz="4" w:val="single"/>
        </w:pBdr>
        <w:spacing w:after="360" w:before="360"/>
        <w:ind w:left="864" w:right="864"/>
        <w:jc w:val="center"/>
        <w:rPr/>
      </w:pPr>
      <w:r>
        <w:rPr/>
        <w:t>ACCORD D’ENTREPRISE RELATIF A L’ORGANISATION ET A L’AMENAGEMENT DU TEMPS DE TRAVAIL DU SERVICE TRANSPORT</w:t>
      </w:r>
    </w:p>
    <w:p>
      <w:pPr>
        <w:pStyle w:val="Standard"/>
        <w:rPr/>
      </w:pPr>
      <w:r>
        <w:rPr/>
      </w:r>
    </w:p>
    <w:p>
      <w:pPr>
        <w:pStyle w:val="Standard"/>
        <w:rPr/>
      </w:pPr>
      <w:r>
        <w:rPr/>
      </w:r>
    </w:p>
    <w:p>
      <w:pPr>
        <w:pStyle w:val="Standard"/>
        <w:rPr/>
      </w:pPr>
      <w:r>
        <w:rPr>
          <w:rStyle w:val="Emphasis"/>
          <w:rFonts w:ascii="Calibri Light" w:hAnsi="Calibri Light"/>
          <w:color w:val="2E74B5"/>
          <w:sz w:val="26"/>
          <w:szCs w:val="26"/>
        </w:rPr>
        <w:t>Proposée par :</w:t>
      </w:r>
    </w:p>
    <w:p>
      <w:pPr>
        <w:pStyle w:val="Standard"/>
        <w:rPr/>
      </w:pPr>
      <w:r>
        <w:rPr/>
        <w:t>Raison sociale :</w:t>
        <w:tab/>
        <w:t xml:space="preserve"> BAUDRY SAS</w:t>
      </w:r>
    </w:p>
    <w:p>
      <w:pPr>
        <w:pStyle w:val="Standard"/>
        <w:rPr/>
      </w:pPr>
      <w:r>
        <w:rPr/>
        <w:t>SIRET :</w:t>
        <w:tab/>
        <w:t>343 397 667</w:t>
      </w:r>
    </w:p>
    <w:p>
      <w:pPr>
        <w:pStyle w:val="Standard"/>
        <w:rPr/>
      </w:pPr>
      <w:r>
        <w:rPr/>
        <w:t>Siège social :</w:t>
        <w:tab/>
        <w:t>RN 6 – Route de Lyon</w:t>
      </w:r>
    </w:p>
    <w:p>
      <w:pPr>
        <w:pStyle w:val="Standard"/>
        <w:rPr/>
      </w:pPr>
      <w:r>
        <w:rPr/>
        <w:t>Code postal :</w:t>
        <w:tab/>
        <w:t>89100 MAILLOT</w:t>
      </w:r>
    </w:p>
    <w:p>
      <w:pPr>
        <w:pStyle w:val="Standard"/>
        <w:rPr/>
      </w:pPr>
      <w:r>
        <w:rPr/>
      </w:r>
    </w:p>
    <w:p>
      <w:pPr>
        <w:pStyle w:val="Standard"/>
        <w:rPr/>
      </w:pPr>
      <w:r>
        <w:rPr/>
        <w:t xml:space="preserve">Représentée par M. </w:t>
      </w:r>
      <w:r>
        <w:rPr/>
        <w:t>xxx</w:t>
      </w:r>
    </w:p>
    <w:p>
      <w:pPr>
        <w:pStyle w:val="Standard"/>
        <w:rPr/>
      </w:pPr>
      <w:r>
        <w:rPr/>
        <w:t>Agissant en qualité de Directeur</w:t>
      </w:r>
    </w:p>
    <w:p>
      <w:pPr>
        <w:pStyle w:val="Standard"/>
        <w:rPr/>
      </w:pPr>
      <w:r>
        <w:rPr/>
      </w:r>
    </w:p>
    <w:p>
      <w:pPr>
        <w:pStyle w:val="Standard"/>
        <w:ind w:left="3969"/>
        <w:rPr/>
      </w:pPr>
      <w:r>
        <w:rPr/>
        <w:t xml:space="preserve">Ci-après dénommée </w:t>
      </w:r>
      <w:r>
        <w:rPr>
          <w:b/>
        </w:rPr>
        <w:t>« La Société »</w:t>
      </w:r>
    </w:p>
    <w:p>
      <w:pPr>
        <w:pStyle w:val="Standard"/>
        <w:rPr/>
      </w:pPr>
      <w:r>
        <w:rPr/>
        <w:t>A l’attention des membres titulaires de la délégation du personnel du CSE.</w:t>
      </w:r>
    </w:p>
    <w:p>
      <w:pPr>
        <w:pStyle w:val="Standard"/>
        <w:rPr/>
      </w:pPr>
      <w:r>
        <w:rPr/>
      </w:r>
    </w:p>
    <w:p>
      <w:pPr>
        <w:pStyle w:val="Standard"/>
        <w:ind w:left="3969"/>
        <w:rPr/>
      </w:pPr>
      <w:r>
        <w:rPr/>
        <w:t xml:space="preserve">Ci-après dénommés </w:t>
      </w:r>
      <w:r>
        <w:rPr>
          <w:b/>
        </w:rPr>
        <w:t>« les membres titulaires du CSE »</w:t>
      </w:r>
    </w:p>
    <w:p>
      <w:pPr>
        <w:pStyle w:val="Standard"/>
        <w:ind w:left="3969"/>
        <w:rPr>
          <w:b/>
        </w:rPr>
      </w:pPr>
      <w:r>
        <w:rPr>
          <w:b/>
        </w:rPr>
      </w:r>
    </w:p>
    <w:p>
      <w:pPr>
        <w:pStyle w:val="IntenseQuote"/>
        <w:rPr/>
      </w:pPr>
      <w:r>
        <w:rPr>
          <w:rStyle w:val="Emphasis"/>
          <w:rFonts w:ascii="Calibri Light" w:hAnsi="Calibri Light"/>
          <w:b/>
          <w:bCs/>
          <w:i w:val="false"/>
          <w:iCs w:val="false"/>
          <w:color w:val="2E74B5"/>
          <w:sz w:val="26"/>
          <w:szCs w:val="26"/>
        </w:rPr>
        <w:t>Préambule</w:t>
      </w:r>
    </w:p>
    <w:p>
      <w:pPr>
        <w:pStyle w:val="Standard"/>
        <w:jc w:val="both"/>
        <w:rPr/>
      </w:pPr>
      <w:r>
        <w:rPr/>
        <w:t xml:space="preserve">La Société BAUDRY, société anonyme simplifiée dont le siège social domiciliée RN 6 – Route de Lyon 89100 MAILLOT et immatriculée au Registre du commerce de Sens sous le numéro B 343 397 667, représentée par Monsieur </w:t>
      </w:r>
      <w:r>
        <w:rPr/>
        <w:t>XX</w:t>
      </w:r>
      <w:r>
        <w:rPr/>
        <w:t xml:space="preserve"> en sa qualité de directeur, est spécialisée dans le négoce de matériaux de construction.</w:t>
      </w:r>
    </w:p>
    <w:p>
      <w:pPr>
        <w:pStyle w:val="Standard"/>
        <w:jc w:val="both"/>
        <w:rPr/>
      </w:pPr>
      <w:r>
        <w:rPr/>
        <w:t>Les règles en matière d’organisation et d’aménagement du temps de travail sont définies par les dispositions légales et conventionnelles applicables à l’entreprise. La convention collective applicable est celle du négoce de matériaux de construction.</w:t>
      </w:r>
    </w:p>
    <w:p>
      <w:pPr>
        <w:pStyle w:val="Standard"/>
        <w:jc w:val="both"/>
        <w:rPr/>
      </w:pPr>
      <w:r>
        <w:rPr/>
        <w:t>Afin de s’adapter aux contraintes de l’activité du secteur, de la concurrence, d’organiser et d’optimiser au mieux le temps de travail pour le service transport, la société souhaite conclure un accord relatif à la durée et à l’aménagement du temps de travail spécifique au service transport.</w:t>
      </w:r>
    </w:p>
    <w:p>
      <w:pPr>
        <w:pStyle w:val="Standard"/>
        <w:jc w:val="both"/>
        <w:rPr/>
      </w:pPr>
      <w:r>
        <w:rPr/>
        <w:t>Conformément aux dispositions légales, issues des ordonnances du 23 septembre 2017, relatif à la négociation collective dans les sociétés de plus de 50 salariés, composées de représentants du personnel mais ne disposant pas de délégué syndical, la société a proposé à ses représentants du personnel titulaire un projet d’accord d’entreprise portant sur l’organisation et l’aménagement du temps de travail du service transport dans la société lors de la réunion ayant eu lieu le 6 janvier 2026.</w:t>
      </w:r>
    </w:p>
    <w:p>
      <w:pPr>
        <w:pStyle w:val="Standard"/>
        <w:jc w:val="both"/>
        <w:rPr/>
      </w:pPr>
      <w:r>
        <w:rPr/>
        <w:t>Les membres du CSE n’ayant pas souhaité être mandaté par une organisation syndicale, le présent accord d’entreprise est conclu avec les membres du comité social et économique représentant au vu des dernières élections professionnelles la majorité des suffrages exprimés.</w:t>
      </w:r>
    </w:p>
    <w:p>
      <w:pPr>
        <w:pStyle w:val="Standard"/>
        <w:jc w:val="both"/>
        <w:rPr/>
      </w:pPr>
      <w:r>
        <w:rPr/>
        <w:t>Cet accord vise principalement à :</w:t>
      </w:r>
    </w:p>
    <w:p>
      <w:pPr>
        <w:pStyle w:val="ListParagraph"/>
        <w:numPr>
          <w:ilvl w:val="0"/>
          <w:numId w:val="8"/>
        </w:numPr>
        <w:jc w:val="both"/>
        <w:rPr/>
      </w:pPr>
      <w:r>
        <w:rPr/>
        <w:t>Préciser les conditions de paiement des heures supplémentaires,</w:t>
      </w:r>
    </w:p>
    <w:p>
      <w:pPr>
        <w:pStyle w:val="ListParagraph"/>
        <w:numPr>
          <w:ilvl w:val="0"/>
          <w:numId w:val="9"/>
        </w:numPr>
        <w:jc w:val="both"/>
        <w:rPr/>
      </w:pPr>
      <w:r>
        <w:rPr/>
        <w:t>Augmenter le contingent d’heures supplémentaires pour le service transport.</w:t>
      </w:r>
    </w:p>
    <w:p>
      <w:pPr>
        <w:pStyle w:val="Standard"/>
        <w:jc w:val="both"/>
        <w:rPr/>
      </w:pPr>
      <w:r>
        <w:rPr/>
      </w:r>
    </w:p>
    <w:p>
      <w:pPr>
        <w:pStyle w:val="Heading2"/>
        <w:rPr/>
      </w:pPr>
      <w:r>
        <w:rPr>
          <w:rStyle w:val="Emphasis"/>
          <w:b/>
          <w:bCs/>
          <w:u w:val="single"/>
        </w:rPr>
        <w:t>Article 1 – Objet de l’accord</w:t>
      </w:r>
    </w:p>
    <w:p>
      <w:pPr>
        <w:pStyle w:val="Standard"/>
        <w:jc w:val="both"/>
        <w:rPr/>
      </w:pPr>
      <w:r>
        <w:rPr/>
      </w:r>
    </w:p>
    <w:p>
      <w:pPr>
        <w:pStyle w:val="Standard"/>
        <w:jc w:val="both"/>
        <w:rPr/>
      </w:pPr>
      <w:r>
        <w:rPr/>
        <w:t>Les dispositions du présent accord s’inscrivent dans le cadre des dispositions du code du travail et de la convention collective relatifs aux temps de travail applicables au sein de la Société pour les salariés roulant affectés au service transport.</w:t>
      </w:r>
    </w:p>
    <w:p>
      <w:pPr>
        <w:pStyle w:val="Standard"/>
        <w:jc w:val="both"/>
        <w:rPr/>
      </w:pPr>
      <w:r>
        <w:rPr/>
        <w:t>Il vient préciser le système de temps de travail mis en place au sein de l’entreprise, afin de présenter un juste équilibre entre le besoin pour la Société et l’intérêt des salariés concernés. Ce système permettra également de préserver une bonne qualité de vie au travail pour les salariés concernés et respecter les conditions indispensables à la bonne protection de leurs droits, avec la volonté de respecter leur vie personnelle et familiale, ainsi que leur droit au repos.</w:t>
      </w:r>
    </w:p>
    <w:p>
      <w:pPr>
        <w:pStyle w:val="Standard"/>
        <w:jc w:val="both"/>
        <w:rPr/>
      </w:pPr>
      <w:r>
        <w:rPr/>
      </w:r>
    </w:p>
    <w:p>
      <w:pPr>
        <w:pStyle w:val="Standard"/>
        <w:jc w:val="both"/>
        <w:rPr/>
      </w:pPr>
      <w:r>
        <w:rPr>
          <w:rStyle w:val="Emphasis"/>
          <w:rFonts w:ascii="Calibri Light" w:hAnsi="Calibri Light"/>
          <w:b/>
          <w:bCs/>
          <w:color w:val="2E74B5"/>
          <w:sz w:val="26"/>
          <w:szCs w:val="26"/>
          <w:u w:val="single"/>
        </w:rPr>
        <w:t>Article 2 – Portée de l’accord</w:t>
      </w:r>
    </w:p>
    <w:p>
      <w:pPr>
        <w:pStyle w:val="Standard"/>
        <w:jc w:val="both"/>
        <w:rPr/>
      </w:pPr>
      <w:r>
        <w:rPr/>
        <w:t>Les présentes dispositions annulent et se substituent à toutes dispositions écrites (accords, engagements unilatéraux,…) ou non écrites (usages, pratiques…), de même nature antérieurement en vigueur. Elles ne peuvent se cumuler avec d’autres dispositions ayant le même objet, relevant d’autres accords collectifs quel qu’en soit le niveau, actuels ou futurs, ou des textes généraux législatifs ou réglementaires.</w:t>
      </w:r>
    </w:p>
    <w:p>
      <w:pPr>
        <w:pStyle w:val="Standard"/>
        <w:jc w:val="both"/>
        <w:rPr/>
      </w:pPr>
      <w:r>
        <w:rPr/>
        <w:t>Les dispositions du présent accord d’entreprise s’appliquent aux contrats conclus après son entrée en vigueur et à ceux en cours au moment de sa ratification, sous conditions de la conclusion d’un avenant au contrat de travail pour les dispositions le nécessitant.</w:t>
      </w:r>
    </w:p>
    <w:p>
      <w:pPr>
        <w:pStyle w:val="Standard"/>
        <w:jc w:val="both"/>
        <w:rPr/>
      </w:pPr>
      <w:r>
        <w:rPr/>
      </w:r>
    </w:p>
    <w:p>
      <w:pPr>
        <w:pStyle w:val="Standard"/>
        <w:jc w:val="both"/>
        <w:rPr/>
      </w:pPr>
      <w:r>
        <w:rPr/>
      </w:r>
    </w:p>
    <w:p>
      <w:pPr>
        <w:pStyle w:val="Standard"/>
        <w:jc w:val="both"/>
        <w:rPr/>
      </w:pPr>
      <w:r>
        <w:rPr>
          <w:rStyle w:val="Emphasis"/>
          <w:rFonts w:ascii="Calibri Light" w:hAnsi="Calibri Light"/>
          <w:b/>
          <w:bCs/>
          <w:color w:val="3465A4"/>
          <w:sz w:val="26"/>
          <w:szCs w:val="26"/>
          <w:u w:val="single"/>
        </w:rPr>
        <w:t>Article 3 – Champ d’application</w:t>
      </w:r>
    </w:p>
    <w:p>
      <w:pPr>
        <w:pStyle w:val="Standard"/>
        <w:jc w:val="both"/>
        <w:rPr/>
      </w:pPr>
      <w:r>
        <w:rPr/>
        <w:t>Le présent accord relatif à l’organisation et l’aménagement du temps de travail s’applique à tous les salariés employés par la Société ayant pour poste : chauffeur-livreur, grutier et non grutier, en contrat à durée indéterminée ou déterminée, et aux intérimaires.</w:t>
      </w:r>
    </w:p>
    <w:p>
      <w:pPr>
        <w:pStyle w:val="Standard"/>
        <w:jc w:val="both"/>
        <w:rPr/>
      </w:pPr>
      <w:r>
        <w:rPr/>
      </w:r>
    </w:p>
    <w:p>
      <w:pPr>
        <w:pStyle w:val="Standard"/>
        <w:jc w:val="both"/>
        <w:rPr/>
      </w:pPr>
      <w:r>
        <w:rPr>
          <w:rStyle w:val="Emphasis"/>
          <w:rFonts w:ascii="Calibri Light" w:hAnsi="Calibri Light"/>
          <w:b/>
          <w:bCs/>
          <w:color w:val="3465A4"/>
          <w:sz w:val="26"/>
          <w:szCs w:val="26"/>
          <w:u w:val="single"/>
        </w:rPr>
        <w:t>Article 4 – Date d’application et durée de l’accord</w:t>
      </w:r>
      <w:r>
        <w:rPr>
          <w:rStyle w:val="Emphasis"/>
          <w:rFonts w:ascii="Calibri Light" w:hAnsi="Calibri Light"/>
          <w:b/>
          <w:bCs/>
          <w:color w:val="3465A4"/>
          <w:sz w:val="26"/>
          <w:szCs w:val="26"/>
        </w:rPr>
        <w:t> </w:t>
      </w:r>
    </w:p>
    <w:p>
      <w:pPr>
        <w:pStyle w:val="Standard"/>
        <w:jc w:val="both"/>
        <w:rPr/>
      </w:pPr>
      <w:r>
        <w:rPr/>
        <w:t>Le présent accord prendra effet au 1</w:t>
      </w:r>
      <w:r>
        <w:rPr>
          <w:vertAlign w:val="superscript"/>
        </w:rPr>
        <w:t>er</w:t>
      </w:r>
      <w:r>
        <w:rPr/>
        <w:t xml:space="preserve"> janvier 2025 et est conclu pour une durée indéterminée.</w:t>
      </w:r>
    </w:p>
    <w:p>
      <w:pPr>
        <w:pStyle w:val="Standard"/>
        <w:jc w:val="both"/>
        <w:rPr/>
      </w:pPr>
      <w:r>
        <w:rPr/>
      </w:r>
    </w:p>
    <w:p>
      <w:pPr>
        <w:pStyle w:val="Standard"/>
        <w:jc w:val="both"/>
        <w:rPr>
          <w:rStyle w:val="Emphasis"/>
          <w:rFonts w:ascii="Calibri Light" w:hAnsi="Calibri Light"/>
          <w:b/>
          <w:bCs/>
          <w:color w:val="3465A4"/>
          <w:sz w:val="26"/>
          <w:szCs w:val="26"/>
          <w:u w:val="single"/>
        </w:rPr>
      </w:pPr>
      <w:r>
        <w:rPr>
          <w:rStyle w:val="Emphasis"/>
          <w:rFonts w:ascii="Calibri Light" w:hAnsi="Calibri Light"/>
          <w:b/>
          <w:bCs/>
          <w:color w:val="3465A4"/>
          <w:sz w:val="26"/>
          <w:szCs w:val="26"/>
          <w:u w:val="single"/>
        </w:rPr>
        <w:t>Article 5 – Effet de l’accord</w:t>
      </w:r>
    </w:p>
    <w:p>
      <w:pPr>
        <w:pStyle w:val="Standard"/>
        <w:jc w:val="both"/>
        <w:rPr/>
      </w:pPr>
      <w:r>
        <w:rPr/>
        <w:t>Les dispositions du présent accord entrent en vigueur le 1</w:t>
      </w:r>
      <w:r>
        <w:rPr>
          <w:vertAlign w:val="superscript"/>
        </w:rPr>
        <w:t>er</w:t>
      </w:r>
      <w:r>
        <w:rPr/>
        <w:t xml:space="preserve"> janvier 2025.</w:t>
      </w:r>
    </w:p>
    <w:p>
      <w:pPr>
        <w:pStyle w:val="Standard"/>
        <w:jc w:val="both"/>
        <w:rPr/>
      </w:pPr>
      <w:r>
        <w:rPr/>
        <w:t>Elles remplacent l’ensemble des usages et engagements unilatéraux ayant le même objet.</w:t>
      </w:r>
    </w:p>
    <w:p>
      <w:pPr>
        <w:pStyle w:val="Standard"/>
        <w:spacing w:after="160" w:before="0" w:line="259" w:lineRule="auto"/>
        <w:jc w:val="both"/>
        <w:rPr>
          <w:rFonts w:cs="Times New Roman"/>
        </w:rPr>
      </w:pPr>
      <w:r>
        <w:rPr>
          <w:rFonts w:cs="Times New Roman"/>
        </w:rPr>
        <w:t>Les salariés concernés par une modification de leur contrat de travail se verront proposer un avenant à leur contrat de travail.</w:t>
      </w:r>
    </w:p>
    <w:p>
      <w:pPr>
        <w:pStyle w:val="Standard"/>
        <w:spacing w:after="160" w:before="160" w:line="259" w:lineRule="auto"/>
        <w:jc w:val="both"/>
        <w:rPr>
          <w:rFonts w:ascii="Calibri Light" w:cs="Times New Roman" w:hAnsi="Calibri Light"/>
          <w:b/>
          <w:bCs/>
          <w:i/>
          <w:i/>
          <w:color w:val="000000"/>
          <w:sz w:val="26"/>
          <w:szCs w:val="26"/>
        </w:rPr>
      </w:pPr>
      <w:r>
        <w:rPr>
          <w:rFonts w:ascii="Calibri Light" w:cs="Times New Roman" w:hAnsi="Calibri Light"/>
          <w:b/>
          <w:bCs/>
          <w:i/>
          <w:color w:val="000000"/>
          <w:sz w:val="26"/>
          <w:szCs w:val="26"/>
        </w:rPr>
        <w:tab/>
      </w:r>
    </w:p>
    <w:p>
      <w:pPr>
        <w:pStyle w:val="Standard"/>
        <w:jc w:val="both"/>
        <w:rPr>
          <w:rStyle w:val="Emphasis"/>
          <w:i w:val="false"/>
          <w:i w:val="false"/>
          <w:color w:val="3465A4"/>
          <w:u w:val="single"/>
        </w:rPr>
      </w:pPr>
      <w:r>
        <w:rPr>
          <w:rStyle w:val="Emphasis"/>
          <w:rFonts w:ascii="Calibri Light" w:hAnsi="Calibri Light"/>
          <w:b/>
          <w:bCs/>
          <w:color w:val="3465A4"/>
          <w:sz w:val="26"/>
          <w:szCs w:val="26"/>
          <w:u w:val="single"/>
        </w:rPr>
        <w:t>Article 6 – Modalités de décompte du temps de travail et heures supplémentaires</w:t>
      </w:r>
    </w:p>
    <w:p>
      <w:pPr>
        <w:pStyle w:val="Standard"/>
        <w:jc w:val="both"/>
        <w:rPr/>
      </w:pPr>
      <w:r>
        <w:rPr/>
        <w:t>Souhaitant fonder leurs relations sur un principe de confiance, il est convenu d’adopter un procédé d’auto-déclarations du temps de travail de chaque salarié. Les salariés doivent déclarer chaque semaine leur temps de travail et leurs absences selon les modalités définies par la direction de la Société. La carte conducteur doit donc être déchargée tous les vendredi après-midi et le rapport correspondant à l’activité du salarié doit être signé par lui-même ainsi que par le responsable du service.</w:t>
      </w:r>
    </w:p>
    <w:p>
      <w:pPr>
        <w:pStyle w:val="Standard"/>
        <w:spacing w:after="160" w:before="160" w:line="259" w:lineRule="auto"/>
        <w:jc w:val="both"/>
        <w:rPr>
          <w:rFonts w:cs="Times New Roman"/>
          <w:color w:val="000000"/>
        </w:rPr>
      </w:pPr>
      <w:r>
        <w:rPr>
          <w:rFonts w:cs="Times New Roman"/>
          <w:color w:val="000000"/>
        </w:rPr>
        <w:t>Dans la mesure où ils déclarent leurs temps de présence, les salariés reconnaissent que leurs déclarations correspondent à leur durée de travail, qui sera récapitulée chaque mois sur leur bulletin de salaire.</w:t>
      </w:r>
    </w:p>
    <w:p>
      <w:pPr>
        <w:pStyle w:val="Standard"/>
        <w:numPr>
          <w:ilvl w:val="0"/>
          <w:numId w:val="6"/>
        </w:numPr>
        <w:jc w:val="both"/>
        <w:rPr>
          <w:rFonts w:ascii="Calibri Light" w:hAnsi="Calibri Light"/>
          <w:b/>
          <w:bCs/>
          <w:i/>
          <w:i/>
          <w:iCs/>
          <w:color w:val="3465A4"/>
          <w:sz w:val="26"/>
          <w:szCs w:val="26"/>
        </w:rPr>
      </w:pPr>
      <w:r>
        <w:rPr>
          <w:rFonts w:ascii="Calibri Light" w:hAnsi="Calibri Light"/>
          <w:b/>
          <w:bCs/>
          <w:i/>
          <w:iCs/>
          <w:color w:val="3465A4"/>
          <w:sz w:val="26"/>
          <w:szCs w:val="26"/>
        </w:rPr>
        <w:t>6.1 -  Accomplissement d’heures supplémentaires</w:t>
      </w:r>
    </w:p>
    <w:p>
      <w:pPr>
        <w:pStyle w:val="Standard"/>
        <w:spacing w:after="160" w:before="160" w:line="259" w:lineRule="auto"/>
        <w:jc w:val="both"/>
        <w:rPr>
          <w:rFonts w:cs="Times New Roman"/>
        </w:rPr>
      </w:pPr>
      <w:r>
        <w:rPr>
          <w:rFonts w:cs="Times New Roman"/>
        </w:rPr>
        <w:t>Les heures supplémentaires sont décomptées à la fin de chaque semaine civile, soit du lundi 0 heure au dimanche 24 heures, conformément à l’article L3121-29 du Code du travail.</w:t>
      </w:r>
    </w:p>
    <w:p>
      <w:pPr>
        <w:pStyle w:val="Standard"/>
        <w:spacing w:after="160" w:before="160" w:line="259" w:lineRule="auto"/>
        <w:jc w:val="both"/>
        <w:rPr>
          <w:rFonts w:cs="Times New Roman"/>
        </w:rPr>
      </w:pPr>
      <w:r>
        <w:rPr>
          <w:rFonts w:cs="Times New Roman"/>
        </w:rPr>
        <w:t>Les heures supplémentaires peuvent être demandées par l’employeur, dans l’intérêt de l’entreprise.</w:t>
      </w:r>
    </w:p>
    <w:p>
      <w:pPr>
        <w:pStyle w:val="Standard"/>
        <w:spacing w:after="160" w:before="160" w:line="259" w:lineRule="auto"/>
        <w:jc w:val="both"/>
        <w:rPr>
          <w:rFonts w:cs="Times New Roman"/>
        </w:rPr>
      </w:pPr>
      <w:r>
        <w:rPr>
          <w:rFonts w:cs="Times New Roman"/>
        </w:rPr>
        <w:t>Le régime des heures supplémentaires est celui prévu par la Convention collective des négoces de matériaux de construction concernant le taux de majoration.</w:t>
      </w:r>
    </w:p>
    <w:p>
      <w:pPr>
        <w:pStyle w:val="Standard"/>
        <w:spacing w:after="160" w:before="160" w:line="259" w:lineRule="auto"/>
        <w:jc w:val="both"/>
        <w:rPr/>
      </w:pPr>
      <w:r>
        <w:rPr>
          <w:rFonts w:cs="Times New Roman"/>
        </w:rPr>
        <w:t>Cette majoration est égale à 25% de la 36</w:t>
      </w:r>
      <w:r>
        <w:rPr>
          <w:rFonts w:cs="Times New Roman"/>
          <w:vertAlign w:val="superscript"/>
        </w:rPr>
        <w:t>ème</w:t>
      </w:r>
      <w:r>
        <w:rPr>
          <w:rFonts w:cs="Times New Roman"/>
        </w:rPr>
        <w:t xml:space="preserve"> heure à la 43</w:t>
      </w:r>
      <w:r>
        <w:rPr>
          <w:rFonts w:cs="Times New Roman"/>
          <w:vertAlign w:val="superscript"/>
        </w:rPr>
        <w:t>ème</w:t>
      </w:r>
      <w:r>
        <w:rPr>
          <w:rFonts w:cs="Times New Roman"/>
        </w:rPr>
        <w:t xml:space="preserve"> heure de travail et égale à 50% à partir de la 44</w:t>
      </w:r>
      <w:r>
        <w:rPr>
          <w:rFonts w:cs="Times New Roman"/>
          <w:vertAlign w:val="superscript"/>
        </w:rPr>
        <w:t>ème</w:t>
      </w:r>
      <w:r>
        <w:rPr>
          <w:rFonts w:cs="Times New Roman"/>
        </w:rPr>
        <w:t xml:space="preserve"> heure de travail conformément à l’article L3121-33 du Code du travail.</w:t>
      </w:r>
    </w:p>
    <w:p>
      <w:pPr>
        <w:pStyle w:val="Standard"/>
        <w:spacing w:after="160" w:before="160" w:line="259" w:lineRule="auto"/>
        <w:jc w:val="both"/>
        <w:rPr>
          <w:rFonts w:cs="Times New Roman"/>
        </w:rPr>
      </w:pPr>
      <w:r>
        <w:rPr>
          <w:rFonts w:cs="Times New Roman"/>
        </w:rPr>
        <w:t>A noter que l’accomplissement des heures supplémentaires devra être fait dans le respect des durées maximales quotidiennes et hebdomadaires ainsi que dans le respect des durées de repos.</w:t>
      </w:r>
    </w:p>
    <w:p>
      <w:pPr>
        <w:pStyle w:val="Standard"/>
        <w:numPr>
          <w:ilvl w:val="0"/>
          <w:numId w:val="6"/>
        </w:numPr>
        <w:jc w:val="both"/>
        <w:rPr/>
      </w:pPr>
      <w:r>
        <w:rPr>
          <w:rFonts w:ascii="Calibri Light" w:hAnsi="Calibri Light"/>
          <w:b/>
          <w:bCs/>
          <w:i/>
          <w:iCs/>
          <w:color w:val="3465A4"/>
          <w:sz w:val="26"/>
          <w:szCs w:val="26"/>
        </w:rPr>
        <w:t>6.2 – Travail exceptionnel de nuit</w:t>
      </w:r>
    </w:p>
    <w:p>
      <w:pPr>
        <w:pStyle w:val="Standard"/>
        <w:jc w:val="both"/>
        <w:rPr/>
      </w:pPr>
      <w:r>
        <w:rPr/>
        <w:t>La loi définit comme travail de nuit (article L.3122-15 et suivants) tout travail effectué entre 21h et 6h.</w:t>
      </w:r>
    </w:p>
    <w:p>
      <w:pPr>
        <w:pStyle w:val="Standard"/>
        <w:jc w:val="both"/>
        <w:rPr/>
      </w:pPr>
      <w:r>
        <w:rPr/>
        <w:t>Le travail exceptionnel de nuit résulte :</w:t>
      </w:r>
    </w:p>
    <w:p>
      <w:pPr>
        <w:pStyle w:val="Standard"/>
        <w:jc w:val="both"/>
        <w:rPr/>
      </w:pPr>
      <w:r>
        <w:rPr/>
        <w:t>- Soit d’un dépassement de l’horaire initialement prévu sur les plages de nuit,</w:t>
      </w:r>
    </w:p>
    <w:p>
      <w:pPr>
        <w:pStyle w:val="Standard"/>
        <w:jc w:val="both"/>
        <w:rPr/>
      </w:pPr>
      <w:r>
        <w:rPr/>
        <w:t>- Soit d’un déplacement exceptionnel de l’horaire habituel après 21h ou avant 6h.</w:t>
      </w:r>
    </w:p>
    <w:p>
      <w:pPr>
        <w:pStyle w:val="Standard"/>
        <w:jc w:val="both"/>
        <w:rPr/>
      </w:pPr>
      <w:r>
        <w:rPr/>
        <w:t>En l’occurrence, les salariés concernés par le présent accord peuvent être amenés, quand les besoins du service le nécessitent, notamment pour les livraisons en région parisienne, à commencer leur journée avant 6h.</w:t>
      </w:r>
    </w:p>
    <w:p>
      <w:pPr>
        <w:pStyle w:val="Standard"/>
        <w:jc w:val="both"/>
        <w:rPr/>
      </w:pPr>
      <w:r>
        <w:rPr/>
        <w:t>Dans ce cas, les heures travaillées exceptionnellement entre 21h et 6h,</w:t>
      </w:r>
    </w:p>
    <w:p>
      <w:pPr>
        <w:pStyle w:val="Standard"/>
        <w:jc w:val="both"/>
        <w:rPr/>
      </w:pPr>
      <w:r>
        <w:rPr/>
        <w:t>- ouvrent droit à une majoration de 75% à laquelle s’ajoutent éventuellement les majorations habituelles pour heures supplémentaires le cas échéant,</w:t>
      </w:r>
    </w:p>
    <w:p>
      <w:pPr>
        <w:pStyle w:val="Standard"/>
        <w:jc w:val="both"/>
        <w:rPr/>
      </w:pPr>
      <w:r>
        <w:rPr/>
        <w:t>- un prime de panier égale à 2.5 fois le minimum garanti (MG) quand le travail se poursuit au-delà de minuit.</w:t>
      </w:r>
    </w:p>
    <w:p>
      <w:pPr>
        <w:pStyle w:val="Standard"/>
        <w:jc w:val="both"/>
        <w:rPr/>
      </w:pPr>
      <w:r>
        <w:rPr/>
        <w:t>Pour les jours ne comprenant pas d’heure de nuit, l’entreprise rappelle qu’un salarié est considéré en déplacement professionnel quand :</w:t>
      </w:r>
    </w:p>
    <w:p>
      <w:pPr>
        <w:pStyle w:val="Standard"/>
        <w:jc w:val="both"/>
        <w:rPr/>
      </w:pPr>
      <w:r>
        <w:rPr/>
        <w:t>- Lorsqu’il est hors des locaux de l’entreprise.</w:t>
      </w:r>
    </w:p>
    <w:p>
      <w:pPr>
        <w:pStyle w:val="Standard"/>
        <w:spacing w:after="160" w:before="160" w:line="259" w:lineRule="auto"/>
        <w:jc w:val="both"/>
        <w:rPr>
          <w:rFonts w:cs="Times New Roman"/>
        </w:rPr>
      </w:pPr>
      <w:r>
        <w:rPr>
          <w:rFonts w:cs="Times New Roman"/>
        </w:rPr>
        <w:t>- Et que ce déplacement l’empêche de regagner sa résidence ou son lieu habituel de travail.</w:t>
      </w:r>
    </w:p>
    <w:p>
      <w:pPr>
        <w:pStyle w:val="Textecourant"/>
        <w:spacing w:after="160" w:before="160" w:line="259" w:lineRule="auto"/>
        <w:rPr>
          <w:rFonts w:ascii="Times New Roman" w:hAnsi="Times New Roman"/>
          <w:b/>
          <w:color w:val="auto"/>
          <w:sz w:val="25"/>
          <w:szCs w:val="25"/>
          <w:u w:val="single"/>
        </w:rPr>
      </w:pPr>
      <w:r>
        <w:rPr>
          <w:rFonts w:ascii="Times New Roman" w:hAnsi="Times New Roman"/>
          <w:b/>
          <w:color w:val="auto"/>
          <w:sz w:val="25"/>
          <w:szCs w:val="25"/>
          <w:u w:val="single"/>
        </w:rPr>
      </w:r>
    </w:p>
    <w:p>
      <w:pPr>
        <w:pStyle w:val="Standard"/>
        <w:jc w:val="both"/>
        <w:rPr>
          <w:rStyle w:val="Emphasis"/>
          <w:rFonts w:ascii="Calibri Light" w:hAnsi="Calibri Light"/>
          <w:b/>
          <w:bCs/>
          <w:color w:val="3465A4"/>
          <w:sz w:val="26"/>
          <w:szCs w:val="26"/>
          <w:u w:val="single"/>
        </w:rPr>
      </w:pPr>
      <w:r>
        <w:rPr>
          <w:rStyle w:val="Emphasis"/>
          <w:rFonts w:ascii="Calibri Light" w:hAnsi="Calibri Light"/>
          <w:b/>
          <w:bCs/>
          <w:color w:val="3465A4"/>
          <w:sz w:val="26"/>
          <w:szCs w:val="26"/>
          <w:u w:val="single"/>
        </w:rPr>
        <w:t>Article 7 – Contingent annuel d’heures supplémentaires</w:t>
      </w:r>
    </w:p>
    <w:p>
      <w:pPr>
        <w:pStyle w:val="Standard"/>
        <w:spacing w:after="160" w:before="160" w:line="259" w:lineRule="auto"/>
        <w:jc w:val="both"/>
        <w:rPr>
          <w:rFonts w:cs="Times New Roman"/>
        </w:rPr>
      </w:pPr>
      <w:r>
        <w:rPr>
          <w:rFonts w:cs="Times New Roman"/>
        </w:rPr>
        <w:t>Le contingent annuel d’heures supplémentaires fixé par la Convention collective des négoces de matériaux de construction est de 220 heures.</w:t>
      </w:r>
    </w:p>
    <w:p>
      <w:pPr>
        <w:pStyle w:val="Standard"/>
        <w:spacing w:after="160" w:before="160" w:line="259" w:lineRule="auto"/>
        <w:jc w:val="both"/>
        <w:rPr/>
      </w:pPr>
      <w:r>
        <w:rPr>
          <w:rFonts w:cs="Times New Roman"/>
        </w:rPr>
        <w:t xml:space="preserve">Le présent accord a pour objet d’augmenter le contingent annuel d’heures supplémentaires et de le fixer à </w:t>
      </w:r>
      <w:r>
        <w:rPr>
          <w:rFonts w:cs="Times New Roman"/>
          <w:bCs/>
        </w:rPr>
        <w:t>376 heures par an et par salarié</w:t>
      </w:r>
      <w:r>
        <w:rPr>
          <w:rFonts w:cs="Times New Roman"/>
        </w:rPr>
        <w:t>.</w:t>
      </w:r>
    </w:p>
    <w:p>
      <w:pPr>
        <w:pStyle w:val="Standard"/>
        <w:spacing w:after="160" w:before="160" w:line="259" w:lineRule="auto"/>
        <w:jc w:val="both"/>
        <w:rPr>
          <w:rFonts w:cs="Times New Roman"/>
        </w:rPr>
      </w:pPr>
      <w:r>
        <w:rPr>
          <w:rFonts w:cs="Times New Roman"/>
        </w:rPr>
        <w:t>Pour offrir la possibilité d’augmenter la durée du travail sur la base du volontariat, les heures supplémentaires effectuées au-delà de la limite de 220 heures et dans la limite de 376 heures par an et par salarié nécessiteront de recueillir l’accord écrit ou verbal du salarié concerné.</w:t>
      </w:r>
    </w:p>
    <w:p>
      <w:pPr>
        <w:pStyle w:val="Standard"/>
        <w:spacing w:after="160" w:before="160" w:line="259" w:lineRule="auto"/>
        <w:jc w:val="both"/>
        <w:rPr>
          <w:rFonts w:cs="Times New Roman"/>
        </w:rPr>
      </w:pPr>
      <w:r>
        <w:rPr>
          <w:rFonts w:cs="Times New Roman"/>
        </w:rPr>
        <w:t>Le refus d’accomplir des heures supplémentaires au-delà de 220 heures et dans la limite de 376 heures ne constitue ni une faute ni un motif de licenciement.</w:t>
      </w:r>
    </w:p>
    <w:p>
      <w:pPr>
        <w:pStyle w:val="Standard"/>
        <w:spacing w:after="160" w:before="160" w:line="259" w:lineRule="auto"/>
        <w:jc w:val="both"/>
        <w:rPr/>
      </w:pPr>
      <w:r>
        <w:rPr>
          <w:rFonts w:cs="Times New Roman"/>
        </w:rPr>
        <w:t>La période de référence pour calculer le contingent est du 1</w:t>
      </w:r>
      <w:r>
        <w:rPr>
          <w:rFonts w:cs="Times New Roman"/>
          <w:vertAlign w:val="superscript"/>
        </w:rPr>
        <w:t>er</w:t>
      </w:r>
      <w:r>
        <w:rPr>
          <w:rFonts w:cs="Times New Roman"/>
        </w:rPr>
        <w:t xml:space="preserve"> janvier au 31 décembre.</w:t>
      </w:r>
    </w:p>
    <w:p>
      <w:pPr>
        <w:pStyle w:val="Standard"/>
        <w:jc w:val="both"/>
        <w:rPr>
          <w:rStyle w:val="Emphasis"/>
          <w:rFonts w:ascii="Calibri Light" w:hAnsi="Calibri Light"/>
          <w:b/>
          <w:bCs/>
          <w:color w:val="3465A4"/>
          <w:sz w:val="26"/>
          <w:szCs w:val="26"/>
          <w:u w:val="single"/>
        </w:rPr>
      </w:pPr>
      <w:r>
        <w:rPr>
          <w:rFonts w:ascii="Calibri Light" w:hAnsi="Calibri Light"/>
          <w:b/>
          <w:bCs/>
          <w:color w:val="3465A4"/>
          <w:sz w:val="26"/>
          <w:szCs w:val="26"/>
          <w:u w:val="single"/>
        </w:rPr>
      </w:r>
    </w:p>
    <w:p>
      <w:pPr>
        <w:pStyle w:val="Standard"/>
        <w:jc w:val="both"/>
        <w:rPr>
          <w:rStyle w:val="Emphasis"/>
          <w:rFonts w:ascii="Calibri Light" w:hAnsi="Calibri Light"/>
          <w:b/>
          <w:bCs/>
          <w:color w:val="3465A4"/>
          <w:sz w:val="26"/>
          <w:szCs w:val="26"/>
          <w:u w:val="single"/>
        </w:rPr>
      </w:pPr>
      <w:r>
        <w:rPr>
          <w:rFonts w:ascii="Calibri Light" w:hAnsi="Calibri Light"/>
          <w:b/>
          <w:bCs/>
          <w:color w:val="3465A4"/>
          <w:sz w:val="26"/>
          <w:szCs w:val="26"/>
          <w:u w:val="single"/>
        </w:rPr>
      </w:r>
    </w:p>
    <w:p>
      <w:pPr>
        <w:pStyle w:val="Standard"/>
        <w:jc w:val="both"/>
        <w:rPr>
          <w:rStyle w:val="Emphasis"/>
          <w:rFonts w:ascii="Calibri Light" w:hAnsi="Calibri Light"/>
          <w:b/>
          <w:bCs/>
          <w:color w:val="3465A4"/>
          <w:sz w:val="26"/>
          <w:szCs w:val="26"/>
          <w:u w:val="single"/>
        </w:rPr>
      </w:pPr>
      <w:r>
        <w:rPr>
          <w:rStyle w:val="Emphasis"/>
          <w:rFonts w:ascii="Calibri Light" w:hAnsi="Calibri Light"/>
          <w:b/>
          <w:bCs/>
          <w:color w:val="3465A4"/>
          <w:sz w:val="26"/>
          <w:szCs w:val="26"/>
          <w:u w:val="single"/>
        </w:rPr>
        <w:t>Article 8 – Les contreparties obligatoires en repos</w:t>
      </w:r>
    </w:p>
    <w:p>
      <w:pPr>
        <w:pStyle w:val="Standard"/>
        <w:spacing w:after="160" w:before="160" w:line="259" w:lineRule="auto"/>
        <w:jc w:val="both"/>
        <w:rPr>
          <w:rFonts w:cs="Times New Roman"/>
        </w:rPr>
      </w:pPr>
      <w:r>
        <w:rPr>
          <w:rFonts w:cs="Times New Roman"/>
        </w:rPr>
        <w:t>Conformément à l’article L3121-30 du Code du travail, les heures effectuées au-delà du contingent annuel d’heures supplémentaires (376 heures), ouvrent droit à une contrepartie obligatoire sous forme de repos.</w:t>
      </w:r>
    </w:p>
    <w:p>
      <w:pPr>
        <w:pStyle w:val="Standard"/>
        <w:spacing w:after="160" w:before="160" w:line="259" w:lineRule="auto"/>
        <w:jc w:val="both"/>
        <w:rPr>
          <w:rFonts w:cs="Times New Roman"/>
        </w:rPr>
      </w:pPr>
      <w:r>
        <w:rPr>
          <w:rFonts w:cs="Times New Roman"/>
        </w:rPr>
        <w:t>Au sein de la société, des heures supplémentaires pourront être effectuées de manière exceptionnelle au-delà de ce contingent.</w:t>
      </w:r>
    </w:p>
    <w:p>
      <w:pPr>
        <w:pStyle w:val="Standard"/>
        <w:spacing w:after="160" w:before="160" w:line="259" w:lineRule="auto"/>
        <w:jc w:val="both"/>
        <w:rPr>
          <w:rFonts w:cs="Times New Roman"/>
        </w:rPr>
      </w:pPr>
      <w:r>
        <w:rPr>
          <w:rFonts w:cs="Times New Roman"/>
        </w:rPr>
        <w:t>Une contrepartie obligatoire en repos est due pour toute heure supplémentaire accomplie au-delà du contingent annuel de 376 heures.</w:t>
      </w:r>
    </w:p>
    <w:p>
      <w:pPr>
        <w:pStyle w:val="Standard"/>
        <w:spacing w:after="160" w:before="160" w:line="259" w:lineRule="auto"/>
        <w:jc w:val="both"/>
        <w:rPr>
          <w:rFonts w:cs="Times New Roman"/>
        </w:rPr>
      </w:pPr>
      <w:r>
        <w:rPr>
          <w:rFonts w:cs="Times New Roman"/>
        </w:rPr>
        <w:t>Conformément à l’article L3121-33 du Code du travail, la durée de la contrepartie obligatoire en repos est de 100%.</w:t>
      </w:r>
    </w:p>
    <w:p>
      <w:pPr>
        <w:pStyle w:val="Standard"/>
        <w:spacing w:after="160" w:before="160" w:line="259" w:lineRule="auto"/>
        <w:jc w:val="both"/>
        <w:rPr>
          <w:rFonts w:cs="Times New Roman"/>
        </w:rPr>
      </w:pPr>
      <w:r>
        <w:rPr>
          <w:rFonts w:cs="Times New Roman"/>
        </w:rPr>
        <w:t>Les contreparties obligatoires en repos sont prises à l’initiative de l’employeur, en période de faible activité. A défaut et avec l’accord de la Direction, la contrepartie obligatoire en repos pourra être prise à la demande du salarié.</w:t>
      </w:r>
    </w:p>
    <w:p>
      <w:pPr>
        <w:pStyle w:val="Standard"/>
        <w:spacing w:after="160" w:before="160" w:line="259" w:lineRule="auto"/>
        <w:jc w:val="both"/>
        <w:rPr>
          <w:rFonts w:cs="Times New Roman"/>
        </w:rPr>
      </w:pPr>
      <w:r>
        <w:rPr>
          <w:rFonts w:cs="Times New Roman"/>
        </w:rPr>
        <w:t>Dans cette hypothèse, ce dernier pourra formuler sa demande de prise de contrepartie obligatoire en repos au moins une semaine à l’avance en précisant la date et la durée de repos.</w:t>
      </w:r>
    </w:p>
    <w:p>
      <w:pPr>
        <w:pStyle w:val="Standard"/>
        <w:spacing w:after="160" w:before="160" w:line="259" w:lineRule="auto"/>
        <w:jc w:val="both"/>
        <w:rPr>
          <w:rFonts w:cs="Times New Roman"/>
        </w:rPr>
      </w:pPr>
      <w:r>
        <w:rPr>
          <w:rFonts w:cs="Times New Roman"/>
        </w:rPr>
        <w:t>Son droit sera ouvert dès que sa durée atteindra 7 heures de repos et devra être pris dans un délai maximum de six mois suivant sa période d’ouverture.</w:t>
      </w:r>
    </w:p>
    <w:p>
      <w:pPr>
        <w:pStyle w:val="Standard"/>
        <w:spacing w:after="160" w:before="160" w:line="259" w:lineRule="auto"/>
        <w:jc w:val="both"/>
        <w:rPr>
          <w:rFonts w:cs="Times New Roman"/>
        </w:rPr>
      </w:pPr>
      <w:r>
        <w:rPr>
          <w:rFonts w:cs="Times New Roman"/>
        </w:rPr>
        <w:t>Lorsque des impératifs de fonctionnement de l’entreprise font obstacle à ce que plusieurs demandes de contrepartie obligatoire en repos soient satisfaites simultanément, les demandeurs sont partagés selon l’ordre de priorité suivant :</w:t>
      </w:r>
    </w:p>
    <w:p>
      <w:pPr>
        <w:pStyle w:val="ListParagraph"/>
        <w:numPr>
          <w:ilvl w:val="0"/>
          <w:numId w:val="5"/>
        </w:numPr>
        <w:spacing w:after="80" w:before="80" w:line="259" w:lineRule="auto"/>
        <w:ind w:hanging="357" w:left="714"/>
        <w:jc w:val="both"/>
        <w:rPr>
          <w:rFonts w:cs="Times New Roman"/>
        </w:rPr>
      </w:pPr>
      <w:r>
        <w:rPr>
          <w:rFonts w:cs="Times New Roman"/>
        </w:rPr>
        <w:t>La situation de famille ;</w:t>
      </w:r>
    </w:p>
    <w:p>
      <w:pPr>
        <w:pStyle w:val="ListParagraph"/>
        <w:numPr>
          <w:ilvl w:val="0"/>
          <w:numId w:val="10"/>
        </w:numPr>
        <w:spacing w:after="80" w:before="80" w:line="259" w:lineRule="auto"/>
        <w:ind w:hanging="357" w:left="714"/>
        <w:jc w:val="both"/>
        <w:rPr>
          <w:rFonts w:cs="Times New Roman"/>
        </w:rPr>
      </w:pPr>
      <w:r>
        <w:rPr>
          <w:rFonts w:cs="Times New Roman"/>
        </w:rPr>
        <w:t>L’ancienneté dans l’entreprise.</w:t>
      </w:r>
    </w:p>
    <w:p>
      <w:pPr>
        <w:pStyle w:val="ListParagraph"/>
        <w:spacing w:after="80" w:before="80" w:line="259" w:lineRule="auto"/>
        <w:ind w:hanging="357" w:left="714"/>
        <w:jc w:val="both"/>
        <w:rPr>
          <w:rFonts w:ascii="Times New Roman" w:cs="Times New Roman" w:hAnsi="Times New Roman"/>
          <w:sz w:val="25"/>
          <w:szCs w:val="25"/>
        </w:rPr>
      </w:pPr>
      <w:r>
        <w:rPr>
          <w:rFonts w:ascii="Times New Roman" w:cs="Times New Roman" w:hAnsi="Times New Roman"/>
          <w:sz w:val="25"/>
          <w:szCs w:val="25"/>
        </w:rPr>
      </w:r>
    </w:p>
    <w:p>
      <w:pPr>
        <w:pStyle w:val="Standard"/>
        <w:jc w:val="both"/>
        <w:rPr>
          <w:rStyle w:val="Emphasis"/>
          <w:rFonts w:ascii="Calibri Light" w:hAnsi="Calibri Light"/>
          <w:b/>
          <w:bCs/>
          <w:color w:val="3465A4"/>
          <w:sz w:val="26"/>
          <w:szCs w:val="26"/>
          <w:u w:val="single"/>
        </w:rPr>
      </w:pPr>
      <w:r>
        <w:rPr>
          <w:rStyle w:val="Emphasis"/>
          <w:rFonts w:ascii="Calibri Light" w:hAnsi="Calibri Light"/>
          <w:b/>
          <w:bCs/>
          <w:color w:val="3465A4"/>
          <w:sz w:val="26"/>
          <w:szCs w:val="26"/>
          <w:u w:val="single"/>
        </w:rPr>
        <w:t>Article 9 – Dénonciation de l’accord</w:t>
      </w:r>
    </w:p>
    <w:p>
      <w:pPr>
        <w:pStyle w:val="Standard"/>
        <w:spacing w:after="160" w:before="160" w:line="259" w:lineRule="auto"/>
        <w:jc w:val="both"/>
        <w:rPr>
          <w:rFonts w:cs="Times New Roman"/>
        </w:rPr>
      </w:pPr>
      <w:r>
        <w:rPr>
          <w:rFonts w:cs="Times New Roman"/>
        </w:rPr>
        <w:t>Le présent accord pourra être dénoncé totalement ou partiellement à tout moment par l’une ou l’autre des parties signataires ou adhérentes conformément aux dispositions des articles L2222-6 et L2261-9 et suivants du Code du travail.</w:t>
      </w:r>
    </w:p>
    <w:p>
      <w:pPr>
        <w:pStyle w:val="Standard"/>
        <w:spacing w:after="160" w:before="160" w:line="259" w:lineRule="auto"/>
        <w:jc w:val="both"/>
        <w:rPr>
          <w:rFonts w:cs="Times New Roman"/>
        </w:rPr>
      </w:pPr>
      <w:r>
        <w:rPr>
          <w:rFonts w:cs="Times New Roman"/>
        </w:rPr>
        <w:t>La dénonciation totale ou partielle devra être notifiée par lettre recommandée par la partie qui dénonce l’autre partie et devra donner lieu aux formalités de dépôt conformément aux dispositions de l’article D2231-2 du Code du travail.</w:t>
      </w:r>
    </w:p>
    <w:p>
      <w:pPr>
        <w:pStyle w:val="Standard"/>
        <w:spacing w:after="160" w:before="160" w:line="259" w:lineRule="auto"/>
        <w:jc w:val="both"/>
        <w:rPr>
          <w:rFonts w:cs="Times New Roman"/>
        </w:rPr>
      </w:pPr>
      <w:r>
        <w:rPr>
          <w:rFonts w:cs="Times New Roman"/>
        </w:rPr>
        <w:t>Elle sera adressée par lettre recommandée, avec demande d’avis de réception, à la DIRECCTE.</w:t>
      </w:r>
    </w:p>
    <w:p>
      <w:pPr>
        <w:pStyle w:val="Standard"/>
        <w:jc w:val="both"/>
        <w:rPr/>
      </w:pPr>
      <w:r>
        <w:rPr/>
      </w:r>
    </w:p>
    <w:p>
      <w:pPr>
        <w:pStyle w:val="Standard"/>
        <w:jc w:val="both"/>
        <w:rPr/>
      </w:pPr>
      <w:r>
        <w:rPr>
          <w:rStyle w:val="Emphasis"/>
          <w:rFonts w:ascii="Calibri Light" w:hAnsi="Calibri Light"/>
          <w:b/>
          <w:bCs/>
          <w:color w:val="2A6099"/>
          <w:sz w:val="26"/>
          <w:szCs w:val="26"/>
          <w:u w:val="single"/>
        </w:rPr>
        <w:t>Article 10 – Consultations des représentants du personnel</w:t>
      </w:r>
    </w:p>
    <w:p>
      <w:pPr>
        <w:pStyle w:val="Standard"/>
        <w:jc w:val="both"/>
        <w:rPr/>
      </w:pPr>
      <w:r>
        <w:rPr/>
        <w:t>Les représentants du personnel ont été consultés sur la signature du présent accord :</w:t>
      </w:r>
    </w:p>
    <w:p>
      <w:pPr>
        <w:pStyle w:val="Standard"/>
        <w:jc w:val="both"/>
        <w:rPr/>
      </w:pPr>
      <w:r>
        <w:rPr/>
        <w:t>Le Comité Social et Economique le 6 janvier 2025.</w:t>
      </w:r>
    </w:p>
    <w:p>
      <w:pPr>
        <w:pStyle w:val="Standard"/>
        <w:jc w:val="both"/>
        <w:rPr/>
      </w:pPr>
      <w:r>
        <w:rPr/>
        <w:t>Cette instance a émis un avis positif sur le présent accord et ses modalités.</w:t>
      </w:r>
    </w:p>
    <w:p>
      <w:pPr>
        <w:pStyle w:val="Standard"/>
        <w:jc w:val="both"/>
        <w:rPr/>
      </w:pPr>
      <w:r>
        <w:rPr>
          <w:rStyle w:val="Emphasis"/>
          <w:rFonts w:ascii="Calibri Light" w:hAnsi="Calibri Light"/>
          <w:b/>
          <w:bCs/>
          <w:color w:val="2A6099"/>
          <w:sz w:val="26"/>
          <w:szCs w:val="26"/>
          <w:u w:val="single"/>
        </w:rPr>
        <w:t>Article 11 – Publicité et dépôt</w:t>
      </w:r>
    </w:p>
    <w:p>
      <w:pPr>
        <w:pStyle w:val="Standard"/>
        <w:jc w:val="both"/>
        <w:rPr/>
      </w:pPr>
      <w:r>
        <w:rPr/>
        <w:t>Conformément aux articles D. 2231-2 et D. 2231-4 du code du travail, le présent accord sera déposé par la direction de la Société dans les jours suivants la date de signature par le biais du dépôt dématérialisé, sur le portail dédié :</w:t>
      </w:r>
    </w:p>
    <w:p>
      <w:pPr>
        <w:pStyle w:val="Standard"/>
        <w:jc w:val="both"/>
        <w:rPr/>
      </w:pPr>
      <w:r>
        <w:rPr/>
        <w:t xml:space="preserve">Portail – ministère du travail : </w:t>
      </w:r>
      <w:hyperlink r:id="rId2">
        <w:r>
          <w:rPr>
            <w:rStyle w:val="Hyperlink"/>
          </w:rPr>
          <w:t>https://www.teleaccord.travail-emploi.gouv.fr/PortailTeleprocedures/</w:t>
        </w:r>
      </w:hyperlink>
    </w:p>
    <w:p>
      <w:pPr>
        <w:pStyle w:val="Standard"/>
        <w:jc w:val="both"/>
        <w:rPr/>
      </w:pPr>
      <w:r>
        <w:rPr/>
        <w:t>Un exemplaire sera déposé au greffe du Conseil des Prud’hommes de Sens.</w:t>
      </w:r>
    </w:p>
    <w:p>
      <w:pPr>
        <w:pStyle w:val="Standard"/>
        <w:jc w:val="both"/>
        <w:rPr/>
      </w:pPr>
      <w:r>
        <w:rPr/>
        <w:t>Conformément à l’article L. 2231-5-1 du code du travail, le présent accord sera, après anonymisation des noms et prénoms des négociateurs et des signataires de l’accord, rendu public et versé dans la base de données nationale des accords collectifs.</w:t>
      </w:r>
    </w:p>
    <w:p>
      <w:pPr>
        <w:pStyle w:val="Standard"/>
        <w:jc w:val="both"/>
        <w:rPr/>
      </w:pPr>
      <w:r>
        <w:rPr/>
        <w:t>Le présent accord sera remis aux membres du comité social et économique.</w:t>
      </w:r>
    </w:p>
    <w:p>
      <w:pPr>
        <w:pStyle w:val="Standard"/>
        <w:jc w:val="both"/>
        <w:rPr>
          <w:rFonts w:ascii="Calibri" w:asciiTheme="minorHAnsi" w:cs="Calibri" w:cstheme="minorHAnsi" w:hAnsi="Calibri" w:hAnsiTheme="minorHAnsi"/>
        </w:rPr>
      </w:pPr>
      <w:r>
        <w:rPr>
          <w:rFonts w:cs="Calibri" w:cstheme="minorHAnsi"/>
        </w:rPr>
      </w:r>
    </w:p>
    <w:p>
      <w:pPr>
        <w:pStyle w:val="Standard"/>
        <w:spacing w:after="160" w:before="160" w:line="259" w:lineRule="auto"/>
        <w:ind w:firstLine="708" w:left="4248"/>
        <w:jc w:val="both"/>
        <w:rPr>
          <w:rFonts w:ascii="Calibri" w:asciiTheme="minorHAnsi" w:cs="Calibri" w:cstheme="minorHAnsi" w:hAnsi="Calibri" w:hAnsiTheme="minorHAnsi"/>
        </w:rPr>
      </w:pPr>
      <w:r>
        <w:rPr>
          <w:rFonts w:cs="Calibri" w:cstheme="minorHAnsi"/>
        </w:rPr>
        <w:t>Fait à Sens, le 6 janvier 2025</w:t>
      </w:r>
    </w:p>
    <w:p>
      <w:pPr>
        <w:pStyle w:val="Textecourant"/>
        <w:spacing w:after="160" w:before="160" w:line="259" w:lineRule="auto"/>
        <w:rPr>
          <w:rFonts w:ascii="Calibri" w:asciiTheme="minorHAnsi" w:cs="Calibri" w:cstheme="minorHAnsi" w:hAnsi="Calibri" w:hAnsiTheme="minorHAnsi"/>
          <w:color w:val="000000"/>
        </w:rPr>
      </w:pPr>
      <w:r>
        <w:rPr>
          <w:rFonts w:cs="Calibri" w:cstheme="minorHAnsi"/>
          <w:color w:val="000000"/>
        </w:rPr>
      </w:r>
    </w:p>
    <w:p>
      <w:pPr>
        <w:pStyle w:val="Textecourant"/>
        <w:spacing w:after="160" w:before="0" w:line="259" w:lineRule="auto"/>
        <w:ind w:firstLine="708" w:left="4248"/>
        <w:rPr>
          <w:rFonts w:ascii="Calibri" w:asciiTheme="minorHAnsi" w:cs="Calibri" w:cstheme="minorHAnsi" w:hAnsi="Calibri" w:hAnsiTheme="minorHAnsi"/>
          <w:color w:val="000000"/>
        </w:rPr>
      </w:pPr>
      <w:r>
        <w:rPr>
          <w:rFonts w:cs="Calibri" w:cstheme="minorHAnsi"/>
          <w:color w:val="000000"/>
        </w:rPr>
        <w:t>Pour la société,</w:t>
      </w:r>
    </w:p>
    <w:p>
      <w:pPr>
        <w:pStyle w:val="Textecourant"/>
        <w:spacing w:after="160" w:before="0" w:line="259" w:lineRule="auto"/>
        <w:rPr>
          <w:rFonts w:ascii="Times New Roman" w:cs="Times New Roman" w:hAnsi="Times New Roman"/>
          <w:color w:val="000000"/>
          <w:sz w:val="26"/>
          <w:szCs w:val="26"/>
        </w:rPr>
      </w:pPr>
      <w:r>
        <w:rPr>
          <w:rFonts w:ascii="Times New Roman" w:cs="Times New Roman" w:hAnsi="Times New Roman"/>
          <w:color w:val="000000"/>
          <w:sz w:val="26"/>
          <w:szCs w:val="26"/>
        </w:rPr>
      </w:r>
    </w:p>
    <w:p>
      <w:pPr>
        <w:pStyle w:val="Textecourant"/>
        <w:spacing w:after="160" w:before="0" w:line="259" w:lineRule="auto"/>
        <w:rPr>
          <w:rFonts w:ascii="Times New Roman" w:cs="Times New Roman" w:hAnsi="Times New Roman"/>
          <w:color w:val="000000"/>
          <w:sz w:val="26"/>
          <w:szCs w:val="26"/>
        </w:rPr>
      </w:pPr>
      <w:r>
        <w:rPr>
          <w:rFonts w:ascii="Times New Roman" w:cs="Times New Roman" w:hAnsi="Times New Roman"/>
          <w:color w:val="000000"/>
          <w:sz w:val="26"/>
          <w:szCs w:val="26"/>
        </w:rPr>
      </w:r>
    </w:p>
    <w:p>
      <w:pPr>
        <w:pStyle w:val="Textecourant"/>
        <w:spacing w:after="160" w:before="0" w:line="259" w:lineRule="auto"/>
        <w:rPr>
          <w:rFonts w:ascii="Times New Roman" w:cs="Times New Roman" w:hAnsi="Times New Roman"/>
          <w:color w:val="000000"/>
          <w:sz w:val="26"/>
          <w:szCs w:val="26"/>
        </w:rPr>
      </w:pPr>
      <w:r>
        <w:rPr>
          <w:rFonts w:ascii="Times New Roman" w:cs="Times New Roman" w:hAnsi="Times New Roman"/>
          <w:color w:val="000000"/>
          <w:sz w:val="26"/>
          <w:szCs w:val="26"/>
        </w:rPr>
      </w:r>
    </w:p>
    <w:p>
      <w:pPr>
        <w:pStyle w:val="Textecourant"/>
        <w:spacing w:after="160" w:before="0" w:line="259" w:lineRule="auto"/>
        <w:rPr>
          <w:rFonts w:ascii="Times New Roman" w:cs="Times New Roman" w:hAnsi="Times New Roman"/>
          <w:color w:val="000000"/>
          <w:sz w:val="26"/>
          <w:szCs w:val="26"/>
        </w:rPr>
      </w:pPr>
      <w:r>
        <w:rPr>
          <w:rFonts w:ascii="Times New Roman" w:cs="Times New Roman" w:hAnsi="Times New Roman"/>
          <w:color w:val="000000"/>
          <w:sz w:val="26"/>
          <w:szCs w:val="26"/>
        </w:rPr>
      </w:r>
    </w:p>
    <w:p>
      <w:pPr>
        <w:pStyle w:val="Standard"/>
        <w:spacing w:after="160" w:before="0" w:line="259" w:lineRule="auto"/>
        <w:rPr/>
      </w:pPr>
      <w:r>
        <w:rPr/>
      </w:r>
    </w:p>
    <w:p>
      <w:pPr>
        <w:pStyle w:val="Standard"/>
        <w:spacing w:after="160" w:before="0" w:line="259" w:lineRule="auto"/>
        <w:rPr/>
      </w:pPr>
      <w:r>
        <w:rPr/>
      </w:r>
    </w:p>
    <w:p>
      <w:pPr>
        <w:pStyle w:val="Standard"/>
        <w:spacing w:after="160" w:before="0" w:line="259" w:lineRule="auto"/>
        <w:rPr/>
      </w:pPr>
      <w:r>
        <w:rPr/>
      </w:r>
    </w:p>
    <w:p>
      <w:pPr>
        <w:pStyle w:val="Standard"/>
        <w:spacing w:after="160" w:before="0" w:line="259" w:lineRule="auto"/>
        <w:rPr/>
      </w:pPr>
      <w:r>
        <w:rPr/>
        <w:tab/>
        <w:tab/>
        <w:tab/>
        <w:tab/>
        <w:tab/>
        <w:tab/>
        <w:tab/>
        <w:t>Pour le Comité Social et Economique</w:t>
      </w:r>
    </w:p>
    <w:p>
      <w:pPr>
        <w:pStyle w:val="NoSpacing"/>
        <w:rPr>
          <w:i/>
          <w:i/>
        </w:rPr>
      </w:pPr>
      <w:r>
        <w:rPr/>
        <w:tab/>
        <w:tab/>
        <w:tab/>
        <w:tab/>
        <w:tab/>
        <w:tab/>
      </w:r>
      <w:bookmarkStart w:id="0" w:name="_GoBack"/>
      <w:bookmarkEnd w:id="0"/>
    </w:p>
    <w:p>
      <w:pPr>
        <w:pStyle w:val="NoSpacing"/>
        <w:rPr>
          <w:i/>
          <w:i/>
        </w:rPr>
      </w:pPr>
      <w:r>
        <w:rPr>
          <w:i/>
        </w:rPr>
      </w:r>
    </w:p>
    <w:sectPr>
      <w:headerReference r:id="rId3" w:type="even"/>
      <w:headerReference r:id="rId4" w:type="default"/>
      <w:headerReference r:id="rId5" w:type="first"/>
      <w:footerReference r:id="rId6" w:type="even"/>
      <w:footerReference r:id="rId7" w:type="default"/>
      <w:footerReference r:id="rId8" w:type="first"/>
      <w:type w:val="nextPage"/>
      <w:pgSz w:h="16838" w:w="11906"/>
      <w:pgMar w:bottom="1417" w:footer="709" w:gutter="0" w:header="709" w:left="1417" w:right="1417" w:top="1417"/>
      <w:pgNumType w:fmt="decimal"/>
      <w:formProt w:val="false"/>
      <w:textDirection w:val="lrTb"/>
      <w:docGrid w:charSpace="4096" w:linePitch="10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Calibri Light">
    <w:charset w:val="01"/>
    <w:family w:val="auto"/>
    <w:pitch w:val="default"/>
  </w:font>
  <w:font w:name="Trebuchet MS">
    <w:charset w:val="01"/>
    <w:family w:val="auto"/>
    <w:pitch w:val="default"/>
  </w:font>
  <w:font w:name="Segoe UI">
    <w:charset w:val="01"/>
    <w:family w:val="auto"/>
    <w:pitch w:val="default"/>
  </w:font>
  <w:font w:name="Liberation Sans">
    <w:altName w:val="Arial"/>
    <w:charset w:val="01"/>
    <w:family w:val="auto"/>
    <w:pitch w:val="default"/>
  </w:font>
  <w:font w:name="Times New Roman">
    <w:charset w:val="01"/>
    <w:family w:val="auto"/>
    <w:pitch w:val="default"/>
  </w:font>
  <w:font w:name="Courier New">
    <w:charset w:val="01"/>
    <w:family w:val="modern"/>
    <w:pitch w:val="fixed"/>
  </w:font>
  <w:font w:name="Wingdings">
    <w:charset w:val="02"/>
    <w:family w:val="auto"/>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right"/>
      <w:rPr/>
    </w:pPr>
    <w:r>
      <w:rPr>
        <w:rFonts w:ascii="Times New Roman" w:cs="Times New Roman" w:hAnsi="Times New Roman"/>
        <w:i/>
      </w:rPr>
      <w:fldChar w:fldCharType="begin"/>
    </w:r>
    <w:r>
      <w:rPr>
        <w:i/>
        <w:rFonts w:ascii="Times New Roman" w:cs="Times New Roman" w:hAnsi="Times New Roman"/>
      </w:rPr>
      <w:instrText xml:space="preserve"> PAGE </w:instrText>
    </w:r>
    <w:r>
      <w:rPr>
        <w:i/>
        <w:rFonts w:ascii="Times New Roman" w:cs="Times New Roman" w:hAnsi="Times New Roman"/>
      </w:rPr>
      <w:fldChar w:fldCharType="separate"/>
    </w:r>
    <w:r>
      <w:rPr>
        <w:i/>
        <w:rFonts w:ascii="Times New Roman" w:cs="Times New Roman" w:hAnsi="Times New Roman"/>
      </w:rPr>
      <w:t>6</w:t>
    </w:r>
    <w:r>
      <w:rPr>
        <w:i/>
        <w:rFonts w:ascii="Times New Roman" w:cs="Times New Roman" w:hAnsi="Times New Roman"/>
      </w:rPr>
      <w:fldChar w:fldCharType="end"/>
    </w:r>
    <w:r>
      <w:rPr>
        <w:rFonts w:ascii="Times New Roman" w:cs="Times New Roman" w:hAnsi="Times New Roman"/>
        <w:i/>
      </w:rPr>
      <w:t>/</w:t>
    </w:r>
    <w:r>
      <w:rPr>
        <w:rFonts w:ascii="Times New Roman" w:cs="Times New Roman" w:hAnsi="Times New Roman"/>
        <w:i/>
      </w:rPr>
      <w:fldChar w:fldCharType="begin"/>
    </w:r>
    <w:r>
      <w:rPr>
        <w:i/>
        <w:rFonts w:ascii="Times New Roman" w:cs="Times New Roman" w:hAnsi="Times New Roman"/>
      </w:rPr>
      <w:instrText xml:space="preserve"> NUMPAGES </w:instrText>
    </w:r>
    <w:r>
      <w:rPr>
        <w:i/>
        <w:rFonts w:ascii="Times New Roman" w:cs="Times New Roman" w:hAnsi="Times New Roman"/>
      </w:rPr>
      <w:fldChar w:fldCharType="separate"/>
    </w:r>
    <w:r>
      <w:rPr>
        <w:i/>
        <w:rFonts w:ascii="Times New Roman" w:cs="Times New Roman" w:hAnsi="Times New Roman"/>
      </w:rPr>
      <w:t>6</w:t>
    </w:r>
    <w:r>
      <w:rPr>
        <w:i/>
        <w:rFonts w:ascii="Times New Roman" w:cs="Times New Roman" w:hAnsi="Times New Roman"/>
      </w:rPr>
      <w:fldChar w:fldCharType="end"/>
    </w:r>
  </w:p>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right"/>
      <w:rPr/>
    </w:pPr>
    <w:r>
      <w:rPr>
        <w:rFonts w:ascii="Times New Roman" w:cs="Times New Roman" w:hAnsi="Times New Roman"/>
        <w:i/>
      </w:rPr>
      <w:fldChar w:fldCharType="begin"/>
    </w:r>
    <w:r>
      <w:rPr>
        <w:i/>
        <w:rFonts w:ascii="Times New Roman" w:cs="Times New Roman" w:hAnsi="Times New Roman"/>
      </w:rPr>
      <w:instrText xml:space="preserve"> PAGE </w:instrText>
    </w:r>
    <w:r>
      <w:rPr>
        <w:i/>
        <w:rFonts w:ascii="Times New Roman" w:cs="Times New Roman" w:hAnsi="Times New Roman"/>
      </w:rPr>
      <w:fldChar w:fldCharType="separate"/>
    </w:r>
    <w:r>
      <w:rPr>
        <w:i/>
        <w:rFonts w:ascii="Times New Roman" w:cs="Times New Roman" w:hAnsi="Times New Roman"/>
      </w:rPr>
      <w:t>6</w:t>
    </w:r>
    <w:r>
      <w:rPr>
        <w:i/>
        <w:rFonts w:ascii="Times New Roman" w:cs="Times New Roman" w:hAnsi="Times New Roman"/>
      </w:rPr>
      <w:fldChar w:fldCharType="end"/>
    </w:r>
    <w:r>
      <w:rPr>
        <w:rFonts w:ascii="Times New Roman" w:cs="Times New Roman" w:hAnsi="Times New Roman"/>
        <w:i/>
      </w:rPr>
      <w:t>/</w:t>
    </w:r>
    <w:r>
      <w:rPr>
        <w:rFonts w:ascii="Times New Roman" w:cs="Times New Roman" w:hAnsi="Times New Roman"/>
        <w:i/>
      </w:rPr>
      <w:fldChar w:fldCharType="begin"/>
    </w:r>
    <w:r>
      <w:rPr>
        <w:i/>
        <w:rFonts w:ascii="Times New Roman" w:cs="Times New Roman" w:hAnsi="Times New Roman"/>
      </w:rPr>
      <w:instrText xml:space="preserve"> NUMPAGES </w:instrText>
    </w:r>
    <w:r>
      <w:rPr>
        <w:i/>
        <w:rFonts w:ascii="Times New Roman" w:cs="Times New Roman" w:hAnsi="Times New Roman"/>
      </w:rPr>
      <w:fldChar w:fldCharType="separate"/>
    </w:r>
    <w:r>
      <w:rPr>
        <w:i/>
        <w:rFonts w:ascii="Times New Roman" w:cs="Times New Roman" w:hAnsi="Times New Roman"/>
      </w:rPr>
      <w:t>6</w:t>
    </w:r>
    <w:r>
      <w:rPr>
        <w:i/>
        <w:rFonts w:ascii="Times New Roman" w:cs="Times New Roman" w:hAnsi="Times New Roman"/>
      </w:rPr>
      <w:fldChar w:fldCharType="end"/>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2.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3.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left"/>
      <w:pPr>
        <w:tabs>
          <w:tab w:pos="0" w:val="num"/>
        </w:tabs>
        <w:ind w:hanging="360" w:left="720"/>
      </w:pPr>
      <w:rPr/>
    </w:lvl>
    <w:lvl w:ilvl="1">
      <w:start w:val="1"/>
      <w:numFmt w:val="lowerLetter"/>
      <w:lvlText w:val="%1.%2"/>
      <w:lvlJc w:val="left"/>
      <w:pPr>
        <w:tabs>
          <w:tab w:pos="0" w:val="num"/>
        </w:tabs>
        <w:ind w:hanging="360" w:left="1440"/>
      </w:pPr>
      <w:rPr/>
    </w:lvl>
    <w:lvl w:ilvl="2">
      <w:start w:val="1"/>
      <w:numFmt w:val="lowerRoman"/>
      <w:lvlText w:val="%1.%2.%3"/>
      <w:lvlJc w:val="right"/>
      <w:pPr>
        <w:tabs>
          <w:tab w:pos="0" w:val="num"/>
        </w:tabs>
        <w:ind w:hanging="180" w:left="2160"/>
      </w:pPr>
      <w:rPr/>
    </w:lvl>
    <w:lvl w:ilvl="3">
      <w:start w:val="1"/>
      <w:numFmt w:val="decimal"/>
      <w:lvlText w:val="%1.%2.%3.%4"/>
      <w:lvlJc w:val="left"/>
      <w:pPr>
        <w:tabs>
          <w:tab w:pos="0" w:val="num"/>
        </w:tabs>
        <w:ind w:hanging="360" w:left="2880"/>
      </w:pPr>
      <w:rPr/>
    </w:lvl>
    <w:lvl w:ilvl="4">
      <w:start w:val="1"/>
      <w:numFmt w:val="lowerLetter"/>
      <w:lvlText w:val="%1.%2.%3.%4.%5"/>
      <w:lvlJc w:val="left"/>
      <w:pPr>
        <w:tabs>
          <w:tab w:pos="0" w:val="num"/>
        </w:tabs>
        <w:ind w:hanging="360" w:left="3600"/>
      </w:pPr>
      <w:rPr/>
    </w:lvl>
    <w:lvl w:ilvl="5">
      <w:start w:val="1"/>
      <w:numFmt w:val="lowerRoman"/>
      <w:lvlText w:val="%1.%2.%3.%4.%5.%6"/>
      <w:lvlJc w:val="right"/>
      <w:pPr>
        <w:tabs>
          <w:tab w:pos="0" w:val="num"/>
        </w:tabs>
        <w:ind w:hanging="180" w:left="4320"/>
      </w:pPr>
      <w:rPr/>
    </w:lvl>
    <w:lvl w:ilvl="6">
      <w:start w:val="1"/>
      <w:numFmt w:val="decimal"/>
      <w:lvlText w:val="%1.%2.%3.%4.%5.%6.%7"/>
      <w:lvlJc w:val="left"/>
      <w:pPr>
        <w:tabs>
          <w:tab w:pos="0" w:val="num"/>
        </w:tabs>
        <w:ind w:hanging="360" w:left="5040"/>
      </w:pPr>
      <w:rPr/>
    </w:lvl>
    <w:lvl w:ilvl="7">
      <w:start w:val="1"/>
      <w:numFmt w:val="lowerLetter"/>
      <w:lvlText w:val="%1.%2.%3.%4.%5.%6.%7.%8"/>
      <w:lvlJc w:val="left"/>
      <w:pPr>
        <w:tabs>
          <w:tab w:pos="0" w:val="num"/>
        </w:tabs>
        <w:ind w:hanging="360" w:left="5760"/>
      </w:pPr>
      <w:rPr/>
    </w:lvl>
    <w:lvl w:ilvl="8">
      <w:start w:val="1"/>
      <w:numFmt w:val="lowerRoman"/>
      <w:lvlText w:val="%1.%2.%3.%4.%5.%6.%7.%8.%9"/>
      <w:lvlJc w:val="right"/>
      <w:pPr>
        <w:tabs>
          <w:tab w:pos="0" w:val="num"/>
        </w:tabs>
        <w:ind w:hanging="180" w:left="6480"/>
      </w:pPr>
      <w:rPr/>
    </w:lvl>
  </w:abstractNum>
  <w:abstractNum w:abstractNumId="2">
    <w:lvl w:ilvl="0">
      <w:numFmt w:val="bullet"/>
      <w:lvlText w:val=""/>
      <w:lvlJc w:val="left"/>
      <w:pPr>
        <w:tabs>
          <w:tab w:pos="0" w:val="num"/>
        </w:tabs>
        <w:ind w:hanging="360" w:left="360"/>
      </w:pPr>
      <w:rPr>
        <w:rFonts w:ascii="Symbol" w:cs="Symbol" w:hAnsi="Symbol" w:hint="default"/>
        <w:color w:val="C0504D"/>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3">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4">
    <w:lvl w:ilvl="0">
      <w:start w:val="1"/>
      <w:numFmt w:val="decimal"/>
      <w:lvlText w:val="%1"/>
      <w:lvlJc w:val="left"/>
      <w:pPr>
        <w:tabs>
          <w:tab w:pos="0" w:val="num"/>
        </w:tabs>
        <w:ind w:hanging="360" w:left="720"/>
      </w:pPr>
      <w:rPr/>
    </w:lvl>
    <w:lvl w:ilvl="1">
      <w:start w:val="1"/>
      <w:numFmt w:val="lowerLetter"/>
      <w:lvlText w:val="%1.%2"/>
      <w:lvlJc w:val="left"/>
      <w:pPr>
        <w:tabs>
          <w:tab w:pos="0" w:val="num"/>
        </w:tabs>
        <w:ind w:hanging="360" w:left="1440"/>
      </w:pPr>
      <w:rPr/>
    </w:lvl>
    <w:lvl w:ilvl="2">
      <w:start w:val="1"/>
      <w:numFmt w:val="lowerRoman"/>
      <w:lvlText w:val="%1.%2.%3"/>
      <w:lvlJc w:val="right"/>
      <w:pPr>
        <w:tabs>
          <w:tab w:pos="0" w:val="num"/>
        </w:tabs>
        <w:ind w:hanging="180" w:left="2160"/>
      </w:pPr>
      <w:rPr/>
    </w:lvl>
    <w:lvl w:ilvl="3">
      <w:start w:val="1"/>
      <w:numFmt w:val="decimal"/>
      <w:lvlText w:val="%1.%2.%3.%4"/>
      <w:lvlJc w:val="left"/>
      <w:pPr>
        <w:tabs>
          <w:tab w:pos="0" w:val="num"/>
        </w:tabs>
        <w:ind w:hanging="360" w:left="2880"/>
      </w:pPr>
      <w:rPr/>
    </w:lvl>
    <w:lvl w:ilvl="4">
      <w:start w:val="1"/>
      <w:numFmt w:val="lowerLetter"/>
      <w:lvlText w:val="%1.%2.%3.%4.%5"/>
      <w:lvlJc w:val="left"/>
      <w:pPr>
        <w:tabs>
          <w:tab w:pos="0" w:val="num"/>
        </w:tabs>
        <w:ind w:hanging="360" w:left="3600"/>
      </w:pPr>
      <w:rPr/>
    </w:lvl>
    <w:lvl w:ilvl="5">
      <w:start w:val="1"/>
      <w:numFmt w:val="lowerRoman"/>
      <w:lvlText w:val="%1.%2.%3.%4.%5.%6"/>
      <w:lvlJc w:val="right"/>
      <w:pPr>
        <w:tabs>
          <w:tab w:pos="0" w:val="num"/>
        </w:tabs>
        <w:ind w:hanging="180" w:left="4320"/>
      </w:pPr>
      <w:rPr/>
    </w:lvl>
    <w:lvl w:ilvl="6">
      <w:start w:val="1"/>
      <w:numFmt w:val="decimal"/>
      <w:lvlText w:val="%1.%2.%3.%4.%5.%6.%7"/>
      <w:lvlJc w:val="left"/>
      <w:pPr>
        <w:tabs>
          <w:tab w:pos="0" w:val="num"/>
        </w:tabs>
        <w:ind w:hanging="360" w:left="5040"/>
      </w:pPr>
      <w:rPr/>
    </w:lvl>
    <w:lvl w:ilvl="7">
      <w:start w:val="1"/>
      <w:numFmt w:val="lowerLetter"/>
      <w:lvlText w:val="%1.%2.%3.%4.%5.%6.%7.%8"/>
      <w:lvlJc w:val="left"/>
      <w:pPr>
        <w:tabs>
          <w:tab w:pos="0" w:val="num"/>
        </w:tabs>
        <w:ind w:hanging="360" w:left="5760"/>
      </w:pPr>
      <w:rPr/>
    </w:lvl>
    <w:lvl w:ilvl="8">
      <w:start w:val="1"/>
      <w:numFmt w:val="lowerRoman"/>
      <w:lvlText w:val="%1.%2.%3.%4.%5.%6.%7.%8.%9"/>
      <w:lvlJc w:val="right"/>
      <w:pPr>
        <w:tabs>
          <w:tab w:pos="0" w:val="num"/>
        </w:tabs>
        <w:ind w:hanging="180" w:left="6480"/>
      </w:pPr>
      <w:rPr/>
    </w:lvl>
  </w:abstractNum>
  <w:abstractNum w:abstractNumId="5">
    <w:lvl w:ilvl="0">
      <w:numFmt w:val="bullet"/>
      <w:lvlText w:val=""/>
      <w:lvlJc w:val="left"/>
      <w:pPr>
        <w:tabs>
          <w:tab w:pos="0" w:val="num"/>
        </w:tabs>
        <w:ind w:hanging="360" w:left="720"/>
      </w:pPr>
      <w:rPr>
        <w:rFonts w:ascii="Symbol" w:cs="Symbol" w:hAnsi="Symbol" w:hint="default"/>
      </w:rPr>
    </w:lvl>
    <w:lvl w:ilvl="1">
      <w:start w:val="0"/>
      <w:numFmt w:val="bullet"/>
      <w:lvlText w:val="o"/>
      <w:lvlJc w:val="left"/>
      <w:pPr>
        <w:tabs>
          <w:tab w:pos="0" w:val="num"/>
        </w:tabs>
        <w:ind w:hanging="360" w:left="1440"/>
      </w:pPr>
      <w:rPr>
        <w:rFonts w:ascii="Courier New" w:cs="Courier New" w:hAnsi="Courier New" w:hint="default"/>
      </w:rPr>
    </w:lvl>
    <w:lvl w:ilvl="2">
      <w:start w:val="0"/>
      <w:numFmt w:val="bullet"/>
      <w:lvlText w:val=""/>
      <w:lvlJc w:val="left"/>
      <w:pPr>
        <w:tabs>
          <w:tab w:pos="0" w:val="num"/>
        </w:tabs>
        <w:ind w:hanging="360" w:left="2160"/>
      </w:pPr>
      <w:rPr>
        <w:rFonts w:ascii="Wingdings" w:cs="Wingdings" w:hAnsi="Wingdings" w:hint="default"/>
      </w:rPr>
    </w:lvl>
    <w:lvl w:ilvl="3">
      <w:start w:val="0"/>
      <w:numFmt w:val="bullet"/>
      <w:lvlText w:val=""/>
      <w:lvlJc w:val="left"/>
      <w:pPr>
        <w:tabs>
          <w:tab w:pos="0" w:val="num"/>
        </w:tabs>
        <w:ind w:hanging="360" w:left="2880"/>
      </w:pPr>
      <w:rPr>
        <w:rFonts w:ascii="Symbol" w:cs="Symbol" w:hAnsi="Symbol" w:hint="default"/>
      </w:rPr>
    </w:lvl>
    <w:lvl w:ilvl="4">
      <w:start w:val="0"/>
      <w:numFmt w:val="bullet"/>
      <w:lvlText w:val="o"/>
      <w:lvlJc w:val="left"/>
      <w:pPr>
        <w:tabs>
          <w:tab w:pos="0" w:val="num"/>
        </w:tabs>
        <w:ind w:hanging="360" w:left="3600"/>
      </w:pPr>
      <w:rPr>
        <w:rFonts w:ascii="Courier New" w:cs="Courier New" w:hAnsi="Courier New" w:hint="default"/>
      </w:rPr>
    </w:lvl>
    <w:lvl w:ilvl="5">
      <w:start w:val="0"/>
      <w:numFmt w:val="bullet"/>
      <w:lvlText w:val=""/>
      <w:lvlJc w:val="left"/>
      <w:pPr>
        <w:tabs>
          <w:tab w:pos="0" w:val="num"/>
        </w:tabs>
        <w:ind w:hanging="360" w:left="4320"/>
      </w:pPr>
      <w:rPr>
        <w:rFonts w:ascii="Wingdings" w:cs="Wingdings" w:hAnsi="Wingdings" w:hint="default"/>
      </w:rPr>
    </w:lvl>
    <w:lvl w:ilvl="6">
      <w:start w:val="0"/>
      <w:numFmt w:val="bullet"/>
      <w:lvlText w:val=""/>
      <w:lvlJc w:val="left"/>
      <w:pPr>
        <w:tabs>
          <w:tab w:pos="0" w:val="num"/>
        </w:tabs>
        <w:ind w:hanging="360" w:left="5040"/>
      </w:pPr>
      <w:rPr>
        <w:rFonts w:ascii="Symbol" w:cs="Symbol" w:hAnsi="Symbol" w:hint="default"/>
      </w:rPr>
    </w:lvl>
    <w:lvl w:ilvl="7">
      <w:start w:val="0"/>
      <w:numFmt w:val="bullet"/>
      <w:lvlText w:val="o"/>
      <w:lvlJc w:val="left"/>
      <w:pPr>
        <w:tabs>
          <w:tab w:pos="0" w:val="num"/>
        </w:tabs>
        <w:ind w:hanging="360" w:left="5760"/>
      </w:pPr>
      <w:rPr>
        <w:rFonts w:ascii="Courier New" w:cs="Courier New" w:hAnsi="Courier New" w:hint="default"/>
      </w:rPr>
    </w:lvl>
    <w:lvl w:ilvl="8">
      <w:start w:val="0"/>
      <w:numFmt w:val="bullet"/>
      <w:lvlText w:val=""/>
      <w:lvlJc w:val="left"/>
      <w:pPr>
        <w:tabs>
          <w:tab w:pos="0" w:val="num"/>
        </w:tabs>
        <w:ind w:hanging="360" w:left="6480"/>
      </w:pPr>
      <w:rPr>
        <w:rFonts w:ascii="Wingdings" w:cs="Wingdings" w:hAnsi="Wingdings" w:hint="default"/>
      </w:rPr>
    </w:lvl>
  </w:abstractNum>
  <w:abstractNum w:abstractNumId="6">
    <w:lvl w:ilvl="0">
      <w:start w:val="1"/>
      <w:numFmt w:val="bullet"/>
      <w:lvlText w:val=""/>
      <w:lvlJc w:val="left"/>
      <w:pPr>
        <w:tabs>
          <w:tab w:pos="0" w:val="num"/>
        </w:tabs>
        <w:ind w:hanging="360" w:left="1425"/>
      </w:pPr>
      <w:rPr>
        <w:rFonts w:ascii="Symbol" w:cs="Symbol" w:hAnsi="Symbol" w:hint="default"/>
      </w:rPr>
    </w:lvl>
    <w:lvl w:ilvl="1">
      <w:start w:val="1"/>
      <w:numFmt w:val="bullet"/>
      <w:lvlText w:val="o"/>
      <w:lvlJc w:val="left"/>
      <w:pPr>
        <w:tabs>
          <w:tab w:pos="0" w:val="num"/>
        </w:tabs>
        <w:ind w:hanging="360" w:left="2145"/>
      </w:pPr>
      <w:rPr>
        <w:rFonts w:ascii="Courier New" w:cs="Courier New" w:hAnsi="Courier New" w:hint="default"/>
      </w:rPr>
    </w:lvl>
    <w:lvl w:ilvl="2">
      <w:start w:val="1"/>
      <w:numFmt w:val="bullet"/>
      <w:lvlText w:val=""/>
      <w:lvlJc w:val="left"/>
      <w:pPr>
        <w:tabs>
          <w:tab w:pos="0" w:val="num"/>
        </w:tabs>
        <w:ind w:hanging="360" w:left="2865"/>
      </w:pPr>
      <w:rPr>
        <w:rFonts w:ascii="Wingdings" w:cs="Wingdings" w:hAnsi="Wingdings" w:hint="default"/>
      </w:rPr>
    </w:lvl>
    <w:lvl w:ilvl="3">
      <w:start w:val="1"/>
      <w:numFmt w:val="bullet"/>
      <w:lvlText w:val=""/>
      <w:lvlJc w:val="left"/>
      <w:pPr>
        <w:tabs>
          <w:tab w:pos="0" w:val="num"/>
        </w:tabs>
        <w:ind w:hanging="360" w:left="3585"/>
      </w:pPr>
      <w:rPr>
        <w:rFonts w:ascii="Symbol" w:cs="Symbol" w:hAnsi="Symbol" w:hint="default"/>
      </w:rPr>
    </w:lvl>
    <w:lvl w:ilvl="4">
      <w:start w:val="1"/>
      <w:numFmt w:val="bullet"/>
      <w:lvlText w:val="o"/>
      <w:lvlJc w:val="left"/>
      <w:pPr>
        <w:tabs>
          <w:tab w:pos="0" w:val="num"/>
        </w:tabs>
        <w:ind w:hanging="360" w:left="4305"/>
      </w:pPr>
      <w:rPr>
        <w:rFonts w:ascii="Courier New" w:cs="Courier New" w:hAnsi="Courier New" w:hint="default"/>
      </w:rPr>
    </w:lvl>
    <w:lvl w:ilvl="5">
      <w:start w:val="1"/>
      <w:numFmt w:val="bullet"/>
      <w:lvlText w:val=""/>
      <w:lvlJc w:val="left"/>
      <w:pPr>
        <w:tabs>
          <w:tab w:pos="0" w:val="num"/>
        </w:tabs>
        <w:ind w:hanging="360" w:left="5025"/>
      </w:pPr>
      <w:rPr>
        <w:rFonts w:ascii="Wingdings" w:cs="Wingdings" w:hAnsi="Wingdings" w:hint="default"/>
      </w:rPr>
    </w:lvl>
    <w:lvl w:ilvl="6">
      <w:start w:val="1"/>
      <w:numFmt w:val="bullet"/>
      <w:lvlText w:val=""/>
      <w:lvlJc w:val="left"/>
      <w:pPr>
        <w:tabs>
          <w:tab w:pos="0" w:val="num"/>
        </w:tabs>
        <w:ind w:hanging="360" w:left="5745"/>
      </w:pPr>
      <w:rPr>
        <w:rFonts w:ascii="Symbol" w:cs="Symbol" w:hAnsi="Symbol" w:hint="default"/>
      </w:rPr>
    </w:lvl>
    <w:lvl w:ilvl="7">
      <w:start w:val="1"/>
      <w:numFmt w:val="bullet"/>
      <w:lvlText w:val="o"/>
      <w:lvlJc w:val="left"/>
      <w:pPr>
        <w:tabs>
          <w:tab w:pos="0" w:val="num"/>
        </w:tabs>
        <w:ind w:hanging="360" w:left="6465"/>
      </w:pPr>
      <w:rPr>
        <w:rFonts w:ascii="Courier New" w:cs="Courier New" w:hAnsi="Courier New" w:hint="default"/>
      </w:rPr>
    </w:lvl>
    <w:lvl w:ilvl="8">
      <w:start w:val="1"/>
      <w:numFmt w:val="bullet"/>
      <w:lvlText w:val=""/>
      <w:lvlJc w:val="left"/>
      <w:pPr>
        <w:tabs>
          <w:tab w:pos="0" w:val="num"/>
        </w:tabs>
        <w:ind w:hanging="360" w:left="7185"/>
      </w:pPr>
      <w:rPr>
        <w:rFonts w:ascii="Wingdings" w:cs="Wingdings" w:hAnsi="Wingdings"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 w:numId="9">
    <w:abstractNumId w:val="4"/>
  </w:num>
  <w:num w:numId="10">
    <w:abstractNumId w:val="5"/>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ahoma" w:eastAsia="Calibri" w:hAnsi="Calibri"/>
        <w:sz w:val="22"/>
        <w:szCs w:val="22"/>
        <w:lang w:bidi="ar-SA" w:eastAsia="en-US" w:val="fr-FR"/>
      </w:rPr>
    </w:rPrDefault>
    <w:pPrDefault>
      <w:pPr>
        <w:suppressAutoHyphens w:val="true"/>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val="false"/>
      <w:suppressAutoHyphens w:val="true"/>
      <w:bidi w:val="0"/>
      <w:spacing w:after="0" w:before="0"/>
      <w:jc w:val="left"/>
      <w:textAlignment w:val="baseline"/>
    </w:pPr>
    <w:rPr>
      <w:rFonts w:ascii="Calibri" w:cs="Tahoma" w:eastAsia="Calibri" w:hAnsi="Calibri"/>
      <w:color w:val="auto"/>
      <w:kern w:val="0"/>
      <w:sz w:val="22"/>
      <w:szCs w:val="22"/>
      <w:lang w:bidi="ar-SA" w:eastAsia="en-US" w:val="fr-FR"/>
    </w:rPr>
  </w:style>
  <w:style w:styleId="Heading2" w:type="paragraph">
    <w:name w:val="Heading 2"/>
    <w:basedOn w:val="Standard"/>
    <w:next w:val="Standard"/>
    <w:qFormat/>
    <w:pPr>
      <w:keepNext w:val="true"/>
      <w:keepLines/>
      <w:spacing w:after="0" w:before="40"/>
      <w:outlineLvl w:val="1"/>
    </w:pPr>
    <w:rPr>
      <w:rFonts w:ascii="Calibri Light" w:hAnsi="Calibri Light"/>
      <w:color w:val="2E74B5"/>
      <w:sz w:val="26"/>
      <w:szCs w:val="26"/>
    </w:rPr>
  </w:style>
  <w:style w:default="1" w:styleId="DefaultParagraphFont" w:type="character">
    <w:name w:val="Default Paragraph Font"/>
    <w:uiPriority w:val="1"/>
    <w:semiHidden/>
    <w:unhideWhenUsed/>
    <w:qFormat/>
    <w:rPr/>
  </w:style>
  <w:style w:customStyle="1" w:styleId="NotedebasdepageCar" w:type="character">
    <w:name w:val="Note de bas de page Car"/>
    <w:basedOn w:val="DefaultParagraphFont"/>
    <w:qFormat/>
    <w:rPr>
      <w:rFonts w:ascii="Trebuchet MS" w:cs="Times New Roman" w:eastAsia="Times New Roman" w:hAnsi="Trebuchet MS"/>
      <w:color w:val="000000"/>
      <w:sz w:val="15"/>
      <w:szCs w:val="20"/>
      <w:lang w:eastAsia="fr-FR"/>
    </w:rPr>
  </w:style>
  <w:style w:customStyle="1" w:styleId="FootnoteReference" w:type="character">
    <w:name w:val="Footnote Reference"/>
    <w:rPr>
      <w:vertAlign w:val="superscript"/>
    </w:rPr>
  </w:style>
  <w:style w:customStyle="1" w:styleId="FootnoteCharacters" w:type="character">
    <w:name w:val="Footnote Characters"/>
    <w:basedOn w:val="DefaultParagraphFont"/>
    <w:qFormat/>
    <w:rPr>
      <w:vertAlign w:val="superscript"/>
    </w:rPr>
  </w:style>
  <w:style w:customStyle="1" w:styleId="Hyperlink" w:type="character">
    <w:name w:val="Hyperlink"/>
    <w:basedOn w:val="DefaultParagraphFont"/>
    <w:rPr>
      <w:color w:val="0000FF"/>
      <w:u w:val="single"/>
    </w:rPr>
  </w:style>
  <w:style w:customStyle="1" w:styleId="UnresolvedMention" w:type="character">
    <w:name w:val="Unresolved Mention"/>
    <w:basedOn w:val="DefaultParagraphFont"/>
    <w:qFormat/>
    <w:rPr>
      <w:color w:val="808080"/>
      <w:shd w:fill="E6E6E6" w:val="clear"/>
    </w:rPr>
  </w:style>
  <w:style w:customStyle="1" w:styleId="VisitedInternetLink" w:type="character">
    <w:name w:val="Visited Internet Link"/>
    <w:basedOn w:val="DefaultParagraphFont"/>
    <w:qFormat/>
    <w:rPr>
      <w:color w:val="800080"/>
      <w:u w:val="single"/>
    </w:rPr>
  </w:style>
  <w:style w:customStyle="1" w:styleId="Sous-titreCar" w:type="character">
    <w:name w:val="Sous-titre Car"/>
    <w:basedOn w:val="DefaultParagraphFont"/>
    <w:qFormat/>
    <w:rPr>
      <w:rFonts w:cs="Times New Roman" w:eastAsia="Calibri"/>
      <w:color w:val="5A5A5A"/>
      <w:spacing w:val="15"/>
    </w:rPr>
  </w:style>
  <w:style w:styleId="IntenseEmphasis" w:type="character">
    <w:name w:val="Intense Emphasis"/>
    <w:basedOn w:val="DefaultParagraphFont"/>
    <w:qFormat/>
    <w:rPr>
      <w:rFonts w:cs="Times New Roman"/>
      <w:i/>
      <w:iCs/>
      <w:color w:val="4F81BD"/>
    </w:rPr>
  </w:style>
  <w:style w:customStyle="1" w:styleId="En-tteCar" w:type="character">
    <w:name w:val="En-tête Car"/>
    <w:basedOn w:val="DefaultParagraphFont"/>
    <w:qFormat/>
    <w:rPr/>
  </w:style>
  <w:style w:customStyle="1" w:styleId="PieddepageCar" w:type="character">
    <w:name w:val="Pied de page Car"/>
    <w:basedOn w:val="DefaultParagraphFont"/>
    <w:qFormat/>
    <w:rPr/>
  </w:style>
  <w:style w:customStyle="1" w:styleId="CitationintenseCar" w:type="character">
    <w:name w:val="Citation intense Car"/>
    <w:basedOn w:val="DefaultParagraphFont"/>
    <w:qFormat/>
    <w:rPr>
      <w:i/>
      <w:iCs/>
      <w:color w:val="4F81BD"/>
    </w:rPr>
  </w:style>
  <w:style w:customStyle="1" w:styleId="TextedebullesCar" w:type="character">
    <w:name w:val="Texte de bulles Car"/>
    <w:basedOn w:val="DefaultParagraphFont"/>
    <w:qFormat/>
    <w:rPr>
      <w:rFonts w:ascii="Segoe UI" w:cs="Segoe UI" w:eastAsia="Segoe UI" w:hAnsi="Segoe UI"/>
      <w:sz w:val="18"/>
      <w:szCs w:val="18"/>
    </w:rPr>
  </w:style>
  <w:style w:styleId="annotationreference" w:type="character">
    <w:name w:val="annotation reference"/>
    <w:basedOn w:val="DefaultParagraphFont"/>
    <w:qFormat/>
    <w:rPr>
      <w:sz w:val="16"/>
      <w:szCs w:val="16"/>
    </w:rPr>
  </w:style>
  <w:style w:customStyle="1" w:styleId="CommentaireCar" w:type="character">
    <w:name w:val="Commentaire Car"/>
    <w:basedOn w:val="DefaultParagraphFont"/>
    <w:qFormat/>
    <w:rPr>
      <w:sz w:val="20"/>
      <w:szCs w:val="20"/>
    </w:rPr>
  </w:style>
  <w:style w:customStyle="1" w:styleId="ObjetducommentaireCar" w:type="character">
    <w:name w:val="Objet du commentaire Car"/>
    <w:basedOn w:val="CommentaireCar"/>
    <w:qFormat/>
    <w:rPr>
      <w:b/>
      <w:bCs/>
      <w:sz w:val="20"/>
      <w:szCs w:val="20"/>
    </w:rPr>
  </w:style>
  <w:style w:styleId="Emphasis" w:type="character">
    <w:name w:val="Emphasis"/>
    <w:basedOn w:val="DefaultParagraphFont"/>
    <w:qFormat/>
    <w:rPr>
      <w:i/>
      <w:iCs/>
    </w:rPr>
  </w:style>
  <w:style w:customStyle="1" w:styleId="Titre" w:type="paragraph">
    <w:name w:val="Titre"/>
    <w:basedOn w:val="Standard"/>
    <w:next w:val="Textbody"/>
    <w:qFormat/>
    <w:pPr>
      <w:keepNext w:val="true"/>
      <w:spacing w:after="120" w:before="240"/>
    </w:pPr>
    <w:rPr>
      <w:rFonts w:ascii="Liberation Sans" w:cs="Arial" w:eastAsia="Microsoft YaHei" w:hAnsi="Liberation Sans"/>
      <w:sz w:val="28"/>
      <w:szCs w:val="28"/>
    </w:rPr>
  </w:style>
  <w:style w:styleId="BodyText" w:type="paragraph">
    <w:name w:val="Body Text"/>
    <w:basedOn w:val="Normal"/>
    <w:pPr>
      <w:spacing w:after="140" w:before="0" w:line="276" w:lineRule="auto"/>
    </w:pPr>
    <w:rPr/>
  </w:style>
  <w:style w:styleId="List" w:type="paragraph">
    <w:name w:val="List"/>
    <w:basedOn w:val="Textbody"/>
    <w:pPr/>
    <w:rPr>
      <w:rFonts w:cs="Arial"/>
      <w:sz w:val="24"/>
    </w:rPr>
  </w:style>
  <w:style w:styleId="Caption" w:type="paragraph">
    <w:name w:val="Caption"/>
    <w:basedOn w:val="Standard"/>
    <w:qFormat/>
    <w:pPr>
      <w:suppressLineNumbers/>
      <w:spacing w:after="120" w:before="120"/>
    </w:pPr>
    <w:rPr>
      <w:rFonts w:cs="Arial"/>
      <w:i/>
      <w:iCs/>
      <w:sz w:val="24"/>
      <w:szCs w:val="24"/>
    </w:rPr>
  </w:style>
  <w:style w:customStyle="1" w:styleId="Index" w:type="paragraph">
    <w:name w:val="Index"/>
    <w:basedOn w:val="Standard"/>
    <w:qFormat/>
    <w:pPr>
      <w:suppressLineNumbers/>
    </w:pPr>
    <w:rPr>
      <w:rFonts w:cs="Arial"/>
      <w:sz w:val="24"/>
    </w:rPr>
  </w:style>
  <w:style w:customStyle="1" w:styleId="Standard" w:type="paragraph">
    <w:name w:val="Standard"/>
    <w:qFormat/>
    <w:pPr>
      <w:widowControl/>
      <w:suppressAutoHyphens w:val="true"/>
      <w:bidi w:val="0"/>
      <w:spacing w:after="200" w:before="0" w:line="276" w:lineRule="auto"/>
      <w:jc w:val="left"/>
      <w:textAlignment w:val="baseline"/>
    </w:pPr>
    <w:rPr>
      <w:rFonts w:ascii="Calibri" w:cs="Tahoma" w:eastAsia="Calibri" w:hAnsi="Calibri"/>
      <w:color w:val="auto"/>
      <w:kern w:val="0"/>
      <w:sz w:val="22"/>
      <w:szCs w:val="22"/>
      <w:lang w:bidi="ar-SA" w:eastAsia="en-US" w:val="fr-FR"/>
    </w:rPr>
  </w:style>
  <w:style w:customStyle="1" w:styleId="Textbody" w:type="paragraph">
    <w:name w:val="Text body"/>
    <w:basedOn w:val="Standard"/>
    <w:qFormat/>
    <w:pPr>
      <w:spacing w:after="140" w:before="0"/>
    </w:pPr>
    <w:rPr/>
  </w:style>
  <w:style w:styleId="ListParagraph" w:type="paragraph">
    <w:name w:val="List Paragraph"/>
    <w:basedOn w:val="Standard"/>
    <w:qFormat/>
    <w:pPr>
      <w:ind w:left="720"/>
    </w:pPr>
    <w:rPr/>
  </w:style>
  <w:style w:customStyle="1" w:styleId="Remarquetexte" w:type="paragraph">
    <w:name w:val="Remarquetexte"/>
    <w:basedOn w:val="Standard"/>
    <w:next w:val="Standard"/>
    <w:qFormat/>
    <w:pPr>
      <w:shd w:color="auto" w:fill="F2F2F2" w:val="clear"/>
      <w:tabs>
        <w:tab w:pos="708" w:val="clear"/>
        <w:tab w:leader="none" w:pos="284" w:val="left"/>
      </w:tabs>
      <w:spacing w:after="120" w:before="60" w:line="240" w:lineRule="auto"/>
      <w:jc w:val="both"/>
    </w:pPr>
    <w:rPr>
      <w:rFonts w:ascii="Trebuchet MS" w:cs="Times New Roman" w:eastAsia="Times New Roman" w:hAnsi="Trebuchet MS"/>
      <w:iCs/>
      <w:color w:val="000000"/>
      <w:sz w:val="16"/>
      <w:szCs w:val="14"/>
    </w:rPr>
  </w:style>
  <w:style w:customStyle="1" w:styleId="Footnote" w:type="paragraph">
    <w:name w:val="Footnote"/>
    <w:basedOn w:val="Standard"/>
    <w:qFormat/>
    <w:pPr>
      <w:spacing w:after="60" w:before="60" w:line="240" w:lineRule="auto"/>
      <w:jc w:val="both"/>
    </w:pPr>
    <w:rPr>
      <w:rFonts w:ascii="Trebuchet MS" w:cs="Times New Roman" w:eastAsia="Times New Roman" w:hAnsi="Trebuchet MS"/>
      <w:color w:val="000000"/>
      <w:sz w:val="15"/>
      <w:szCs w:val="20"/>
      <w:lang w:eastAsia="fr-FR"/>
    </w:rPr>
  </w:style>
  <w:style w:customStyle="1" w:styleId="Textecourant" w:type="paragraph">
    <w:name w:val="Texte courant"/>
    <w:basedOn w:val="Standard"/>
    <w:qFormat/>
    <w:pPr>
      <w:widowControl w:val="false"/>
      <w:spacing w:after="120" w:before="0" w:line="240" w:lineRule="auto"/>
      <w:jc w:val="both"/>
    </w:pPr>
    <w:rPr>
      <w:rFonts w:cs="Verdana" w:eastAsia="Times New Roman"/>
      <w:color w:val="3071C3"/>
    </w:rPr>
  </w:style>
  <w:style w:customStyle="1" w:styleId="Puceniveau1" w:type="paragraph">
    <w:name w:val="Puce niveau 1"/>
    <w:basedOn w:val="Textecourant"/>
    <w:next w:val="Textecourant"/>
    <w:qFormat/>
    <w:pPr>
      <w:numPr>
        <w:ilvl w:val="0"/>
        <w:numId w:val="2"/>
      </w:numPr>
      <w:spacing w:after="80" w:before="160"/>
    </w:pPr>
    <w:rPr/>
  </w:style>
  <w:style w:styleId="Subtitle" w:type="paragraph">
    <w:name w:val="Subtitle"/>
    <w:basedOn w:val="Standard"/>
    <w:next w:val="Standard"/>
    <w:qFormat/>
    <w:pPr>
      <w:widowControl w:val="false"/>
      <w:spacing w:after="160" w:before="0" w:line="240" w:lineRule="auto"/>
    </w:pPr>
    <w:rPr>
      <w:rFonts w:cs="Times New Roman"/>
      <w:color w:val="5A5A5A"/>
      <w:spacing w:val="15"/>
    </w:rPr>
  </w:style>
  <w:style w:customStyle="1" w:styleId="HeaderandFooter" w:type="paragraph">
    <w:name w:val="Header and Footer"/>
    <w:basedOn w:val="Standard"/>
    <w:qFormat/>
    <w:pPr/>
    <w:rPr/>
  </w:style>
  <w:style w:styleId="Header" w:type="paragraph">
    <w:name w:val="Header"/>
    <w:basedOn w:val="Standard"/>
    <w:pPr>
      <w:tabs>
        <w:tab w:pos="708" w:val="clear"/>
        <w:tab w:leader="none" w:pos="4536" w:val="center"/>
        <w:tab w:leader="none" w:pos="9072" w:val="right"/>
      </w:tabs>
      <w:spacing w:after="0" w:before="0" w:line="240" w:lineRule="auto"/>
    </w:pPr>
    <w:rPr/>
  </w:style>
  <w:style w:styleId="Footer" w:type="paragraph">
    <w:name w:val="Footer"/>
    <w:basedOn w:val="Standard"/>
    <w:pPr>
      <w:tabs>
        <w:tab w:pos="708" w:val="clear"/>
        <w:tab w:leader="none" w:pos="4536" w:val="center"/>
        <w:tab w:leader="none" w:pos="9072" w:val="right"/>
      </w:tabs>
      <w:spacing w:after="0" w:before="0" w:line="240" w:lineRule="auto"/>
    </w:pPr>
    <w:rPr/>
  </w:style>
  <w:style w:styleId="IntenseQuote" w:type="paragraph">
    <w:name w:val="Intense Quote"/>
    <w:basedOn w:val="Standard"/>
    <w:next w:val="Standard"/>
    <w:qFormat/>
    <w:pPr>
      <w:pBdr>
        <w:top w:color="4F81BD" w:space="10" w:sz="4" w:val="single"/>
        <w:bottom w:color="4F81BD" w:space="10" w:sz="4" w:val="single"/>
      </w:pBdr>
      <w:spacing w:after="360" w:before="360"/>
      <w:ind w:left="864" w:right="864"/>
      <w:jc w:val="center"/>
    </w:pPr>
    <w:rPr>
      <w:i/>
      <w:iCs/>
      <w:color w:val="4F81BD"/>
    </w:rPr>
  </w:style>
  <w:style w:styleId="BalloonText" w:type="paragraph">
    <w:name w:val="Balloon Text"/>
    <w:basedOn w:val="Standard"/>
    <w:qFormat/>
    <w:pPr>
      <w:spacing w:after="0" w:before="0" w:line="240" w:lineRule="auto"/>
    </w:pPr>
    <w:rPr>
      <w:rFonts w:ascii="Segoe UI" w:cs="Segoe UI" w:eastAsia="Segoe UI" w:hAnsi="Segoe UI"/>
      <w:sz w:val="18"/>
      <w:szCs w:val="18"/>
    </w:rPr>
  </w:style>
  <w:style w:styleId="AnnotationText" w:type="paragraph">
    <w:name w:val="Annotation Text"/>
    <w:basedOn w:val="Standard"/>
    <w:pPr>
      <w:spacing w:line="240" w:lineRule="auto"/>
    </w:pPr>
    <w:rPr>
      <w:sz w:val="20"/>
      <w:szCs w:val="20"/>
    </w:rPr>
  </w:style>
  <w:style w:styleId="annotationsubject" w:type="paragraph">
    <w:name w:val="annotation subject"/>
    <w:basedOn w:val="AnnotationText"/>
    <w:next w:val="AnnotationText"/>
    <w:qFormat/>
    <w:pPr/>
    <w:rPr>
      <w:b/>
      <w:bCs/>
    </w:rPr>
  </w:style>
  <w:style w:styleId="NoSpacing" w:type="paragraph">
    <w:name w:val="No Spacing"/>
    <w:uiPriority w:val="1"/>
    <w:qFormat/>
    <w:rsid w:val="00726e8e"/>
    <w:pPr>
      <w:widowControl w:val="false"/>
      <w:suppressAutoHyphens w:val="true"/>
      <w:bidi w:val="0"/>
      <w:spacing w:after="0" w:before="0"/>
      <w:jc w:val="left"/>
      <w:textAlignment w:val="baseline"/>
    </w:pPr>
    <w:rPr>
      <w:rFonts w:ascii="Calibri" w:cs="Tahoma" w:eastAsia="Calibri" w:hAnsi="Calibri"/>
      <w:color w:val="auto"/>
      <w:kern w:val="0"/>
      <w:sz w:val="22"/>
      <w:szCs w:val="22"/>
      <w:lang w:bidi="ar-SA" w:eastAsia="en-US" w:val="fr-FR"/>
    </w:rPr>
  </w:style>
  <w:style w:default="1" w:styleId="Pasdeliste" w:type="numbering">
    <w:name w:val="Pas de liste"/>
    <w:uiPriority w:val="99"/>
    <w:semiHidden/>
    <w:unhideWhenUsed/>
    <w:qFormat/>
  </w:style>
  <w:style w:customStyle="1" w:styleId="Aucuneliste1" w:type="numbering">
    <w:name w:val="Aucune liste1"/>
    <w:qFormat/>
  </w:style>
  <w:style w:default="1" w:styleId="TableauNormal" w:type="table">
    <w:name w:val="Normal Table"/>
    <w:uiPriority w:val="99"/>
    <w:semiHidden/>
    <w:unhideWhenUsed/>
    <w:tblPr>
      <w:tblCellMar>
        <w:top w:type="dxa" w:w="0"/>
        <w:left w:type="dxa" w:w="108"/>
        <w:bottom w:type="dxa" w:w="0"/>
        <w:right w:type="dxa" w:w="108"/>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settings.xml" Type="http://schemas.openxmlformats.org/officeDocument/2006/relationships/settings"/><Relationship Id="rId12" Target="theme/theme1.xml" Type="http://schemas.openxmlformats.org/officeDocument/2006/relationships/theme"/><Relationship Id="rId2" Target="https://www.teleaccord.travail-emploi.gouv.fr/PortailTeleprocedures/" TargetMode="External" Type="http://schemas.openxmlformats.org/officeDocument/2006/relationships/hyperlink"/><Relationship Id="rId3" Target="header1.xml" Type="http://schemas.openxmlformats.org/officeDocument/2006/relationships/header"/><Relationship Id="rId4" Target="header2.xml" Type="http://schemas.openxmlformats.org/officeDocument/2006/relationships/header"/><Relationship Id="rId5" Target="header3.xml" Type="http://schemas.openxmlformats.org/officeDocument/2006/relationships/header"/><Relationship Id="rId6" Target="footer1.xml" Type="http://schemas.openxmlformats.org/officeDocument/2006/relationships/footer"/><Relationship Id="rId7" Target="footer2.xml" Type="http://schemas.openxmlformats.org/officeDocument/2006/relationships/footer"/><Relationship Id="rId8" Target="footer3.xml" Type="http://schemas.openxmlformats.org/officeDocument/2006/relationships/footer"/><Relationship Id="rId9" Target="numbering.xml" Type="http://schemas.openxmlformats.org/officeDocument/2006/relationships/numberi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LibreOffice/24.2.5.2$Windows_X86_64 LibreOffice_project/bffef4ea93e59bebbeaf7f431bb02b1a39ee8a59</Application>
  <AppVersion>15.0000</AppVersion>
  <Pages>6</Pages>
  <Words>1768</Words>
  <Characters>9613</Characters>
  <CharactersWithSpaces>11317</CharactersWithSpaces>
  <Paragraphs>92</Paragraphs>
  <Company>Ministères Chargés des Affaires Sociales</Compan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2025-01-14T12:07:48Z</dcterms:created>
  <dc:language>fr-FR</dc:language>
  <cp:revision>1</cp:revision>
</cp:coreProperties>
</file>

<file path=docProps/custom.xml><?xml version="1.0" encoding="utf-8"?>
<Properties xmlns="http://schemas.openxmlformats.org/officeDocument/2006/custom-properties" xmlns:vt="http://schemas.openxmlformats.org/officeDocument/2006/docPropsVTypes"/>
</file>